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85-1195036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201 Brookline Avenue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901</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Boston,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02215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320-4900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On June 9, 2026, Tango Therapeutics, Inc. (the “Company”) entered into an underwriting agreement (the “Underwriting Agreement”) with J.P. Morgan Securities LLC and Leerink Partners LLC as representatives (the “Representatives”) to the several underwriters named in the Underwriting Agreement (collectively, the “Underwriters”), relating to an underwritten offering (the “Offering”) of (i) 18,166,667 shares (the “Firm Shares”) of the Company’s common stock, $0.001 par value per share (the “Common Stock”) and (ii) pre-funded warrants (the “Pre-Funded Warrants”) to purchase up to</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1,833,395 shares of Common Stock (such shares issuable upon exercise of the Pre-Funded Warrants, the “Pre-Funded Warrant Shares”). Each Share was offered and sold at an offering price of $30.00 before deducting underwriting discounts and commissions and each Pre-Funded Warrant was offered and sold at an offering price of $29.999 which is equal to the offering price per Share less the $0.001 exercise price of each Pre-Funded Warrant, before deducting underwriting discounts and commissions. Pursuant to the Underwriting Agreement, the Company granted the Underwriters a 30-day option to purchase up to an additional 3,000,009 shares of its Common Stock (the “Optional Shares,” and together with the Firm Shares, the “Shares”) at the public offering price per Share, less any underwriting discounts and commissions. All of the Firm Shares and the Pre-Funded Warrants in the Offering were sold by the Company.</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Pre-Funded Warrant has an initial exercise price per share of $0.001, subject to certain adjustments. The Pre-Funded Warrants are exercisable immediately and may be exercised at any time until all of the Pre-Funded Warrants are exercised in full. The Pre-Funded Warrants do not expire. Under the Pre-Funded Warrants, the Company may not effect the exercise of any Pre-Funded Warrant, and a holder will not be entitled to exercise any portion of any Pre-Funded Warrant (i) if immediately prior to the exercise, a holder (together with its affiliates), beneficially owns an aggregate number of shares of Common Stock greater than 4.99% or 9.99%, as applicable (the “Maximum Percentage”) of the total number of issued and outstanding shares of Common Stock of the Company without taking into account any Pre-Funded Warrant Shares, or (ii) to the extent that immediately following the exercise, the holder (together with its affiliates) would beneficially own in excess of the Maximum Percentage of the number of shares of Common Stock outstanding immediately after giving effect to the issuance of such Pre-Funded Warrant Shares, which such percentage may be changed at the holder’s election to a higher or lower percentage not in excess of 19.99% upon 61 days’ notice to the Company.</w:t>
      </w:r>
    </w:p>
    <w:p>
      <w:pPr>
        <w:spacing w:after="0" w:line="18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Offering is expected to close on June 11, 2026, and is subject to the satisfaction of customary closing conditions. The Company estimates that the net proceeds to the Company from the Offering, after deducting underwriting discounts and commissions and estimated offering expenses payable by the Company are approximately $566.5 million. The Company intends to use the net proceeds from the Offering for general corporate purposes, including research and development expenses, expenses relating to the Company’s pivotal trial and preparation for the potential commercialization of one or more of the Company’s product candidates, general and administrative expenses and capital expenditures. Based upon the Company’s current operating plan, it believes that the net proceeds from this Offering, together with its existing cash, cash equivalents and investments, will enable it to fund its operating expenses and capital expenditure requirements into 2030.</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Offering was made pursuant to the Company’s Registration Statement on Form S-3ASR (File No. 333-291684) (the “Registration Statement”), a free-writing prospectus dated June 9, 2026 and the final prospectus supplement dated June 9, 2026.</w:t>
      </w:r>
    </w:p>
    <w:p>
      <w:pPr>
        <w:spacing w:after="0" w:line="16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A copy of the legal opinion of Goodwin Procter LLP relating to the legality of the issuance and sale of the Shares, the Pre-Funded Warrants and the Pre-Funded Warrant Shares is filed as Exhibit 5.1 to this Current Report on Form 8-K and incorporated by reference into the Registration Statement.</w:t>
      </w:r>
    </w:p>
    <w:p>
      <w:pPr>
        <w:sectPr>
          <w:pgSz w:w="11900" w:h="16838" w:orient="portrait"/>
          <w:cols w:equalWidth="0" w:num="1">
            <w:col w:w="10980"/>
          </w:cols>
          <w:pgMar w:left="440" w:top="293" w:right="479" w:bottom="1440" w:gutter="0" w:footer="0" w:header="0"/>
        </w:sectPr>
      </w:pPr>
    </w:p>
    <w:bookmarkStart w:id="2" w:name="page3"/>
    <w:bookmarkEnd w:id="2"/>
    <w:p>
      <w:pPr>
        <w:ind w:right="7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descriptions of the Underwriting Agreement and the Pre-Funded Warrants are subject to, and qualified in their entirety by, such documents (or forms thereof), which are attached hereto as Exhibits 1.1 and 4.1, respectively,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certain of the materials filed herewith contain forward-looking statements within the meaning of the Private Securities Litigation Reform Act of 1995, as amended, including, without limitation, statements regarding the Offering and its anticipated consummation and expectations regarding the Company’s cash runway, use of capital, expenses and other future financial results.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The forward-looking statements are subject to a number of risks, uncertainties and important factors that may cause actual events or results to differ materially from those expressed or implied by the forward-looking statements contained in this Current Report on Form 8-K or the materials furnished or filed herewith. These and other risks and uncertainties are described in greater detail in the section entitled “Risk Factors” in the Company’s Annual Report on Form 10-K for the year ended December 31, 2025 and the Company’s Quarterly Report on Form 10-Q for the quarter ended March 31, 2026, as well as any subsequent filings with the SEC. In addition, the forward-looking statements represent the Company’s views only as of today and should not be relied upon as representing its views as of any subsequent date. The Company explicitly disclaims any obligation to update any forward-looking statements. No representations or warranties (expressed or implied) are made about the accuracy of any such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56" w:lineRule="exact"/>
        <w:rPr>
          <w:sz w:val="20"/>
          <w:szCs w:val="20"/>
          <w:color w:val="auto"/>
        </w:rPr>
      </w:pPr>
    </w:p>
    <w:p>
      <w:pPr>
        <w:ind w:left="660" w:right="48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EE"/>
        </w:rPr>
        <w:t>Underwriting Agreement, dated June 9, 2026, among Tango Therapeutics, Inc, J.P. Morgan Securities LLC and Leerink Partners LLC, as representatives of the several underwriters named in Schedule A thereto.</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Pre-Funded Warrant</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Goodwin Procter LLP.</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Goodwin Procter LLP (contained in Exhibit 5.1)</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Inline XBRL document).</w:t>
      </w:r>
    </w:p>
    <w:p>
      <w:pPr>
        <w:sectPr>
          <w:pgSz w:w="11900" w:h="16838" w:orient="portrait"/>
          <w:cols w:equalWidth="0" w:num="1">
            <w:col w:w="11000"/>
          </w:cols>
          <w:pgMar w:left="440" w:top="297"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Gall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18,166,667 Shares of Common Stock</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Pre-Funded Warrants to Purchase 1,833,395 of Common Stock</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9,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ectPr>
          <w:pgSz w:w="11900" w:h="16838" w:orient="portrait"/>
          <w:cols w:equalWidth="0" w:num="1">
            <w:col w:w="11024"/>
          </w:cols>
          <w:pgMar w:left="436" w:top="117"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0" w:lineRule="exact"/>
        <w:rPr>
          <w:sz w:val="20"/>
          <w:szCs w:val="20"/>
          <w:color w:val="auto"/>
        </w:rPr>
      </w:pPr>
    </w:p>
    <w:p>
      <w:pPr>
        <w:sectPr>
          <w:pgSz w:w="11900" w:h="16838" w:orient="portrait"/>
          <w:cols w:equalWidth="0" w:num="2">
            <w:col w:w="224" w:space="200"/>
            <w:col w:w="10600"/>
          </w:cols>
          <w:pgMar w:left="436" w:top="117" w:right="439" w:bottom="1440" w:gutter="0" w:footer="0" w:header="0"/>
          <w:type w:val="continuous"/>
        </w:sectPr>
      </w:pPr>
    </w:p>
    <w:p>
      <w:pPr>
        <w:spacing w:after="0" w:line="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53 State Street, 40</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0" w:lineRule="exact"/>
        <w:rPr>
          <w:sz w:val="20"/>
          <w:szCs w:val="20"/>
          <w:color w:val="auto"/>
        </w:rPr>
      </w:pPr>
    </w:p>
    <w:p>
      <w:pPr>
        <w:sectPr>
          <w:pgSz w:w="11900" w:h="16838" w:orient="portrait"/>
          <w:cols w:equalWidth="0" w:num="2">
            <w:col w:w="224" w:space="200"/>
            <w:col w:w="10600"/>
          </w:cols>
          <w:pgMar w:left="436" w:top="117" w:right="439" w:bottom="1440"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40" w:firstLine="440"/>
        <w:spacing w:after="0" w:line="254" w:lineRule="auto"/>
        <w:rPr>
          <w:sz w:val="20"/>
          <w:szCs w:val="20"/>
          <w:color w:val="auto"/>
        </w:rPr>
      </w:pPr>
      <w:r>
        <w:rPr>
          <w:rFonts w:ascii="Times New Roman" w:cs="Times New Roman" w:eastAsia="Times New Roman" w:hAnsi="Times New Roman"/>
          <w:sz w:val="18"/>
          <w:szCs w:val="18"/>
          <w:color w:val="auto"/>
        </w:rPr>
        <w:t>Tango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with J.P. Morgan Securities LLC (“</w:t>
      </w:r>
      <w:r>
        <w:rPr>
          <w:rFonts w:ascii="Times New Roman" w:cs="Times New Roman" w:eastAsia="Times New Roman" w:hAnsi="Times New Roman"/>
          <w:sz w:val="18"/>
          <w:szCs w:val="18"/>
          <w:u w:val="single" w:color="auto"/>
          <w:color w:val="auto"/>
        </w:rPr>
        <w:t>J.P. Morgan</w:t>
      </w:r>
      <w:r>
        <w:rPr>
          <w:rFonts w:ascii="Times New Roman" w:cs="Times New Roman" w:eastAsia="Times New Roman" w:hAnsi="Times New Roman"/>
          <w:sz w:val="18"/>
          <w:szCs w:val="18"/>
          <w:color w:val="auto"/>
        </w:rPr>
        <w:t>”), Leerink Partners LLC (“</w:t>
      </w:r>
      <w:r>
        <w:rPr>
          <w:rFonts w:ascii="Times New Roman" w:cs="Times New Roman" w:eastAsia="Times New Roman" w:hAnsi="Times New Roman"/>
          <w:sz w:val="18"/>
          <w:szCs w:val="18"/>
          <w:u w:val="single" w:color="auto"/>
          <w:color w:val="auto"/>
        </w:rPr>
        <w:t>Leerink Partners</w:t>
      </w:r>
      <w:r>
        <w:rPr>
          <w:rFonts w:ascii="Times New Roman" w:cs="Times New Roman" w:eastAsia="Times New Roman" w:hAnsi="Times New Roman"/>
          <w:sz w:val="18"/>
          <w:szCs w:val="18"/>
          <w:color w:val="auto"/>
        </w:rPr>
        <w:t xml:space="preserve">”) and each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10 hereof), for which J.P. Morgan and Leerink Partners are acting as representatives (in such capacity,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with respect to the sale by the Company and the purchase by the Underwriters, acting severally and not jointly, of (i) an aggregate of 18,166,667 shares of its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4" w:right="160" w:hanging="4"/>
        <w:spacing w:after="0" w:line="253"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of the Company to purchase up to an aggregate of 1,833,395 shares of common stock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aforesaid 18,166,667 shares of Common Stock (the “</w:t>
      </w:r>
      <w:r>
        <w:rPr>
          <w:rFonts w:ascii="Times New Roman" w:cs="Times New Roman" w:eastAsia="Times New Roman" w:hAnsi="Times New Roman"/>
          <w:sz w:val="18"/>
          <w:szCs w:val="18"/>
          <w:u w:val="single" w:color="auto"/>
          <w:color w:val="auto"/>
        </w:rPr>
        <w:t>Initial Shares</w:t>
      </w:r>
      <w:r>
        <w:rPr>
          <w:rFonts w:ascii="Times New Roman" w:cs="Times New Roman" w:eastAsia="Times New Roman" w:hAnsi="Times New Roman"/>
          <w:sz w:val="18"/>
          <w:szCs w:val="18"/>
          <w:color w:val="auto"/>
        </w:rPr>
        <w:t>”) and Pre-Funded Warrants (together with the Initial Shares, the “</w:t>
      </w:r>
      <w:r>
        <w:rPr>
          <w:rFonts w:ascii="Times New Roman" w:cs="Times New Roman" w:eastAsia="Times New Roman" w:hAnsi="Times New Roman"/>
          <w:sz w:val="18"/>
          <w:szCs w:val="18"/>
          <w:u w:val="single" w:color="auto"/>
          <w:color w:val="auto"/>
        </w:rPr>
        <w:t>Initial Securities</w:t>
      </w:r>
      <w:r>
        <w:rPr>
          <w:rFonts w:ascii="Times New Roman" w:cs="Times New Roman" w:eastAsia="Times New Roman" w:hAnsi="Times New Roman"/>
          <w:sz w:val="18"/>
          <w:szCs w:val="18"/>
          <w:color w:val="auto"/>
        </w:rPr>
        <w:t>”) to be purchased by the Underwriters and all or any part of the 3,000,009 shares of Common Stock described in Section 2(b) hereof (the “</w:t>
      </w:r>
      <w:r>
        <w:rPr>
          <w:rFonts w:ascii="Times New Roman" w:cs="Times New Roman" w:eastAsia="Times New Roman" w:hAnsi="Times New Roman"/>
          <w:sz w:val="18"/>
          <w:szCs w:val="18"/>
          <w:u w:val="single" w:color="auto"/>
          <w:color w:val="auto"/>
        </w:rPr>
        <w:t>Option Securities</w:t>
      </w:r>
      <w:r>
        <w:rPr>
          <w:rFonts w:ascii="Times New Roman" w:cs="Times New Roman" w:eastAsia="Times New Roman" w:hAnsi="Times New Roman"/>
          <w:sz w:val="18"/>
          <w:szCs w:val="18"/>
          <w:color w:val="auto"/>
        </w:rPr>
        <w:t>” and together with the Initial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are herein called,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18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an offering of the Securities as soon as the Representatives deem advisable after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been executed and delivered.</w:t>
      </w:r>
    </w:p>
    <w:p>
      <w:pPr>
        <w:spacing w:after="0" w:line="162"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 automatic shelf registration statement on Form S-3 (No. 333-291684), covering the public offering and sale of certain securities, including the Securities,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and the rules and regulations of the Commission promulgated thereunder (the “</w:t>
      </w:r>
      <w:r>
        <w:rPr>
          <w:rFonts w:ascii="Times New Roman" w:cs="Times New Roman" w:eastAsia="Times New Roman" w:hAnsi="Times New Roman"/>
          <w:sz w:val="18"/>
          <w:szCs w:val="18"/>
          <w:u w:val="single" w:color="auto"/>
          <w:color w:val="auto"/>
        </w:rPr>
        <w:t>1933 Act</w:t>
      </w:r>
    </w:p>
    <w:p>
      <w:pPr>
        <w:sectPr>
          <w:pgSz w:w="11900" w:h="16838" w:orient="portrait"/>
          <w:cols w:equalWidth="0" w:num="1">
            <w:col w:w="11024"/>
          </w:cols>
          <w:pgMar w:left="436" w:top="117" w:right="439" w:bottom="1440" w:gutter="0" w:footer="0" w:header="0"/>
          <w:type w:val="continuous"/>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Regulations</w:t>
      </w:r>
      <w:r>
        <w:rPr>
          <w:rFonts w:ascii="Times New Roman" w:cs="Times New Roman" w:eastAsia="Times New Roman" w:hAnsi="Times New Roman"/>
          <w:sz w:val="18"/>
          <w:szCs w:val="18"/>
          <w:color w:val="auto"/>
        </w:rPr>
        <w:t>”), which automatic shelf registration statement became effective upon filing under Rule 462(e) under the 1933 Act Regulations.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7" w:lineRule="exact"/>
        <w:rPr>
          <w:sz w:val="20"/>
          <w:szCs w:val="20"/>
          <w:color w:val="auto"/>
        </w:rPr>
      </w:pPr>
    </w:p>
    <w:p>
      <w:pPr>
        <w:ind w:left="440" w:right="880" w:firstLine="423"/>
        <w:spacing w:after="0" w:line="282" w:lineRule="auto"/>
        <w:rPr>
          <w:sz w:val="20"/>
          <w:szCs w:val="20"/>
          <w:color w:val="auto"/>
        </w:rPr>
      </w:pPr>
      <w:r>
        <w:rPr>
          <w:rFonts w:ascii="Times New Roman" w:cs="Times New Roman" w:eastAsia="Times New Roman" w:hAnsi="Times New Roman"/>
          <w:sz w:val="18"/>
          <w:szCs w:val="18"/>
          <w:color w:val="auto"/>
        </w:rPr>
        <w:t>“Applicable Time” means 7:00 P.M., New York City time, on June 9, 2026 or such other time as agreed by the Company and the Representatives.</w:t>
      </w:r>
    </w:p>
    <w:p>
      <w:pPr>
        <w:spacing w:after="0" w:line="54" w:lineRule="exact"/>
        <w:rPr>
          <w:sz w:val="20"/>
          <w:szCs w:val="20"/>
          <w:color w:val="auto"/>
        </w:rPr>
      </w:pPr>
    </w:p>
    <w:p>
      <w:pPr>
        <w:jc w:val="both"/>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Times New Roman" w:cs="Times New Roman" w:eastAsia="Times New Roman" w:hAnsi="Times New Roman"/>
          <w:sz w:val="18"/>
          <w:szCs w:val="18"/>
          <w:u w:val="single" w:color="auto"/>
          <w:color w:val="auto"/>
        </w:rPr>
        <w:t>Schedule B-1</w:t>
      </w:r>
      <w:r>
        <w:rPr>
          <w:rFonts w:ascii="Times New Roman" w:cs="Times New Roman" w:eastAsia="Times New Roman" w:hAnsi="Times New Roman"/>
          <w:sz w:val="18"/>
          <w:szCs w:val="18"/>
          <w:color w:val="auto"/>
        </w:rPr>
        <w:t xml:space="preserve"> hereto, all considered together.</w:t>
      </w:r>
    </w:p>
    <w:p>
      <w:pPr>
        <w:spacing w:after="0" w:line="68"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of the 1933 Act Regulations (“</w:t>
      </w:r>
      <w:r>
        <w:rPr>
          <w:rFonts w:ascii="Times New Roman" w:cs="Times New Roman" w:eastAsia="Times New Roman" w:hAnsi="Times New Roman"/>
          <w:sz w:val="18"/>
          <w:szCs w:val="18"/>
          <w:u w:val="single" w:color="auto"/>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433</w:t>
      </w:r>
      <w:r>
        <w:rPr>
          <w:rFonts w:ascii="Times New Roman" w:cs="Times New Roman" w:eastAsia="Times New Roman" w:hAnsi="Times New Roman"/>
          <w:sz w:val="18"/>
          <w:szCs w:val="18"/>
          <w:color w:val="auto"/>
        </w:rPr>
        <w:t>”), including without limitation any “free writing prospectus” (as defined in Rule 405 of the 1933 Act Regulations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81" w:lineRule="exact"/>
        <w:rPr>
          <w:sz w:val="20"/>
          <w:szCs w:val="20"/>
          <w:color w:val="auto"/>
        </w:rPr>
      </w:pPr>
    </w:p>
    <w:p>
      <w:pPr>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“Issuer General Use Free Writing Prospectus”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 (a “</w:t>
      </w:r>
      <w:r>
        <w:rPr>
          <w:rFonts w:ascii="Times New Roman" w:cs="Times New Roman" w:eastAsia="Times New Roman" w:hAnsi="Times New Roman"/>
          <w:sz w:val="18"/>
          <w:szCs w:val="18"/>
          <w:u w:val="single" w:color="auto"/>
          <w:color w:val="auto"/>
        </w:rPr>
        <w:t>Bona Fide Electronic Road Show</w:t>
      </w:r>
      <w:r>
        <w:rPr>
          <w:rFonts w:ascii="Times New Roman" w:cs="Times New Roman" w:eastAsia="Times New Roman" w:hAnsi="Times New Roman"/>
          <w:sz w:val="18"/>
          <w:szCs w:val="18"/>
          <w:color w:val="auto"/>
        </w:rPr>
        <w:t xml:space="preserve">”)), as evidenced by its being specified in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440" w:right="40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Limited Use Free Writing Prospectus” means any Issuer Free Writing Prospectus that is not an Issuer General Use Free Writing Prospectus.</w:t>
      </w:r>
    </w:p>
    <w:p>
      <w:pPr>
        <w:spacing w:after="0" w:line="54" w:lineRule="exact"/>
        <w:rPr>
          <w:sz w:val="20"/>
          <w:szCs w:val="20"/>
          <w:color w:val="auto"/>
        </w:rPr>
      </w:pPr>
    </w:p>
    <w:p>
      <w:pPr>
        <w:ind w:left="440" w:right="760" w:firstLine="423"/>
        <w:spacing w:after="0" w:line="282" w:lineRule="auto"/>
        <w:rPr>
          <w:sz w:val="20"/>
          <w:szCs w:val="20"/>
          <w:color w:val="auto"/>
        </w:rPr>
      </w:pPr>
      <w:r>
        <w:rPr>
          <w:rFonts w:ascii="Times New Roman" w:cs="Times New Roman" w:eastAsia="Times New Roman" w:hAnsi="Times New Roman"/>
          <w:sz w:val="18"/>
          <w:szCs w:val="18"/>
          <w:color w:val="auto"/>
        </w:rPr>
        <w:t>“Testing-the-Waters Communication” means any oral or written communication with potential investors undertaken in reliance on Section 5(d) of the 1933 Act.</w:t>
      </w:r>
    </w:p>
    <w:p>
      <w:pPr>
        <w:spacing w:after="0" w:line="54" w:lineRule="exact"/>
        <w:rPr>
          <w:sz w:val="20"/>
          <w:szCs w:val="20"/>
          <w:color w:val="auto"/>
        </w:rPr>
      </w:pPr>
    </w:p>
    <w:p>
      <w:pPr>
        <w:ind w:left="440" w:right="320" w:firstLine="423"/>
        <w:spacing w:after="0" w:line="282" w:lineRule="auto"/>
        <w:rPr>
          <w:sz w:val="20"/>
          <w:szCs w:val="20"/>
          <w:color w:val="auto"/>
        </w:rPr>
      </w:pPr>
      <w:r>
        <w:rPr>
          <w:rFonts w:ascii="Times New Roman" w:cs="Times New Roman" w:eastAsia="Times New Roman" w:hAnsi="Times New Roman"/>
          <w:sz w:val="18"/>
          <w:szCs w:val="18"/>
          <w:color w:val="auto"/>
        </w:rPr>
        <w:t>“Written Testing-the-Waters Communication” means any Testing-the-Waters Communication that is a written communication within the meaning of Rule 405 under the 1933 Act.</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incorporated or deemed to be incorporated by reference in the Registration Statement, such preliminary prospectus or the Prospectus, as the case may be, at or after the execution and delivery of this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40" w:firstLine="436"/>
        <w:spacing w:after="0" w:line="315" w:lineRule="auto"/>
        <w:tabs>
          <w:tab w:leader="none" w:pos="6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Warranties by the Company</w:t>
      </w:r>
      <w:r>
        <w:rPr>
          <w:rFonts w:ascii="Times New Roman" w:cs="Times New Roman" w:eastAsia="Times New Roman" w:hAnsi="Times New Roman"/>
          <w:sz w:val="17"/>
          <w:szCs w:val="17"/>
          <w:color w:val="auto"/>
        </w:rPr>
        <w:t>. The Company represents and warrants to each Underwriter as of the date hereof,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Time, the Closing Time (as defined below) and any Date of Delivery (as defined below), and agrees with each Underwriter, as follows:</w:t>
      </w:r>
    </w:p>
    <w:p>
      <w:pPr>
        <w:spacing w:after="0" w:line="28"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meets the requirements for use of Form S-3 under the 1933 Act. The</w:t>
      </w:r>
    </w:p>
    <w:p>
      <w:pPr>
        <w:spacing w:after="0" w:line="27" w:lineRule="exact"/>
        <w:rPr>
          <w:rFonts w:ascii="Times New Roman" w:cs="Times New Roman" w:eastAsia="Times New Roman" w:hAnsi="Times New Roman"/>
          <w:sz w:val="18"/>
          <w:szCs w:val="18"/>
          <w:color w:val="auto"/>
        </w:rPr>
      </w:pPr>
    </w:p>
    <w:p>
      <w:pPr>
        <w:ind w:left="4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is an “automatic shelf registration statement” (as defined in Rule 405 of the 1933 Act) and the Securities have been and remain eligible for registration by the Company on such automatic shelf registration statement.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80" w:lineRule="exact"/>
        <w:rPr>
          <w:sz w:val="20"/>
          <w:szCs w:val="20"/>
          <w:color w:val="auto"/>
        </w:rPr>
      </w:pPr>
    </w:p>
    <w:p>
      <w:pPr>
        <w:ind w:left="440" w:right="60" w:firstLine="423"/>
        <w:spacing w:after="0" w:line="255"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w:t>
      </w:r>
      <w:r>
        <w:rPr>
          <w:rFonts w:ascii="Times New Roman" w:cs="Times New Roman" w:eastAsia="Times New Roman" w:hAnsi="Times New Roman"/>
          <w:sz w:val="18"/>
          <w:szCs w:val="18"/>
          <w:u w:val="single" w:color="auto"/>
          <w:color w:val="auto"/>
        </w:rPr>
        <w:t>1934 Act Regulations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20" w:firstLine="423"/>
        <w:spacing w:after="0" w:line="266" w:lineRule="auto"/>
        <w:rPr>
          <w:sz w:val="20"/>
          <w:szCs w:val="20"/>
          <w:color w:val="auto"/>
        </w:rPr>
      </w:pPr>
      <w:r>
        <w:rPr>
          <w:rFonts w:ascii="Times New Roman" w:cs="Times New Roman" w:eastAsia="Times New Roman" w:hAnsi="Times New Roman"/>
          <w:sz w:val="18"/>
          <w:szCs w:val="18"/>
          <w:color w:val="auto"/>
        </w:rPr>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spacing w:after="0" w:line="68" w:lineRule="exact"/>
        <w:rPr>
          <w:sz w:val="20"/>
          <w:szCs w:val="20"/>
          <w:color w:val="auto"/>
        </w:rPr>
      </w:pPr>
    </w:p>
    <w:p>
      <w:pPr>
        <w:ind w:right="20" w:firstLine="419"/>
        <w:spacing w:after="0" w:line="252" w:lineRule="auto"/>
        <w:tabs>
          <w:tab w:leader="none" w:pos="6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(B) any individual Issuer Limited Use Free Writing Prospectus, when considered together with the General Disclosure Package, nor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in light of the circumstances under which they were made, not misleading.</w:t>
      </w:r>
    </w:p>
    <w:p>
      <w:pPr>
        <w:spacing w:after="0" w:line="88" w:lineRule="exact"/>
        <w:rPr>
          <w:sz w:val="20"/>
          <w:szCs w:val="20"/>
          <w:color w:val="auto"/>
        </w:rPr>
      </w:pPr>
    </w:p>
    <w:p>
      <w:pPr>
        <w:ind w:right="40" w:firstLine="423"/>
        <w:spacing w:after="0" w:line="255"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Representatives expressly for use therein. For purposes of this Agreement, the only information so furnished shall be the information in (1) the sentences and figure relating to selling concession appearing under the heading “Underwriting” and (ii) the statements concerning the Underwriters contained in the paragraphs related to price stabilization, short positions and penalty bids under the heading “Underwriting,” in each case contained in the Prospectus (collectively, the “</w:t>
      </w:r>
      <w:r>
        <w:rPr>
          <w:rFonts w:ascii="Times New Roman" w:cs="Times New Roman" w:eastAsia="Times New Roman" w:hAnsi="Times New Roman"/>
          <w:sz w:val="18"/>
          <w:szCs w:val="18"/>
          <w:u w:val="single" w:color="auto"/>
          <w:color w:val="auto"/>
        </w:rPr>
        <w:t>Underwriter Information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right="380" w:firstLine="419"/>
        <w:spacing w:after="0" w:line="261" w:lineRule="auto"/>
        <w:tabs>
          <w:tab w:leader="none" w:pos="7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No filing of any “road show” (as defined in Rule 433(h)) is required in connection with the offering of the Securities. Any Issuer</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Free Writing Prospectus that the Company is required to file pursuant to Rule 433(d) under the 1933 Act has been, or will be, filed with the Commission in accordance with the requirements of the 1933 Act and the 1933 Act Regulations. Each Issuer Free Writing Prospectus that the Company has filed, or is required to file, pursuant to Rule 433(d) under the 1933 Act or that was prepared by or behalf of or used or referred to by the Company complies or will comply in all material respects with the requirements of the 1933 Act and the 1933 Act Regulations. Except for the Issuer Free Writing Prospectuses, if any, identified in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and electronic road shows, if any, each furnished to the Representatives before first use, the Company has not prepared, used or referred to, and will not, without the prior consent of the Representatives, prepare, use or refer to, any issuer free writing prospectus.</w:t>
      </w:r>
    </w:p>
    <w:p>
      <w:pPr>
        <w:spacing w:after="0" w:line="81"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Testing-the-Waters Materials</w:t>
      </w:r>
      <w:r>
        <w:rPr>
          <w:rFonts w:ascii="Times New Roman" w:cs="Times New Roman" w:eastAsia="Times New Roman" w:hAnsi="Times New Roman"/>
          <w:sz w:val="18"/>
          <w:szCs w:val="18"/>
          <w:color w:val="auto"/>
        </w:rPr>
        <w:t xml:space="preserve">. The Company (A) has not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their behalf in undertaking Testing-the-Waters Communications. The Company has not distributed any Written Testing-the-Waters Communications other than those listed on </w:t>
      </w:r>
      <w:r>
        <w:rPr>
          <w:rFonts w:ascii="Times New Roman" w:cs="Times New Roman" w:eastAsia="Times New Roman" w:hAnsi="Times New Roman"/>
          <w:sz w:val="18"/>
          <w:szCs w:val="18"/>
          <w:u w:val="single" w:color="auto"/>
          <w:color w:val="auto"/>
        </w:rPr>
        <w:t>Schedule B-3</w:t>
      </w:r>
      <w:r>
        <w:rPr>
          <w:rFonts w:ascii="Times New Roman" w:cs="Times New Roman" w:eastAsia="Times New Roman" w:hAnsi="Times New Roman"/>
          <w:sz w:val="18"/>
          <w:szCs w:val="18"/>
          <w:color w:val="auto"/>
        </w:rPr>
        <w:t xml:space="preserve"> hereto.</w:t>
      </w:r>
    </w:p>
    <w:p>
      <w:pPr>
        <w:spacing w:after="0" w:line="79" w:lineRule="exact"/>
        <w:rPr>
          <w:sz w:val="20"/>
          <w:szCs w:val="20"/>
          <w:color w:val="auto"/>
        </w:rPr>
      </w:pPr>
    </w:p>
    <w:p>
      <w:pPr>
        <w:ind w:right="20" w:firstLine="419"/>
        <w:spacing w:after="0" w:line="253"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xml:space="preserve">. (A)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and (B)(i) at the time of the filing of the Registration Statement, (ii) at the time of the most recent amendment thereto for purposes of complying with Section 10(a)(3) of the 1933 Act (whether such amendment was by post-effective amendment, an incorporated report filed pursuant to Section 1 or 15(d) of the 1934 Act or form of prospectus), and (iii) at the time the Company or any person acting on its behalf (within the meaning, for this clause only, of Rule 163(c) of the 1933 Act Rules and Regulations) made any offer relating to the Securities in reliance on the exemption of Rule 163 of the 1933 Act Rules and Regulations, the Company was a “well-known seasoned issuer” as defined in Rule 405 of the 1933 Act Rules and Regulations.</w:t>
      </w:r>
    </w:p>
    <w:p>
      <w:pPr>
        <w:spacing w:after="0" w:line="86" w:lineRule="exact"/>
        <w:rPr>
          <w:rFonts w:ascii="Times New Roman" w:cs="Times New Roman" w:eastAsia="Times New Roman" w:hAnsi="Times New Roman"/>
          <w:sz w:val="18"/>
          <w:szCs w:val="18"/>
          <w:color w:val="auto"/>
        </w:rPr>
      </w:pPr>
    </w:p>
    <w:p>
      <w:pPr>
        <w:ind w:right="40" w:firstLine="419"/>
        <w:spacing w:after="0" w:line="255" w:lineRule="auto"/>
        <w:tabs>
          <w:tab w:leader="none" w:pos="7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To the knowledge of the Company, PricewaterhouseCoopers LLP, which has expressed its opinion with respect to the financial statements (which term as used in this Agreement includes the related notes thereto) filed with the Commission as a part of the Registration Statement, the General Disclosure Package and the Prospectus, is (i) an independent registered public accounting firm as required by the 1933 Act, the 1934 Act, and the rules of the Public Company Accounting Oversight Board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1933 Act and (iii) is a registered public accounting firm as defined by the PCAOB whose registration has not been suspended or revoked and who has not requested such registration to be withdrawn.</w:t>
      </w:r>
    </w:p>
    <w:p>
      <w:pPr>
        <w:spacing w:after="0" w:line="80" w:lineRule="exact"/>
        <w:rPr>
          <w:rFonts w:ascii="Times New Roman" w:cs="Times New Roman" w:eastAsia="Times New Roman" w:hAnsi="Times New Roman"/>
          <w:sz w:val="18"/>
          <w:szCs w:val="18"/>
          <w:color w:val="auto"/>
        </w:rPr>
      </w:pPr>
    </w:p>
    <w:p>
      <w:pPr>
        <w:ind w:right="260" w:firstLine="419"/>
        <w:spacing w:after="0" w:line="312" w:lineRule="auto"/>
        <w:tabs>
          <w:tab w:leader="none" w:pos="77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financial statements included or incorporated by reference in the Registration Statement, the General Disclosure Package and the Prospectus present fairly in all material respects the financial position of the Company and its subsidiaries as of the</w:t>
      </w:r>
    </w:p>
    <w:p>
      <w:pPr>
        <w:spacing w:after="0" w:line="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dates indicated and the results of their operations and cash flows for the periods specified. Such financial statements have been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General Disclosure Package or the Prospectus. All disclosures contained in the Registration Statement, the General Disclosure Package, the Prospectus and any free writing prospectus that constitute non-GAAP financial measures (as defined by the rules and regulations under the 1933 Act and the 1934 Act) comply in all material respects with Regulation G under the 1934 Act and Item 10 of Regulation S-K under the 1933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General Disclosure Package and the Prospectus.</w:t>
      </w:r>
    </w:p>
    <w:p>
      <w:pPr>
        <w:spacing w:after="0" w:line="89" w:lineRule="exact"/>
        <w:rPr>
          <w:sz w:val="20"/>
          <w:szCs w:val="20"/>
          <w:color w:val="auto"/>
        </w:rPr>
      </w:pPr>
    </w:p>
    <w:p>
      <w:pPr>
        <w:ind w:right="20" w:firstLine="419"/>
        <w:spacing w:after="0" w:line="254"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each of its subsidiaries make and keep books and records that are accurate in all material respects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1934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80" w:top="270" w:right="439" w:bottom="1440" w:gutter="0" w:footer="0" w:header="0"/>
        </w:sectPr>
      </w:pPr>
    </w:p>
    <w:bookmarkStart w:id="10" w:name="page11"/>
    <w:bookmarkEnd w:id="10"/>
    <w:p>
      <w:pPr>
        <w:ind w:right="120" w:firstLine="419"/>
        <w:spacing w:after="0" w:line="312" w:lineRule="auto"/>
        <w:tabs>
          <w:tab w:leader="none" w:pos="6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w:t>
      </w:r>
      <w:r>
        <w:rPr>
          <w:rFonts w:ascii="Times New Roman" w:cs="Times New Roman" w:eastAsia="Times New Roman" w:hAnsi="Times New Roman"/>
          <w:sz w:val="17"/>
          <w:szCs w:val="17"/>
          <w:color w:val="auto"/>
        </w:rPr>
        <w:t>. There is, and has been, no failure on the part of the Company or any of the Company’s directors or officers, in their capacities as such, to comply with applicable provision of the Sarbanes-Oxley Act of 2002 and the rules and regulations promulgated thereunder.</w:t>
      </w:r>
    </w:p>
    <w:p>
      <w:pPr>
        <w:spacing w:after="0" w:line="31" w:lineRule="exact"/>
        <w:rPr>
          <w:rFonts w:ascii="Times New Roman" w:cs="Times New Roman" w:eastAsia="Times New Roman" w:hAnsi="Times New Roman"/>
          <w:sz w:val="17"/>
          <w:szCs w:val="17"/>
          <w:color w:val="auto"/>
        </w:rPr>
      </w:pPr>
    </w:p>
    <w:p>
      <w:pPr>
        <w:ind w:firstLine="419"/>
        <w:spacing w:after="0" w:line="252" w:lineRule="auto"/>
        <w:tabs>
          <w:tab w:leader="none" w:pos="7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disclosed in the Registration Statement, the General Disclosure Package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that are not in the ordinary course of business; and (iii) there has not been any material decrease in the outstanding capital stock (other than the issuance of shares of Common Stock upon exercise of stock options and warrants or vesting of restricted stock units, or settlement of restricted stock units (including any “net” or “cashless” exercises or settlements), if any, the grant of options and other awards under existing equity incentive plans or the issuance or Common Stock pursuant to offerings under an employee stock purchase plan described in the Registration Statement, the General Disclosure Package and the Prospectus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83" w:lineRule="exact"/>
        <w:rPr>
          <w:rFonts w:ascii="Times New Roman" w:cs="Times New Roman" w:eastAsia="Times New Roman" w:hAnsi="Times New Roman"/>
          <w:sz w:val="18"/>
          <w:szCs w:val="18"/>
          <w:color w:val="auto"/>
        </w:rPr>
      </w:pPr>
    </w:p>
    <w:p>
      <w:pPr>
        <w:ind w:right="60" w:firstLine="419"/>
        <w:spacing w:after="0" w:line="255" w:lineRule="auto"/>
        <w:tabs>
          <w:tab w:leader="none" w:pos="7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w:t>
      </w:r>
      <w:r>
        <w:rPr>
          <w:rFonts w:ascii="Times New Roman" w:cs="Times New Roman" w:eastAsia="Times New Roman" w:hAnsi="Times New Roman"/>
          <w:sz w:val="18"/>
          <w:szCs w:val="18"/>
          <w:color w:val="auto"/>
        </w:rPr>
        <w:t>.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the General Disclosure Package and the Prospectus and to enter into and perform its obligations under this Agreement. The Company is duly qualified as a foreign corporation to transact business and is in good standing in the Commonwealth of Massachusetts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w:t>
      </w:r>
    </w:p>
    <w:p>
      <w:pPr>
        <w:spacing w:after="0" w:line="80"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Company’s Subsidiaries</w:t>
      </w:r>
      <w:r>
        <w:rPr>
          <w:rFonts w:ascii="Times New Roman" w:cs="Times New Roman" w:eastAsia="Times New Roman" w:hAnsi="Times New Roman"/>
          <w:sz w:val="18"/>
          <w:szCs w:val="18"/>
          <w:color w:val="auto"/>
        </w:rPr>
        <w:t>. Each subsidiary of the Company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collectively, the</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be so qualified or to be in good standing would</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1" w:name="page12"/>
    <w:bookmarkEnd w:id="11"/>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reasonably be expected to result in a Material Adverse Change. Except as otherwise disclosed in the Registration Statement, the General Disclosure Package and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only Subsidiaries of the Company are the entities listed on Exhibit 21 to the Company’s most recent Annual report on Form 10-K.</w:t>
      </w:r>
    </w:p>
    <w:p>
      <w:pPr>
        <w:spacing w:after="0" w:line="79" w:lineRule="exact"/>
        <w:rPr>
          <w:sz w:val="20"/>
          <w:szCs w:val="20"/>
          <w:color w:val="auto"/>
        </w:rPr>
      </w:pPr>
    </w:p>
    <w:p>
      <w:pPr>
        <w:ind w:firstLine="419"/>
        <w:spacing w:after="0" w:line="251" w:lineRule="auto"/>
        <w:tabs>
          <w:tab w:leader="none" w:pos="8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 Registration Statement, the General Disclosure Package and the Prospectus under the caption “Capitalization” (other than for subsequent issuances, if any, pursuant to employee benefit plans or upon the exercise of outstanding options or warrants, in each case described in the Registration Statement, the General Disclosure Package and the Prospectus). The Securities conform in all material respects to the description thereof contained in the Prospectus. All of the issued and outstanding Securities have been duly authorized and validly issued, are fully paid and nonassessable and have been issued in compliance with all applicable federal and state securities laws. None of the outstanding Securities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General Disclosure Package and the Prospectus. The descriptions of the Company’s stock option, stock bonus and other stock plans or arrangements, and the options or other rights granted thereunder, set forth in the Registration Statement, the General Disclosure Package and the Prospectus accurately and fairly presents in all material respects the information required to be shown with respect to such plans, arrangements, options and rights. With respect to the stock options (the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granted pursuant to the stock-based compensation plans of the Company and its subsidiaries (the “</w:t>
      </w:r>
      <w:r>
        <w:rPr>
          <w:rFonts w:ascii="Times New Roman" w:cs="Times New Roman" w:eastAsia="Times New Roman" w:hAnsi="Times New Roman"/>
          <w:sz w:val="18"/>
          <w:szCs w:val="18"/>
          <w:u w:val="single" w:color="auto"/>
          <w:color w:val="auto"/>
        </w:rPr>
        <w:t>Company Stock Plan</w:t>
      </w:r>
      <w:r>
        <w:rPr>
          <w:rFonts w:ascii="Times New Roman" w:cs="Times New Roman" w:eastAsia="Times New Roman" w:hAnsi="Times New Roman"/>
          <w:sz w:val="18"/>
          <w:szCs w:val="18"/>
          <w:color w:val="auto"/>
        </w:rPr>
        <w:t>”), (i) each Stock Option intended to qualify as an “incentive stock option” under Section 422 of the Code so qualifies, (ii) each grant of a Stock Option was duly authorized no later than the date on which the grant of such Stock Option was by its terms to be effective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1934 Act and all other applicable laws and regulatory rules or requirements, including the rules of the Nasdaq Global Market and any other exchange on which the Company Securities are traded, and (iv) each such grant was properly accounted for in accordance with GAAP in the financial statements (including the related notes) of the Company and disclosed in the Company’s filings with the Commission in accordance with the 1934 Act and all other applicable laws.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96"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right="20" w:firstLine="419"/>
        <w:spacing w:after="0" w:line="252" w:lineRule="auto"/>
        <w:tabs>
          <w:tab w:leader="none" w:pos="8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and Description of the Securities</w:t>
      </w:r>
      <w:r>
        <w:rPr>
          <w:rFonts w:ascii="Times New Roman" w:cs="Times New Roman" w:eastAsia="Times New Roman" w:hAnsi="Times New Roman"/>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Pre-Funded Warrants have been duly authorized for issuance and sales pursuant to this Agreement and, when executed and delivered by the Company against payment therefor pursuant to this Agreement,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rights, rights of first refusal or other similar rights to subscribe for or purchase the Warrant Shares. The Common Stock, the Pre-Funded Warrants and the Warrant Shares conform to all statements relating thereto contained in the Registration Statement, the General Disclosure Package and the Prospectus and such description conforms to the rights set forth in the instruments defining the same. No holder of Securities will be subject to personal liability by reason of being such a holder.</w:t>
      </w:r>
    </w:p>
    <w:p>
      <w:pPr>
        <w:spacing w:after="0" w:line="89" w:lineRule="exact"/>
        <w:rPr>
          <w:rFonts w:ascii="Times New Roman" w:cs="Times New Roman" w:eastAsia="Times New Roman" w:hAnsi="Times New Roman"/>
          <w:sz w:val="18"/>
          <w:szCs w:val="18"/>
          <w:color w:val="auto"/>
        </w:rPr>
      </w:pPr>
    </w:p>
    <w:p>
      <w:pPr>
        <w:ind w:right="180" w:firstLine="419"/>
        <w:spacing w:after="0" w:line="261" w:lineRule="auto"/>
        <w:tabs>
          <w:tab w:leader="none" w:pos="8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9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its subsidiaries is in violation of its charter or by laws or similar organizational documents, as applicable, or is in default (or, with the giving of notice or lapse of time, would be in default)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u w:val="single" w:color="auto"/>
          <w:color w:val="auto"/>
        </w:rPr>
        <w:t>Existing Instrument</w:t>
      </w:r>
      <w:r>
        <w:rPr>
          <w:rFonts w:ascii="Times New Roman" w:cs="Times New Roman" w:eastAsia="Times New Roman" w:hAnsi="Times New Roman"/>
          <w:sz w:val="18"/>
          <w:szCs w:val="18"/>
          <w:color w:val="auto"/>
        </w:rPr>
        <w:t>”), except for such Defaults as would not be reasonably expected, individually or in the aggregate, to result in a Material Adverse Change. The Company’s execution, delivery and performance of this Agreement, the Pre-Funded Warrants, consummation of the transactions contemplated hereby and by the Registration Statement, the General Disclosure Package and the Prospectus and the issuance and sale of the Securities (including the use of proceeds from the sale of the Securities as described in the Registration Statement, the General Disclosure Package and the Prospectus under the caption “Use of Proceeds”) (i) have been duly authorized by all necessary corporate action and will not result in any violation of the provisions of the charter or by 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any of its subsidiaries, except for such conflicts, breaches, Defaults, liens, charges, encumbrances or violations specified to subsections (ii) and (iii) above that would not reasonably be expected, individually or in the aggregate, to have a Material Adverse Change. No consent, approval, authorization or other order of, or registration or filing with, any court or other governmental or regulatory authority or agency, is required for the Company’s execution, delivery and performance of this Agreement, the Pre-Funded Warrants and consummation of the transactions contemplated hereby and by the Registration Statement, the General Disclosure Package and the Prospectus, except such as have been obtained or made by the Company and are in full force and effect under the 1933 Act and such as may be required under applicable state securities or blue sky laws or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As used herein, a “</w:t>
      </w:r>
      <w:r>
        <w:rPr>
          <w:rFonts w:ascii="Times New Roman" w:cs="Times New Roman" w:eastAsia="Times New Roman" w:hAnsi="Times New Roman"/>
          <w:sz w:val="18"/>
          <w:szCs w:val="18"/>
          <w:u w:val="single" w:color="auto"/>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86" w:lineRule="exact"/>
        <w:rPr>
          <w:sz w:val="20"/>
          <w:szCs w:val="20"/>
          <w:color w:val="auto"/>
        </w:rPr>
      </w:pPr>
    </w:p>
    <w:p>
      <w:pPr>
        <w:ind w:firstLine="419"/>
        <w:spacing w:after="0" w:line="258" w:lineRule="auto"/>
        <w:tabs>
          <w:tab w:leader="none" w:pos="8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Shares and Warrant Shares are registered pursuant to Section 12(b) or 12(g) of the 1934 Act and are listed on the NASDAQ Global Market, and the Company has taken no action designed to, or likely to have the effect of, terminating the registration of the Securities under the 1934 Act or delisting the Securities from the NASDAQ Global Market, nor has the Company received any notification that the Commission or the NASDAQ Global Market is contemplating terminating such registration or listing. To the Company’s knowledge, it is in compliance with all applicable listing requirements of the NASDAQ Global Market.</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There is no action, suit, proceeding, inquiry or investigation brought by or before any legal or governmental entity now pending or, to the knowledge of the Company, threatened, against or affecting the Company or any of its subsidiaries, which could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8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67" w:lineRule="exact"/>
        <w:rPr>
          <w:rFonts w:ascii="Times New Roman" w:cs="Times New Roman" w:eastAsia="Times New Roman" w:hAnsi="Times New Roman"/>
          <w:sz w:val="18"/>
          <w:szCs w:val="18"/>
          <w:color w:val="auto"/>
        </w:rPr>
      </w:pPr>
    </w:p>
    <w:p>
      <w:pPr>
        <w:ind w:right="80" w:firstLine="419"/>
        <w:spacing w:after="0" w:line="258" w:lineRule="auto"/>
        <w:tabs>
          <w:tab w:leader="none" w:pos="8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Stock Market LLC, state securities laws or the rules of FINRA.</w:t>
      </w:r>
    </w:p>
    <w:p>
      <w:pPr>
        <w:spacing w:after="0" w:line="75" w:lineRule="exact"/>
        <w:rPr>
          <w:rFonts w:ascii="Times New Roman" w:cs="Times New Roman" w:eastAsia="Times New Roman" w:hAnsi="Times New Roman"/>
          <w:sz w:val="18"/>
          <w:szCs w:val="18"/>
          <w:color w:val="auto"/>
        </w:rPr>
      </w:pPr>
    </w:p>
    <w:p>
      <w:pPr>
        <w:ind w:right="20" w:firstLine="419"/>
        <w:spacing w:after="0" w:line="258" w:lineRule="auto"/>
        <w:tabs>
          <w:tab w:leader="none" w:pos="9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The Company and each subsidiary possess such valid and current certificates, authorizations or permits required by state, federal or foreign regulatory agencies or bodies to conduct their respective businesses as currently conducted and as described in the Registration Statement, the General Disclosure Package or the Prospectus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where the failure to possess or obtain the same or so qualify would not reasonably be expected, individually or in the aggregate, to have a Material Adverse Change. Neither the Company nor any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subsidiaries is in violation of, or in default under, any of the Permits or has received any notice of proceedings relating to the revocation or modification of, or noncompliance with, any of the Permits, except for any such violations, defaults, or proceedings relating to the revocation or modification of, or non-compliance with, any such Permits that would not reasonably be expected, individually or in the aggregate, if the subject of an unfavorable decision, ruling or finding, to have a Material Adverse Change.</w:t>
      </w:r>
    </w:p>
    <w:p>
      <w:pPr>
        <w:spacing w:after="0" w:line="72" w:lineRule="exact"/>
        <w:rPr>
          <w:sz w:val="20"/>
          <w:szCs w:val="20"/>
          <w:color w:val="auto"/>
        </w:rPr>
      </w:pPr>
    </w:p>
    <w:p>
      <w:pPr>
        <w:ind w:firstLine="419"/>
        <w:spacing w:after="0" w:line="255" w:lineRule="auto"/>
        <w:tabs>
          <w:tab w:leader="none" w:pos="90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xml:space="preserve">. The Company and its subsidiaries have good and marketable title to all of the real and personal property and other assets reflected as owned in the financial statements referred to in </w:t>
      </w:r>
      <w:r>
        <w:rPr>
          <w:rFonts w:ascii="Times New Roman" w:cs="Times New Roman" w:eastAsia="Times New Roman" w:hAnsi="Times New Roman"/>
          <w:sz w:val="18"/>
          <w:szCs w:val="18"/>
          <w:u w:val="single" w:color="auto"/>
          <w:color w:val="auto"/>
        </w:rPr>
        <w:t>Section vii</w:t>
      </w:r>
      <w:r>
        <w:rPr>
          <w:rFonts w:ascii="Times New Roman" w:cs="Times New Roman" w:eastAsia="Times New Roman" w:hAnsi="Times New Roman"/>
          <w:sz w:val="18"/>
          <w:szCs w:val="18"/>
          <w:color w:val="auto"/>
        </w:rPr>
        <w:t xml:space="preserve"> above (or elsewhere in the Registration Statement, the General Disclosure Package or the Prospectus),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80" w:lineRule="exact"/>
        <w:rPr>
          <w:rFonts w:ascii="Times New Roman" w:cs="Times New Roman" w:eastAsia="Times New Roman" w:hAnsi="Times New Roman"/>
          <w:sz w:val="18"/>
          <w:szCs w:val="18"/>
          <w:color w:val="auto"/>
        </w:rPr>
      </w:pPr>
    </w:p>
    <w:p>
      <w:pPr>
        <w:ind w:firstLine="419"/>
        <w:spacing w:after="0" w:line="251" w:lineRule="auto"/>
        <w:tabs>
          <w:tab w:leader="none" w:pos="8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otherwise disclosed in the Registration Statement, the General Disclosure Package or the Prospectus, the Company and its subsidiaries own, or have obtained licenses the Company believes to be valid and enforceable for, the inventions, patent applications, patents, trademarks, trade names, service names, copyrights, trade secrets and other intellectual property described in the Registration Statement, the General Disclosure Package and the Prospectus as being owned or licensed by them or which are necessary for the conduct of their respective businesses as currently conducted or as currently proposed to be conducted (including upon the commercialization of products or services described in the Registration Statement, the General Disclosure Package or the Prospectus as under development) and as described in the Registration Statement, the General Disclosure Package and the Prospectus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and to the Company’s knowledge the conduct of their 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to the Company’s knowledge, there are no facts which would form a reasonable basis for any such adjudication. To the Company’s knowledge: (i) except as otherwise disclosed in documents filed with the Commission, there are no third parties who have rights to any Intellectual Property, including no liens, security interests, or other encumbrances, except for customary reversionary rights of third-party licensors with respect to Intellectual Property that is disclosed in the Registration Statement, the General Disclosure Package and the Prospectus as licensed to the Company or one or more of its subsidiaries; and (ii) there is no infringement by third parties of any Intellectual Property, that would reasonably be expected, individually or in the aggregate, to have a Material Adverse Change.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General Disclosure Package or the Prospectus as under development, infringe or violate, any patent, trademark, trade name, service name, copyright, trade secret or other proprietary rights of others, and the Company is unaware of</w:t>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15" w:name="page16"/>
    <w:bookmarkEnd w:id="15"/>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facts which would form a reasonable basis for any such action, suit, proceeding or claim that, in each case, would reasonably be expected, individually or in the aggregate, to have a Material Adverse Change. The Company and its subsidiaries have complied in all material respects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patents included in the Intellectual Property are subsisting and have not lapsed, and the patent applications in the Intellectual Property are subsisting and have not been abandoned. The Company and its subsidiaries have taken all reasonable steps to protect, maintain and safeguard their material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except where such violations would not reasonably be expected, individually or in the aggregate, to have a Material Adverse Change. To the Company’s knowledge, the duty of candor and good faith as required by the United States Patent and Trademark Office during the prosecution of the United States patents and patent applications included in the Intellectual Property have been complied with in all material respects; and to the Company’s knowledge, in all foreign offices having similar requirements, all such requirements have been complied with in all material respects.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except where such violations would not reasonably be expected, individually or in the aggregate, to have a Material Adverse Change. The product candidates that constitute development candidates as described in the Registration Statement, the General Disclosure Package and the Prospectus as under development by the Company or any subsidiary fall within the scope of the claims of one or more patents or patent applications owned by, or exclusively licensed to, the Company or any subsidiary. To the Company’s knowledge, there is no patent or published patent application, in the U.S. or other jurisdiction, which, in the case of a patent, contains claims, or in the case of a published patent application contains patentable claims, that dominate or may dominate any of the Company’s Intellectual Property described in the Registration Statement, the General Disclosure Package or the Prospectus as being owned by or licensed to the Company or that interferes with the issued or pending claims of any of the Company’s Intellectual Property.</w:t>
      </w:r>
    </w:p>
    <w:p>
      <w:pPr>
        <w:spacing w:after="0" w:line="289" w:lineRule="exact"/>
        <w:rPr>
          <w:sz w:val="20"/>
          <w:szCs w:val="20"/>
          <w:color w:val="auto"/>
        </w:rPr>
      </w:pPr>
    </w:p>
    <w:p>
      <w:pPr>
        <w:ind w:firstLine="419"/>
        <w:spacing w:after="0" w:line="254" w:lineRule="auto"/>
        <w:tabs>
          <w:tab w:leader="none" w:pos="9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The preclinical trials, and other studies (collectively, “</w:t>
      </w:r>
      <w:r>
        <w:rPr>
          <w:rFonts w:ascii="Times New Roman" w:cs="Times New Roman" w:eastAsia="Times New Roman" w:hAnsi="Times New Roman"/>
          <w:sz w:val="18"/>
          <w:szCs w:val="18"/>
          <w:u w:val="single" w:color="auto"/>
          <w:color w:val="auto"/>
        </w:rPr>
        <w:t>Studies</w:t>
      </w:r>
      <w:r>
        <w:rPr>
          <w:rFonts w:ascii="Times New Roman" w:cs="Times New Roman" w:eastAsia="Times New Roman" w:hAnsi="Times New Roman"/>
          <w:sz w:val="18"/>
          <w:szCs w:val="18"/>
          <w:color w:val="auto"/>
        </w:rPr>
        <w:t>”) of the product candidates of the Company and its subsidiaries that are described in the Registration Statement, the General Disclosure Package or the Prospectus were and, if still pending, are being conducted in all material respects in accordance with the protocols, procedures and controls designed for such Studies and with standard medical and scientific research procedures; each description of the results of such Studies is accurate in all material respects and fairly presents the data derived from such Studies, and the Company and its subsidiaries have no knowledge of any other studies the results of which are inconsistent with, or otherwise call into question, the results of such Studies described or referred to in the Registration Statement, the General Disclosure Package or the Prospectus; the Company and its subsidiaries have made all such filings and obtained all such approvals and authorizations to conduct such Studies as may be required by the Food and Drug Administration of the U.S. Department of Health and Human</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16" w:name="page17"/>
    <w:bookmarkEnd w:id="16"/>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Services or from any other U.S. or foreign government or drug or medical device regulatory agency, or health care facility Institutional Review Board (collectively, the “</w:t>
      </w:r>
      <w:r>
        <w:rPr>
          <w:rFonts w:ascii="Times New Roman" w:cs="Times New Roman" w:eastAsia="Times New Roman" w:hAnsi="Times New Roman"/>
          <w:sz w:val="18"/>
          <w:szCs w:val="18"/>
          <w:u w:val="single" w:color="auto"/>
          <w:color w:val="auto"/>
        </w:rPr>
        <w:t>Regulatory Agencies</w:t>
      </w:r>
      <w:r>
        <w:rPr>
          <w:rFonts w:ascii="Times New Roman" w:cs="Times New Roman" w:eastAsia="Times New Roman" w:hAnsi="Times New Roman"/>
          <w:sz w:val="18"/>
          <w:szCs w:val="18"/>
          <w:color w:val="auto"/>
        </w:rPr>
        <w:t>”); neither the Company nor any of its subsidiaries has received any notice of, or correspondence from, any Regulatory Agency requiring the termination, suspension or material modification of any clinical trials of the product candidates of the Company and its subsidiaries that are described or referred to in the Registration Statement, the General Disclosure Package or the Prospectus; and the Company and its subsidiaries have each operated and currently are in compliance in all material respects with all applicable rules and regulations of the Regulatory Agencies.</w:t>
      </w:r>
    </w:p>
    <w:p>
      <w:pPr>
        <w:spacing w:after="0" w:line="79" w:lineRule="exact"/>
        <w:rPr>
          <w:sz w:val="20"/>
          <w:szCs w:val="20"/>
          <w:color w:val="auto"/>
        </w:rPr>
      </w:pPr>
    </w:p>
    <w:p>
      <w:pPr>
        <w:ind w:firstLine="419"/>
        <w:spacing w:after="0" w:line="252" w:lineRule="auto"/>
        <w:tabs>
          <w:tab w:leader="none" w:pos="9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The Company has operated at all prior times and currently is in compliance in all material respects with all applicable health care laws, rules and regulations, including, without limitation, (i) the Federal, Food, Drug and Cosmetic Act (21 U.S.C. §§ 301 et seq.); (ii) all applicable federal, state, local and all applicable foreign healthcare related fraud and abuse laws, including, without limitation, the federal Anti-kickback Statute (42 U.S.C. § 1320a-7b(b)), the civil False Claims Act (31 U.S.C. §§ 3729 et seq.), the criminal False Claims Law (42 U.S.C. § 1320a-7b(a)), all criminal laws relating to healthcare fraud and abuse, including but not limited to 18 U.S.C. Sections 286 and 287, and the healthcare fraud criminal provisions under the U.S. Health Insurance Portability and Accountability Act of 1996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(42 U.S.C. Section 1320d et seq.), the exclusion laws (42 U.S.C. § 1320a-7), and the civil monetary penalties law (42 U.S.C. § 1320a-7a); (iii) HIPAA, as amended by the Health Information Technology for Economic Clinical Health Act (42 U.S.C. Section 17921 et seq.); (iv) the regulations promulgated pursuant to such laws; and (v) any other similar local, state, federal, or foreign laws (collectively, the “</w:t>
      </w:r>
      <w:r>
        <w:rPr>
          <w:rFonts w:ascii="Times New Roman" w:cs="Times New Roman" w:eastAsia="Times New Roman" w:hAnsi="Times New Roman"/>
          <w:sz w:val="18"/>
          <w:szCs w:val="18"/>
          <w:u w:val="single" w:color="auto"/>
          <w:color w:val="auto"/>
        </w:rPr>
        <w:t>Health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Neither the Company, nor to the Company’s knowledge, any of its officers, directors, employees or agents have engaged in activities which are, 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from any court or arbitrator or governmental or regulatory authority or third party alleging that any product operation or activity is in violation of any Health Care Laws, and, to the Company’s knowledge, no such claim, action, suit, proceeding, hearing, enforcement, investigation, arbitration or other action is threatened. The Company is not a party to and does not have any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or any of its managing employees (as defined in 42 U.S.C. § 1320a-5(b)), officers or directors, nor to the Company’s knowledge, any of its agents, has been excluded, suspended or debarred from participation in any U.S. state or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80" w:lineRule="exact"/>
        <w:rPr>
          <w:rFonts w:ascii="Times New Roman" w:cs="Times New Roman" w:eastAsia="Times New Roman" w:hAnsi="Times New Roman"/>
          <w:sz w:val="18"/>
          <w:szCs w:val="18"/>
          <w:color w:val="auto"/>
        </w:rPr>
      </w:pPr>
    </w:p>
    <w:p>
      <w:pPr>
        <w:ind w:right="40" w:firstLine="419"/>
        <w:spacing w:after="0" w:line="255" w:lineRule="auto"/>
        <w:tabs>
          <w:tab w:leader="none" w:pos="10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to the Company’s knowledge,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u w:val="single" w:color="auto"/>
          <w:color w:val="auto"/>
        </w:rPr>
        <w:t>Hazardous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7" w:name="page18"/>
    <w:bookmarkEnd w:id="17"/>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84" w:lineRule="exact"/>
        <w:rPr>
          <w:sz w:val="20"/>
          <w:szCs w:val="20"/>
          <w:color w:val="auto"/>
        </w:rPr>
      </w:pPr>
    </w:p>
    <w:p>
      <w:pPr>
        <w:ind w:firstLine="419"/>
        <w:spacing w:after="0" w:line="252"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of which the Company or such subsidiary is a member. Except as would not reasonably be expected, individually or in the aggregate, to have a Material Adverse Event, (i) no “reportable event” (as defined under ERISA) has occurred or is reasonably expected to occur with respect to any “employee benefit plan” established or maintained by the Company, its subsidiaries or any of their ERISA Affiliates, (ii)no “employee benefit plan” established or maintained by the Company, its subsidiaries or any of their ERISA Affiliates, if such “employee benefit plan” were terminated, would have any “amount of unfunded benefit liabilities” (as defined under ERISA), and (iii)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to the knowledge of the Company, is so qualified and nothing has occurred, whether by action or failure to act, which would cause the loss of such qualification.</w:t>
      </w:r>
    </w:p>
    <w:p>
      <w:pPr>
        <w:spacing w:after="0" w:line="87" w:lineRule="exact"/>
        <w:rPr>
          <w:rFonts w:ascii="Times New Roman" w:cs="Times New Roman" w:eastAsia="Times New Roman" w:hAnsi="Times New Roman"/>
          <w:sz w:val="18"/>
          <w:szCs w:val="18"/>
          <w:color w:val="auto"/>
        </w:rPr>
      </w:pPr>
    </w:p>
    <w:p>
      <w:pPr>
        <w:ind w:right="40" w:firstLine="419"/>
        <w:spacing w:after="0" w:line="253" w:lineRule="auto"/>
        <w:tabs>
          <w:tab w:leader="none" w:pos="8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xml:space="preserve">. The Company and each of its subsidiaries have filed all necessary U.S. federal, state, local and non-U.S. tax returns or have properly requested extensions thereof and have paid all taxes required to be paid whether or not reported thereon and, if due and payable, any related or similar assessment, fine or penalty levied against any of them except as may be being contested in good faith and by appropriate proceedings and for which adequate reserves have been established in the financial statements. The Company has made adequate charges, accruals and reserves in the applicable financial statements referred to in </w:t>
      </w:r>
      <w:r>
        <w:rPr>
          <w:rFonts w:ascii="Times New Roman" w:cs="Times New Roman" w:eastAsia="Times New Roman" w:hAnsi="Times New Roman"/>
          <w:sz w:val="18"/>
          <w:szCs w:val="18"/>
          <w:u w:val="single" w:color="auto"/>
          <w:color w:val="auto"/>
        </w:rPr>
        <w:t>Section (vii)</w:t>
      </w:r>
      <w:r>
        <w:rPr>
          <w:rFonts w:ascii="Times New Roman" w:cs="Times New Roman" w:eastAsia="Times New Roman" w:hAnsi="Times New Roman"/>
          <w:sz w:val="18"/>
          <w:szCs w:val="18"/>
          <w:color w:val="auto"/>
        </w:rPr>
        <w:t xml:space="preserve"> above in respect of all federal, state and non-U.S. taxes for all periods as to which the tax liability of the Company or any of its subsidiaries has not been finally determined. No tax deficiency has been, or could reasonably be expected to be, asserted against the Company or any of its subsidiaries that could reasonably be expected to result in a Material Adverse Change. To the Company’s knowledge, none of the tax returns or taxes of the Company or any of its Subsidiaries is currently under audit or other examination and there are no outstanding agreements or waivers extending the statutory period of limitation applicable to any U.S. federal, state, local or non-U.S. tax return for any period.</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8" w:name="page19"/>
    <w:bookmarkEnd w:id="18"/>
    <w:p>
      <w:pPr>
        <w:ind w:left="4" w:right="20" w:firstLine="419"/>
        <w:spacing w:after="0" w:line="269" w:lineRule="auto"/>
        <w:tabs>
          <w:tab w:leader="none" w:pos="91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w:t>
      </w:r>
      <w:r>
        <w:rPr>
          <w:rFonts w:ascii="Times New Roman" w:cs="Times New Roman" w:eastAsia="Times New Roman" w:hAnsi="Times New Roman"/>
          <w:sz w:val="17"/>
          <w:szCs w:val="17"/>
          <w:color w:val="auto"/>
        </w:rPr>
        <w:t>. Each of the Company and its subsidiaries are insured by recognized, financially sound and reputable institutions with policies in such amounts and with such deductibles and covering such risks as the Company reasonably believes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80" w:lineRule="exact"/>
        <w:rPr>
          <w:rFonts w:ascii="Times New Roman" w:cs="Times New Roman" w:eastAsia="Times New Roman" w:hAnsi="Times New Roman"/>
          <w:sz w:val="18"/>
          <w:szCs w:val="18"/>
          <w:color w:val="auto"/>
        </w:rPr>
      </w:pPr>
    </w:p>
    <w:p>
      <w:pPr>
        <w:ind w:left="4" w:right="180" w:firstLine="419"/>
        <w:spacing w:after="0" w:line="261" w:lineRule="auto"/>
        <w:tabs>
          <w:tab w:leader="none" w:pos="96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The Company is not, and will not be, either after receipt of payment for the Securities or after the application of the proceeds therefrom as described under “Use of Proceeds” in the Registration Statement, the General Disclosure Package or the Prospectus, required to register as an “investment company” under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101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 Compliance with Regulation M</w:t>
      </w:r>
      <w:r>
        <w:rPr>
          <w:rFonts w:ascii="Times New Roman" w:cs="Times New Roman" w:eastAsia="Times New Roman" w:hAnsi="Times New Roman"/>
          <w:sz w:val="18"/>
          <w:szCs w:val="18"/>
          <w:color w:val="auto"/>
        </w:rPr>
        <w:t>. Neither the Company nor any of its subsidiaries has taken, directly or indirectly, without giving effect to activities by the Representatives, any action designed to or that might reasonably be expected to cause or result in stabilization or manipulation of the price of the Common Stock or of any “reference security” (as defined in Rule 100 of Regulation M under the 1934 Act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with respect to the Common Stock, whether to facilitate the sale or resale of the Securities or otherwise, and has taken no action which would directly or indirectly violate Regulation M.</w:t>
      </w:r>
    </w:p>
    <w:p>
      <w:pPr>
        <w:spacing w:after="0" w:line="75" w:lineRule="exact"/>
        <w:rPr>
          <w:rFonts w:ascii="Times New Roman" w:cs="Times New Roman" w:eastAsia="Times New Roman" w:hAnsi="Times New Roman"/>
          <w:sz w:val="18"/>
          <w:szCs w:val="18"/>
          <w:color w:val="auto"/>
        </w:rPr>
      </w:pPr>
    </w:p>
    <w:p>
      <w:pPr>
        <w:ind w:left="4" w:firstLine="419"/>
        <w:spacing w:after="0" w:line="266" w:lineRule="auto"/>
        <w:tabs>
          <w:tab w:leader="none" w:pos="10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to be described in the Registration Statement, the General Disclosure Package or the Prospectus that have not been described as required.</w:t>
      </w:r>
    </w:p>
    <w:p>
      <w:pPr>
        <w:spacing w:after="0" w:line="67"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9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Securities is true, complete, correct and compliant with FINRA’s rules and any letters, filings or other supplemental information provided to FINRA pursuant to FINRA Rules or NASD Conduct Rules is true, complete and correct. The Company meets the definition of the term “experienced issuer” specified in FINRA Rule 5110(j)(6).</w:t>
      </w:r>
    </w:p>
    <w:p>
      <w:pPr>
        <w:spacing w:after="0" w:line="75"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100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to Lock-Up Agreements</w:t>
      </w:r>
      <w:r>
        <w:rPr>
          <w:rFonts w:ascii="Times New Roman" w:cs="Times New Roman" w:eastAsia="Times New Roman" w:hAnsi="Times New Roman"/>
          <w:sz w:val="18"/>
          <w:szCs w:val="18"/>
          <w:color w:val="auto"/>
        </w:rPr>
        <w:t>. The Company has furnished to the Underwriters a letter agreement in the form attached hereto as Exhibit A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from each of the persons listed on Exhibit B. Such Exhibit B lists under an appropriate caption the directors and officers of the Company. If any additional persons shall become directors or officers of the Company prior to the end of the Company Lock-up Period (as defined below), the Company shall cause each such person, prior to or contemporaneously with their appointment or election as a director or officer of the Company, to execute and deliver to the Representatives a Lock-up Agreement.</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19" w:name="page20"/>
    <w:bookmarkEnd w:id="19"/>
    <w:p>
      <w:pPr>
        <w:ind w:right="20" w:firstLine="419"/>
        <w:spacing w:after="0" w:line="253" w:lineRule="auto"/>
        <w:tabs>
          <w:tab w:leader="none" w:pos="10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Anti-Corruption and Anti-Bribery Laws</w:t>
      </w:r>
      <w:r>
        <w:rPr>
          <w:rFonts w:ascii="Times New Roman" w:cs="Times New Roman" w:eastAsia="Times New Roman" w:hAnsi="Times New Roman"/>
          <w:sz w:val="18"/>
          <w:szCs w:val="18"/>
          <w:color w:val="auto"/>
        </w:rPr>
        <w:t>. Neither the Company nor any of its subsidiaries nor any director or officer of the Company or any of its subsidiaries, nor to the knowledge of the Company, any employee,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domestic government official or “foreign official” as defined in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(iii) violated or is in violation of any provision of the FCPA,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which it believes is reasonably designed to ensure, and which are reasonably expected to continue to ensure, continued compliance therewith.</w:t>
      </w:r>
    </w:p>
    <w:p>
      <w:pPr>
        <w:spacing w:after="0" w:line="83" w:lineRule="exact"/>
        <w:rPr>
          <w:rFonts w:ascii="Times New Roman" w:cs="Times New Roman" w:eastAsia="Times New Roman" w:hAnsi="Times New Roman"/>
          <w:sz w:val="18"/>
          <w:szCs w:val="18"/>
          <w:color w:val="auto"/>
        </w:rPr>
      </w:pPr>
    </w:p>
    <w:p>
      <w:pPr>
        <w:ind w:firstLine="419"/>
        <w:spacing w:after="0" w:line="256" w:lineRule="auto"/>
        <w:tabs>
          <w:tab w:leader="none" w:pos="10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9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Company, any of its directors or officers, nor any of its subsidiaries, nor, to the knowledge of the Company, after due inquiry, any agent, affiliate, employee,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the Crimea region of Ukraine, Cuba, Iran, North Korea, Syria, the so-called Donetsk People’s Republic, and the so-called Luhansk People’s Republic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89"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pursuant to this Agreement, there is no broker, finder or other party that is entitled to receive from the Company any brokerage or finder’s fee or other fee or commission as a result of any transactions contemplated by this Agreement.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0" w:name="page21"/>
    <w:bookmarkEnd w:id="20"/>
    <w:p>
      <w:pPr>
        <w:ind w:left="4" w:right="14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financial or operational projection or other “forward-looking statement” (as defined by Section 27A of the 1933 Act or Section 21E of the 1934 Act) contained in the Registration Statement, the General Disclosure Package or the Prospectus has been made without reasonable basis or has been disclosed other than in good faith.</w:t>
      </w:r>
    </w:p>
    <w:p>
      <w:pPr>
        <w:spacing w:after="0" w:line="68" w:lineRule="exact"/>
        <w:rPr>
          <w:sz w:val="20"/>
          <w:szCs w:val="20"/>
          <w:color w:val="auto"/>
        </w:rPr>
      </w:pPr>
    </w:p>
    <w:p>
      <w:pPr>
        <w:ind w:left="4" w:firstLine="423"/>
        <w:spacing w:after="0" w:line="266"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1934 Act.</w:t>
      </w:r>
    </w:p>
    <w:p>
      <w:pPr>
        <w:spacing w:after="0" w:line="68" w:lineRule="exact"/>
        <w:rPr>
          <w:sz w:val="20"/>
          <w:szCs w:val="20"/>
          <w:color w:val="auto"/>
        </w:rPr>
      </w:pPr>
    </w:p>
    <w:p>
      <w:pPr>
        <w:ind w:left="4" w:right="180" w:firstLine="423"/>
        <w:spacing w:after="0" w:line="266"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All statistical, demographic and market-related data included in the Registration Statement, the General Disclosure Package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68" w:lineRule="exact"/>
        <w:rPr>
          <w:sz w:val="20"/>
          <w:szCs w:val="20"/>
          <w:color w:val="auto"/>
        </w:rPr>
      </w:pPr>
    </w:p>
    <w:p>
      <w:pPr>
        <w:ind w:left="4" w:firstLine="423"/>
        <w:spacing w:after="0" w:line="267" w:lineRule="auto"/>
        <w:rPr>
          <w:sz w:val="20"/>
          <w:szCs w:val="20"/>
          <w:color w:val="auto"/>
        </w:rPr>
      </w:pPr>
      <w:r>
        <w:rPr>
          <w:rFonts w:ascii="Times New Roman" w:cs="Times New Roman" w:eastAsia="Times New Roman" w:hAnsi="Times New Roman"/>
          <w:sz w:val="17"/>
          <w:szCs w:val="17"/>
          <w:color w:val="auto"/>
        </w:rPr>
        <w:t xml:space="preserve">(xliv) </w:t>
      </w:r>
      <w:r>
        <w:rPr>
          <w:rFonts w:ascii="Times New Roman" w:cs="Times New Roman" w:eastAsia="Times New Roman" w:hAnsi="Times New Roman"/>
          <w:sz w:val="17"/>
          <w:szCs w:val="17"/>
          <w:u w:val="single" w:color="auto"/>
          <w:color w:val="auto"/>
        </w:rPr>
        <w:t>Cybersecurity</w:t>
      </w:r>
      <w:r>
        <w:rPr>
          <w:rFonts w:ascii="Times New Roman" w:cs="Times New Roman" w:eastAsia="Times New Roman" w:hAnsi="Times New Roman"/>
          <w:sz w:val="17"/>
          <w:szCs w:val="17"/>
          <w:color w:val="auto"/>
        </w:rPr>
        <w:t>. The Company’s and its subsidiaries’ information technology assets and equipment, computers, systems, networks, hardware, software, websites, applications, and databases (including any third party technology assets or services used by the Company and its subsidiaries but excluding any public networks) (collectively, “</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maintained, and complied with reasonable and appropriate physical, technical and administrative controls, policies, procedures, and safeguards to maintain and protect all “Personal Data” and other material confidential, sensitive, and regulated information used in connection with their businesses (collectively, “</w:t>
      </w:r>
      <w:r>
        <w:rPr>
          <w:rFonts w:ascii="Times New Roman" w:cs="Times New Roman" w:eastAsia="Times New Roman" w:hAnsi="Times New Roman"/>
          <w:sz w:val="17"/>
          <w:szCs w:val="17"/>
          <w:u w:val="single" w:color="auto"/>
          <w:color w:val="auto"/>
        </w:rPr>
        <w:t>Sensitive Data</w:t>
      </w:r>
      <w:r>
        <w:rPr>
          <w:rFonts w:ascii="Times New Roman" w:cs="Times New Roman" w:eastAsia="Times New Roman" w:hAnsi="Times New Roman"/>
          <w:sz w:val="17"/>
          <w:szCs w:val="17"/>
          <w:color w:val="auto"/>
        </w:rPr>
        <w:t>”) and the integrity, continuous operation, redundancy and security of all IT Systems.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means (i) any information that relates to an identified or identifiable natural person, or that is reasonably capable of being used to identify, contact, or precisely locate a natural person, including a natural person’s name, street address, telephone number, e-mail address, photograph, social security number or tax identification number, driver’s license number, passport number, credit card number, bank information, or customer or account number; or</w:t>
      </w:r>
    </w:p>
    <w:p>
      <w:pPr>
        <w:spacing w:after="0" w:line="2" w:lineRule="exact"/>
        <w:rPr>
          <w:sz w:val="20"/>
          <w:szCs w:val="20"/>
          <w:color w:val="auto"/>
        </w:rPr>
      </w:pPr>
    </w:p>
    <w:p>
      <w:pPr>
        <w:ind w:left="4" w:right="60" w:hanging="4"/>
        <w:spacing w:after="0" w:line="251" w:lineRule="auto"/>
        <w:tabs>
          <w:tab w:leader="none" w:pos="2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would qualify as “personally identifying information,” “personal information,” or similar term under Privacy Laws. In the past three (3) years, there have been no breaches, violations, outages or unauthorized, unlawful, or accidental uses of, accesses to, or other processing of Sensitive Data, except for those that have been remedied without material cost or liability or the duty to notify any other person, nor any incidents or which would not reasonably be expected to result in a Material Adverse Change.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Sensitive Data and to the protection of such IT Systems and Sensitive Data from unauthorized, unlawful, or accidental use, access, misappropriation, modification, or other processing except as would not reasonably be expected to result in a Material Adverse Change.</w:t>
      </w:r>
    </w:p>
    <w:p>
      <w:pPr>
        <w:spacing w:after="0" w:line="86" w:lineRule="exact"/>
        <w:rPr>
          <w:sz w:val="20"/>
          <w:szCs w:val="20"/>
          <w:color w:val="auto"/>
        </w:rPr>
      </w:pPr>
    </w:p>
    <w:p>
      <w:pPr>
        <w:ind w:left="4" w:right="2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in the past three (3) years were, in material compliance with all applicable state, federal, and foreign data privacy and security laws and regulations, including without limitation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the European Union General Data</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21" w:name="page22"/>
    <w:bookmarkEnd w:id="21"/>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the United Kingdom’s GDPR, and the California Consumer Privacy Act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except as would not reasonably be expected to result in a Material Adverse Change. In furtherance of its efforts to comply with the applicable Privacy Laws, the Company and its subsidiaries have in place, comply with, and take appropriate steps reasonably designed to comply in all material respects with their policies and procedures relating to data privacy and security and the collection, storage, use, disclosure, handling, analysis, and other processing of Personal Data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except as would not reasonably be expected to result in a Material Adverse Change. The Company and its subsidiaries have at all times made all disclosures to users or customers required by applicable Privacy Laws, and none of such disclosures made or contained in any Policy have, to the knowledge of the Company, been inaccurate or in violation of any applicable laws (including Privacy Laws) and regulatory rules or requirements in any material respect. The Company further certifies that neither it nor any subsidiary: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alleged violation of Privacy Law, except as would not reasonably be expected to result in a Material Adverse Change; or (iii) is a party to any order, decree, or agreement that imposes any obligation or liability under any Privacy Law resulting from any alleged violation of Privacy Law against the Company.</w:t>
      </w:r>
    </w:p>
    <w:p>
      <w:pPr>
        <w:spacing w:after="0" w:line="89" w:lineRule="exact"/>
        <w:rPr>
          <w:sz w:val="20"/>
          <w:szCs w:val="20"/>
          <w:color w:val="auto"/>
        </w:rPr>
      </w:pPr>
    </w:p>
    <w:p>
      <w:pPr>
        <w:ind w:left="420" w:firstLine="423"/>
        <w:spacing w:after="0" w:line="256"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u w:val="single" w:color="auto"/>
          <w:color w:val="auto"/>
        </w:rPr>
        <w:t>Outbound Investment Security Program</w:t>
      </w:r>
      <w:r>
        <w:rPr>
          <w:rFonts w:ascii="Times New Roman" w:cs="Times New Roman" w:eastAsia="Times New Roman" w:hAnsi="Times New Roman"/>
          <w:sz w:val="18"/>
          <w:szCs w:val="18"/>
          <w:color w:val="auto"/>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cs="Times New Roman" w:eastAsia="Times New Roman" w:hAnsi="Times New Roman"/>
          <w:sz w:val="18"/>
          <w:szCs w:val="18"/>
          <w:u w:val="single" w:color="auto"/>
          <w:color w:val="auto"/>
        </w:rPr>
        <w:t>Covered Activity</w:t>
      </w:r>
      <w:r>
        <w:rPr>
          <w:rFonts w:ascii="Times New Roman" w:cs="Times New Roman" w:eastAsia="Times New Roman" w:hAnsi="Times New Roman"/>
          <w:sz w:val="18"/>
          <w:szCs w:val="18"/>
          <w:color w:val="auto"/>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79" w:lineRule="exact"/>
        <w:rPr>
          <w:sz w:val="20"/>
          <w:szCs w:val="20"/>
          <w:color w:val="auto"/>
        </w:rPr>
      </w:pPr>
    </w:p>
    <w:p>
      <w:pPr>
        <w:jc w:val="both"/>
        <w:ind w:left="420" w:firstLine="423"/>
        <w:spacing w:after="0" w:line="266"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Securities nor the application of the proceeds thereof by the Company as described in each of the Registration Statement, the General Disclosure Package and the Prospectus will violate Regulation T, U or X of the Board of Governors of the Federal Reserve System or any other regulation of such Board of Governors.</w:t>
      </w:r>
    </w:p>
    <w:p>
      <w:pPr>
        <w:spacing w:after="0" w:line="68" w:lineRule="exact"/>
        <w:rPr>
          <w:sz w:val="20"/>
          <w:szCs w:val="20"/>
          <w:color w:val="auto"/>
        </w:rPr>
      </w:pPr>
    </w:p>
    <w:p>
      <w:pPr>
        <w:ind w:left="4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u w:val="single" w:color="auto"/>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78" w:lineRule="exact"/>
        <w:rPr>
          <w:sz w:val="20"/>
          <w:szCs w:val="20"/>
          <w:color w:val="auto"/>
        </w:rPr>
      </w:pPr>
    </w:p>
    <w:p>
      <w:pPr>
        <w:ind w:left="-20" w:right="280" w:firstLine="436"/>
        <w:spacing w:after="0" w:line="315" w:lineRule="auto"/>
        <w:tabs>
          <w:tab w:leader="none" w:pos="67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Officer’s Certificates</w:t>
      </w:r>
      <w:r>
        <w:rPr>
          <w:rFonts w:ascii="Times New Roman" w:cs="Times New Roman" w:eastAsia="Times New Roman" w:hAnsi="Times New Roman"/>
          <w:sz w:val="17"/>
          <w:szCs w:val="17"/>
          <w:color w:val="auto"/>
        </w:rPr>
        <w:t>. Any certificate signed by any officer of the Company or any of its Subsidiaries delivered to the Representatives 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counsel for the Underwriters shall be deemed a representation and warranty by the Company to each Underwriter as to the matters covered thereby.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60" w:top="270" w:right="47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436"/>
        <w:spacing w:after="0" w:line="257"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agrees to sell to each Underwriter, severally and not jointly, and each Underwriter, severally and not jointly, agrees to purchase from the Company, at the price per Share and the price per Pre-Funded Warrant, as applicable,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number of Initial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74"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Securities</w:t>
      </w:r>
      <w:r>
        <w:rPr>
          <w:rFonts w:ascii="Times New Roman" w:cs="Times New Roman" w:eastAsia="Times New Roman" w:hAnsi="Times New Roman"/>
          <w:sz w:val="18"/>
          <w:szCs w:val="18"/>
          <w:color w:val="auto"/>
        </w:rPr>
        <w:t>. In addition, on the basis of the representations and warranties herein contained and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herein set forth, the Company hereby grants an option to the Underwriters, severally and not jointly, to purchase up to an additional 3,000,009 shares of Common Stock, at the price per share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cs="Times New Roman" w:eastAsia="Times New Roman" w:hAnsi="Times New Roman"/>
          <w:sz w:val="18"/>
          <w:szCs w:val="18"/>
          <w:u w:val="single" w:color="auto"/>
          <w:color w:val="auto"/>
        </w:rPr>
        <w:t>Date of Delivery</w:t>
      </w:r>
      <w:r>
        <w:rPr>
          <w:rFonts w:ascii="Times New Roman" w:cs="Times New Roman" w:eastAsia="Times New Roman" w:hAnsi="Times New Roman"/>
          <w:sz w:val="18"/>
          <w:szCs w:val="18"/>
          <w:color w:val="auto"/>
        </w:rPr>
        <w:t>”) shall be determined by the Representatives, but any Date of Delivery after the Closing Time shall not be later than seven full business days nor earlier than one full business day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81" w:lineRule="exact"/>
        <w:rPr>
          <w:rFonts w:ascii="Times New Roman" w:cs="Times New Roman" w:eastAsia="Times New Roman" w:hAnsi="Times New Roman"/>
          <w:sz w:val="18"/>
          <w:szCs w:val="18"/>
          <w:color w:val="auto"/>
        </w:rPr>
      </w:pPr>
    </w:p>
    <w:p>
      <w:pPr>
        <w:jc w:val="both"/>
        <w:ind w:right="140" w:firstLine="436"/>
        <w:spacing w:after="0" w:line="271" w:lineRule="auto"/>
        <w:tabs>
          <w:tab w:leader="none" w:pos="68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w:t>
      </w:r>
      <w:r>
        <w:rPr>
          <w:rFonts w:ascii="Times New Roman" w:cs="Times New Roman" w:eastAsia="Times New Roman" w:hAnsi="Times New Roman"/>
          <w:sz w:val="17"/>
          <w:szCs w:val="17"/>
          <w:color w:val="auto"/>
        </w:rPr>
        <w:t>. Payment of the purchase price for, and delivery of certificates or security entitlements for, the Initial Securities shall be made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offices of Cooley LLP, or at such other place as shall be agreed upon by the Representatives and the Company, at 10:00 A.M. (New York City time) on June 11, 2026 (unless postponed in accordance with the provisions of Section 10), or such other time not later than ten business days after such date as shall be agreed upon by the Representatives and the Company (such time and date of payment and delivery being herein called “</w:t>
      </w:r>
      <w:r>
        <w:rPr>
          <w:rFonts w:ascii="Times New Roman" w:cs="Times New Roman" w:eastAsia="Times New Roman" w:hAnsi="Times New Roman"/>
          <w:sz w:val="17"/>
          <w:szCs w:val="17"/>
          <w:u w:val="single" w:color="auto"/>
          <w:color w:val="auto"/>
        </w:rPr>
        <w:t>Closing Time</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Delivery of the Initial Securities at the Closing Time shall be made through the facilities of The Depository Trust Company unless the Representatives shall otherwise instruct.</w:t>
      </w:r>
    </w:p>
    <w:p>
      <w:pPr>
        <w:spacing w:after="0" w:line="18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 Delivery of the Option Securities on each such Date of Delivery shall be made through the facilities of The Depositary Trust Company unless the Representatives shall otherwise instruct.</w:t>
      </w:r>
    </w:p>
    <w:p>
      <w:pPr>
        <w:spacing w:after="0" w:line="183"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J.P. Morgan, for its account, to accept delivery of, receipt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and make payment of the purchase price for the Initial Securities or the Option Securities, if any, which it has agreed to purchase. J.P. Morgan,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Delivery of the Securities</w:t>
      </w:r>
      <w:r>
        <w:rPr>
          <w:rFonts w:ascii="Times New Roman" w:cs="Times New Roman" w:eastAsia="Times New Roman" w:hAnsi="Times New Roman"/>
          <w:sz w:val="18"/>
          <w:szCs w:val="18"/>
          <w:color w:val="auto"/>
        </w:rPr>
        <w:t>. Notwithstanding the foregoing, the Company and the Representatives shall instruct purchasers of</w:t>
      </w:r>
    </w:p>
    <w:p>
      <w:pPr>
        <w:spacing w:after="0" w:line="2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the Pre-Funded Warrants to make payment for the Pre-Funded Warrants on the Closing Time to the Company by wire transfer in immediately available funds to the account specified by the Company at a purchase price of $29.999 per Pre-Funded Warrant, in lieu of payment by the Underwriters for such Pre-Funded Warrants, and the Company shall deliver the Pre-Funded Warrants to such purchasers no later than one business day following the Closing Time (provided, that such purchasers have provided an address for such delivery) in definitive paper form against such payment, in lieu of the Company’s obligation to deliver the Pre-Funded Warrants to the Representatives; provided that, the Underwriters shall withhold $1.65</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per Pre-Funded Warrant with respect to such Pre-Funded Warrants as an offset effected by the Company of its claim for payment by the Underwriters to the Company for the Initial Shares against the Company’s obligation to pay the amount so withheld with respect to such Pre-Funded Warrants to the Underwriters. In the event that any purchaser of the Pre-Funded Warrants fails to make payment to the Company for all or part of</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 xml:space="preserve">the Pre-Funded Warrants on the Closing Time, the Representatives shall either (i) make payment to the Company for such Pre-Funded Warrants at the purchase price specified to be paid by the Underwriters for such Pre-Funded Warrants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(ii) elect, by written notice to the Company, to receive Shares at the purchase price specified to be paid by the Underwriters for such Shares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in lieu of all or a portion of such Pre-Funded Warrants contemplated to be sold under this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5" w:lineRule="exact"/>
        <w:rPr>
          <w:sz w:val="20"/>
          <w:szCs w:val="20"/>
          <w:color w:val="auto"/>
        </w:rPr>
      </w:pPr>
    </w:p>
    <w:p>
      <w:pPr>
        <w:ind w:firstLine="436"/>
        <w:spacing w:after="0" w:line="252"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Rule 430B, and will notify the Representatives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 The Company shall pay the required Commission filing fees relating to the Securities within the time required by Rule 456(b)(1)(i) under the 1933 Act Regulations without regard to the proviso therein and otherwise in accordance with Rules 456(b) and 457(r) under the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1933 Act Regulations (including, if applicable, by updating the “Calculation of Registration Fee” table in accordance with Rule 456(b)(1)(ii) either in a post-effective amendment to the Registration Statement or in the manner specified by § 230.424(g) (Rule 424(g)) in of a prospectus filed pursuant to Rule 424(b)).</w:t>
      </w:r>
    </w:p>
    <w:p>
      <w:pPr>
        <w:spacing w:after="0" w:line="66" w:lineRule="exact"/>
        <w:rPr>
          <w:sz w:val="20"/>
          <w:szCs w:val="20"/>
          <w:color w:val="auto"/>
        </w:rPr>
      </w:pPr>
    </w:p>
    <w:p>
      <w:pPr>
        <w:ind w:firstLine="436"/>
        <w:spacing w:after="0" w:line="252"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the 1933 Act Regulations, the 1934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reasonably object. The Company will furnish to the Underwriters such number of copies of such amendment or supplement as the Underwriters may reasonably request. The Company has given the Representatives notice of any filings made pursuant to the 1934 Act or the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79"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Upon request of the Representatives, the Company will deliver to the Representatives and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without charge, signed copies of the Registration Statement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74"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5" w:name="page26"/>
    <w:bookmarkEnd w:id="25"/>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66" w:lineRule="exact"/>
        <w:rPr>
          <w:sz w:val="20"/>
          <w:szCs w:val="20"/>
          <w:color w:val="auto"/>
        </w:rPr>
      </w:pPr>
    </w:p>
    <w:p>
      <w:pPr>
        <w:ind w:left="4" w:firstLine="436"/>
        <w:spacing w:after="0" w:line="258" w:lineRule="auto"/>
        <w:tabs>
          <w:tab w:leader="none" w:pos="6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reasonable best efforts, in cooperation with the Underwriters, to qualify the Securities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75" w:lineRule="exact"/>
        <w:rPr>
          <w:rFonts w:ascii="Times New Roman" w:cs="Times New Roman" w:eastAsia="Times New Roman" w:hAnsi="Times New Roman"/>
          <w:sz w:val="18"/>
          <w:szCs w:val="18"/>
          <w:color w:val="auto"/>
        </w:rPr>
      </w:pPr>
    </w:p>
    <w:p>
      <w:pPr>
        <w:ind w:left="4" w:right="280" w:firstLine="436"/>
        <w:spacing w:after="0" w:line="267" w:lineRule="auto"/>
        <w:tabs>
          <w:tab w:leader="none" w:pos="6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(which may be satisfied by filing with EDGAR) an earning statement for the purposes of, and to provide to the Underwriters the benefits contemplated by, the last paragraph of Section 11(a) of the 1933 Act.</w:t>
      </w:r>
    </w:p>
    <w:p>
      <w:pPr>
        <w:spacing w:after="0" w:line="65" w:lineRule="exact"/>
        <w:rPr>
          <w:rFonts w:ascii="Times New Roman" w:cs="Times New Roman" w:eastAsia="Times New Roman" w:hAnsi="Times New Roman"/>
          <w:sz w:val="18"/>
          <w:szCs w:val="18"/>
          <w:color w:val="auto"/>
        </w:rPr>
      </w:pPr>
    </w:p>
    <w:p>
      <w:pPr>
        <w:ind w:left="4" w:right="280" w:firstLine="436"/>
        <w:spacing w:after="0" w:line="284"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all material respects in the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Registration Statement, the General Disclosure Package and the Prospectus under the heading “Use of Proceeds.”</w:t>
      </w:r>
    </w:p>
    <w:p>
      <w:pPr>
        <w:spacing w:after="0" w:line="5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best efforts to effect and maintain the listing of the Common Stock on the Nasdaq Global Market.</w:t>
      </w:r>
    </w:p>
    <w:p>
      <w:pPr>
        <w:spacing w:after="0" w:line="117" w:lineRule="exact"/>
        <w:rPr>
          <w:rFonts w:ascii="Times New Roman" w:cs="Times New Roman" w:eastAsia="Times New Roman" w:hAnsi="Times New Roman"/>
          <w:sz w:val="18"/>
          <w:szCs w:val="18"/>
          <w:color w:val="auto"/>
        </w:rPr>
      </w:pPr>
    </w:p>
    <w:p>
      <w:pPr>
        <w:ind w:left="4" w:firstLine="436"/>
        <w:spacing w:after="0" w:line="252" w:lineRule="auto"/>
        <w:tabs>
          <w:tab w:leader="none" w:pos="6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a period of 60 days from the date of the Prospectus, the Company will not, without the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hereunder; (B) any shares of Common Stock issued by the Company upon the exercise (including any net exercise or exercise by delivery of already owned shares of Common Stock) of an option or warrant or the conversion of a convertible security or settlement of restricted stock units, outstanding on the date hereof and referred to in the Registration Statement, the General Disclosure Package and the Prospectus; (C) any shares of Common Stock issued or options to purchase Common Stock granted pursuant to existing employee benefit plans of the Company referred to in the Registration Statement, the General Disclosure Package and the Prospectus; (D) any shares of Common Stock issued or options to purchase shares of Common Stock or restricted stock units granted pursuant to any existing non-employee director stock plan or dividend reinvestment plan referred to in the Registration Statement, the General Disclosure Package and the Prospectus; (E) the filing by the Company of any registration statement on Form S-8 or a successor form thereto; or</w:t>
      </w:r>
    </w:p>
    <w:p>
      <w:pPr>
        <w:ind w:left="4" w:hanging="4"/>
        <w:spacing w:after="0" w:line="253"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filing by the Company of a prospectus supplement under Rule 424(b) in connection with, and issuance of shares of Common Stock pursuant to, that certain sales agreement, dated November 21, 2025, by and between the Company and Leerink Partners LLC;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filing or sales under this section (F) shall be made until the earlier of (i) the full exercise by the Underwriters of their option to purchase the Option Securities and (ii) 30 days from the date of the Prospectus.</w:t>
      </w:r>
    </w:p>
    <w:p>
      <w:pPr>
        <w:spacing w:after="0" w:line="78" w:lineRule="exact"/>
        <w:rPr>
          <w:rFonts w:ascii="Times New Roman" w:cs="Times New Roman" w:eastAsia="Times New Roman" w:hAnsi="Times New Roman"/>
          <w:sz w:val="18"/>
          <w:szCs w:val="18"/>
          <w:color w:val="auto"/>
        </w:rPr>
      </w:pPr>
    </w:p>
    <w:p>
      <w:pPr>
        <w:jc w:val="both"/>
        <w:ind w:left="4" w:right="120" w:firstLine="436"/>
        <w:spacing w:after="0" w:line="261" w:lineRule="auto"/>
        <w:tabs>
          <w:tab w:leader="none" w:pos="6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26" w:name="page27"/>
    <w:bookmarkEnd w:id="26"/>
    <w:p>
      <w:pPr>
        <w:ind w:firstLine="436"/>
        <w:spacing w:after="0" w:line="253"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Free Writing Prospectuses</w:t>
      </w:r>
      <w:r>
        <w:rPr>
          <w:rFonts w:ascii="Times New Roman" w:cs="Times New Roman" w:eastAsia="Times New Roman" w:hAnsi="Times New Roman"/>
          <w:sz w:val="18"/>
          <w:szCs w:val="18"/>
          <w:color w:val="auto"/>
        </w:rPr>
        <w:t>. The Company agrees that, unless it obtains the prior written consent of the Representatives, it will not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(except to the extent any such statements or omissions in an Issuer Free Writing Prospectus was made in reliance upon and in conformity with the Underwriter Information), such Issuer Free Writing Prospectus to eliminate or correct such conflict, untrue statement or omission.</w:t>
      </w:r>
    </w:p>
    <w:p>
      <w:pPr>
        <w:spacing w:after="0" w:line="77" w:lineRule="exact"/>
        <w:rPr>
          <w:rFonts w:ascii="Times New Roman" w:cs="Times New Roman" w:eastAsia="Times New Roman" w:hAnsi="Times New Roman"/>
          <w:sz w:val="18"/>
          <w:szCs w:val="18"/>
          <w:color w:val="auto"/>
        </w:rPr>
      </w:pPr>
    </w:p>
    <w:p>
      <w:pPr>
        <w:ind w:firstLine="436"/>
        <w:spacing w:after="0" w:line="25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Testing-the-Waters Materials</w:t>
      </w:r>
      <w:r>
        <w:rPr>
          <w:rFonts w:ascii="Times New Roman" w:cs="Times New Roman" w:eastAsia="Times New Roman" w:hAnsi="Times New Roman"/>
          <w:sz w:val="18"/>
          <w:szCs w:val="18"/>
          <w:color w:val="auto"/>
        </w:rPr>
        <w:t>. If at any time following the distribution of any Written Testing-the-Waters Communication there occurred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(except to the extent any such statements or omissions in a Written Testing-the-Waters Communication was made in reliance upon and in conformity with the Underwriter Information), such Written Testing-the-Waters Communication to eliminate or correct such untrue statement or omission.</w:t>
      </w:r>
    </w:p>
    <w:p>
      <w:pPr>
        <w:spacing w:after="0" w:line="74" w:lineRule="exact"/>
        <w:rPr>
          <w:rFonts w:ascii="Times New Roman" w:cs="Times New Roman" w:eastAsia="Times New Roman" w:hAnsi="Times New Roman"/>
          <w:sz w:val="18"/>
          <w:szCs w:val="18"/>
          <w:color w:val="auto"/>
        </w:rPr>
      </w:pPr>
    </w:p>
    <w:p>
      <w:pPr>
        <w:ind w:right="120" w:firstLine="436"/>
        <w:spacing w:after="0" w:line="261" w:lineRule="auto"/>
        <w:tabs>
          <w:tab w:leader="none" w:pos="7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 Shares Reserved</w:t>
      </w:r>
      <w:r>
        <w:rPr>
          <w:rFonts w:ascii="Times New Roman" w:cs="Times New Roman" w:eastAsia="Times New Roman" w:hAnsi="Times New Roman"/>
          <w:sz w:val="18"/>
          <w:szCs w:val="18"/>
          <w:color w:val="auto"/>
        </w:rPr>
        <w:t>. The Company shall, at all times while any Pre-Funded Warrants are outstanding, reserve and keep available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authorized but unissued and otherwise unreserved shares of Common Stock, solely for the purpose of enabling it to issue Warrant Shares upon exercise of such Pre-Funded Warrants, the number of Warrant Shares that are initially issuable and deliverable upon exercise of the then outstanding Pre-Funded Warrants.</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for the Pre-Funded Warrants</w:t>
      </w:r>
      <w:r>
        <w:rPr>
          <w:rFonts w:ascii="Times New Roman" w:cs="Times New Roman" w:eastAsia="Times New Roman" w:hAnsi="Times New Roman"/>
          <w:sz w:val="18"/>
          <w:szCs w:val="18"/>
          <w:color w:val="auto"/>
        </w:rPr>
        <w:t>. The Company shall, at all times while any Pre-Funded Warrants are outstanding,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reasonable efforts to maintain a registration statement covering the issue and sale of the Warrant Shares upon exercise of the Pre-Funded Warrants such that the Warrant Shares, when issued, will not be subject to resale and restrictions under the 1933 Act except to the extent that the Warrant Shares are owned by affiliates.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8" w:right="45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36"/>
        <w:spacing w:after="0" w:line="252"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 to the performance of its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including any stock, transfer, and other similar taxes and any stamp or other duties payable upon the sale, issuance or delivery of the Securities, (iv) the fees and disbursements of the Company’s counsel, accountants and other advisors, (v) the qualification of the Securities under securities laws in accordance with the provisions of Section 3(e) hereof, including filing fees and the reasonable and documented fees and disbursements of counsel for the Underwriters in connection therewith and in connection with the preparation of a “Blue Sky Survey” and any supplement thereto (such fees and expenses of counsel in an aggregate amount not to exceed $10,000),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(viii) the filing fees incident to, and the reasonable fees and disbursements of counsel to the Underwriters in connection with, the review by FINRA of the terms of the sale of the Securities (such fees and expenses of counsel in an aggregate amount not to exceed $15,000), (ix) the fees and expenses incurred in connection with the listing of the Securities on the Nasdaq Global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83"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5, Section 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Section 9(a)(iii) or Section 10 hereof, the Company shall reimburse the Underwriters for all of their reasonable and documented out-of-pocket expenses, including the reasonable fees and disbursements of counsel for the Underwriters; provided that in the case of a termination pursuant to Section 10, the Company shall have no obligation to reimburse a defaulting Underwriter for such costs and expenses related to the offering of the Securities.</w:t>
      </w:r>
    </w:p>
    <w:p>
      <w:pPr>
        <w:spacing w:after="0" w:line="18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70" w:lineRule="exact"/>
        <w:rPr>
          <w:sz w:val="20"/>
          <w:szCs w:val="20"/>
          <w:color w:val="auto"/>
        </w:rPr>
      </w:pPr>
    </w:p>
    <w:p>
      <w:pPr>
        <w:ind w:right="20" w:firstLine="436"/>
        <w:spacing w:after="0" w:line="258"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has become effective and, at the Closing Time, no stop order suspending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The Company shall have paid the required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filing fees relating to the Securities within the time period required by Rule 456(b)(1)(i) under the 1933 Act Regulations without regard to the proviso therein and otherwise in accordance with Rule 456(b) and 457(r) under the 1933 Act Regulations and, if applicable, shall have updated the “Calculation of Registration Fee” table in accordance with Rule 456(b)(1)(ii) either in a post-effective amendment to the Registration Statement or in the manner specified by § 230.424(g) (Rule 424(g)) in a prospectus filed pursuant to Rule 424(b).</w:t>
      </w:r>
    </w:p>
    <w:p>
      <w:pPr>
        <w:spacing w:after="0" w:line="70" w:lineRule="exact"/>
        <w:rPr>
          <w:sz w:val="20"/>
          <w:szCs w:val="20"/>
          <w:color w:val="auto"/>
        </w:rPr>
      </w:pPr>
    </w:p>
    <w:p>
      <w:pPr>
        <w:ind w:right="180" w:firstLine="436"/>
        <w:spacing w:after="0" w:line="267"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At the Closing Time, the Representatives shall have received the opinion and the negative assurance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dated the Closing Time, of Goodwin Procter LLP, counsel for the Company, and the opinion of Goodwin Procter LLP, special counsel for the Company with respect to intellectual property matters, each in form and substance reasonably satisfactory to counsel for the Underwriters.</w:t>
      </w:r>
    </w:p>
    <w:p>
      <w:pPr>
        <w:spacing w:after="0" w:line="65"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Representatives shall have received the opinion, and negative assurance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dated the Closing Time, of Cooley LLP, counsel for the Underwriters, together with signed or reproduced copies of such letters for each of the other Underwriters in form and substance satisfactory to the Representatives.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74"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At the Closing Time, there shall not have been, since the date hereof or since the respective dates as of which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77" w:lineRule="exact"/>
        <w:rPr>
          <w:rFonts w:ascii="Times New Roman" w:cs="Times New Roman" w:eastAsia="Times New Roman" w:hAnsi="Times New Roman"/>
          <w:sz w:val="18"/>
          <w:szCs w:val="18"/>
          <w:color w:val="auto"/>
        </w:rPr>
      </w:pPr>
    </w:p>
    <w:p>
      <w:pPr>
        <w:ind w:right="200" w:firstLine="436"/>
        <w:spacing w:after="0" w:line="258"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At the time of the execution of this Agreement, the Representatives shall have received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PricewaterhouseCoopers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75" w:lineRule="exact"/>
        <w:rPr>
          <w:rFonts w:ascii="Times New Roman" w:cs="Times New Roman" w:eastAsia="Times New Roman" w:hAnsi="Times New Roman"/>
          <w:sz w:val="18"/>
          <w:szCs w:val="18"/>
          <w:color w:val="auto"/>
        </w:rPr>
      </w:pPr>
    </w:p>
    <w:p>
      <w:pPr>
        <w:jc w:val="both"/>
        <w:ind w:right="100" w:firstLine="436"/>
        <w:spacing w:after="0" w:line="267"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Representatives shall have received from PricewaterhouseCoopers LLP a letter, dated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29" w:name="page30"/>
    <w:bookmarkEnd w:id="29"/>
    <w:p>
      <w:pPr>
        <w:ind w:left="-20" w:right="220" w:firstLine="436"/>
        <w:spacing w:after="0" w:line="284"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of Listing</w:t>
      </w:r>
      <w:r>
        <w:rPr>
          <w:rFonts w:ascii="Times New Roman" w:cs="Times New Roman" w:eastAsia="Times New Roman" w:hAnsi="Times New Roman"/>
          <w:sz w:val="18"/>
          <w:szCs w:val="18"/>
          <w:color w:val="auto"/>
        </w:rPr>
        <w:t>. At the Closing Time, the Company shall have filed with Nasdaq a Listing of Additional Shares form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w:t>
      </w:r>
    </w:p>
    <w:p>
      <w:pPr>
        <w:spacing w:after="0" w:line="50" w:lineRule="exact"/>
        <w:rPr>
          <w:rFonts w:ascii="Times New Roman" w:cs="Times New Roman" w:eastAsia="Times New Roman" w:hAnsi="Times New Roman"/>
          <w:sz w:val="18"/>
          <w:szCs w:val="18"/>
          <w:color w:val="auto"/>
        </w:rPr>
      </w:pPr>
    </w:p>
    <w:p>
      <w:pPr>
        <w:ind w:left="-20" w:right="280" w:firstLine="436"/>
        <w:spacing w:after="0" w:line="284"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FINRA has confirmed that it has not raised any objection with respect to the fairness and reasonableness of the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arrangements relating to the offering of the Securities.</w:t>
      </w:r>
    </w:p>
    <w:p>
      <w:pPr>
        <w:spacing w:after="0" w:line="50" w:lineRule="exact"/>
        <w:rPr>
          <w:rFonts w:ascii="Times New Roman" w:cs="Times New Roman" w:eastAsia="Times New Roman" w:hAnsi="Times New Roman"/>
          <w:sz w:val="18"/>
          <w:szCs w:val="18"/>
          <w:color w:val="auto"/>
        </w:rPr>
      </w:pPr>
    </w:p>
    <w:p>
      <w:pPr>
        <w:ind w:left="-20" w:right="700" w:firstLine="436"/>
        <w:spacing w:after="0" w:line="28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Representatives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signed by all of the Company’s directors, officers and affiliated securityholders.</w:t>
      </w:r>
    </w:p>
    <w:p>
      <w:pPr>
        <w:spacing w:after="0" w:line="50" w:lineRule="exact"/>
        <w:rPr>
          <w:rFonts w:ascii="Times New Roman" w:cs="Times New Roman" w:eastAsia="Times New Roman" w:hAnsi="Times New Roman"/>
          <w:sz w:val="18"/>
          <w:szCs w:val="18"/>
          <w:color w:val="auto"/>
        </w:rPr>
      </w:pPr>
    </w:p>
    <w:p>
      <w:pPr>
        <w:ind w:left="-20" w:right="200" w:firstLine="436"/>
        <w:spacing w:after="0" w:line="28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Rating</w:t>
      </w:r>
      <w:r>
        <w:rPr>
          <w:rFonts w:ascii="Times New Roman" w:cs="Times New Roman" w:eastAsia="Times New Roman" w:hAnsi="Times New Roman"/>
          <w:sz w:val="18"/>
          <w:szCs w:val="18"/>
          <w:color w:val="auto"/>
        </w:rPr>
        <w:t>. Neither the Company nor its subsidiaries have any debt securities or preferred stock that are rated by any “nationally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statistical rating agency” (as defined in Section 3(a)(62) of the 1934 Act).</w:t>
      </w:r>
    </w:p>
    <w:p>
      <w:pPr>
        <w:spacing w:after="0" w:line="50" w:lineRule="exact"/>
        <w:rPr>
          <w:rFonts w:ascii="Times New Roman" w:cs="Times New Roman" w:eastAsia="Times New Roman" w:hAnsi="Times New Roman"/>
          <w:sz w:val="18"/>
          <w:szCs w:val="18"/>
          <w:color w:val="auto"/>
        </w:rPr>
      </w:pPr>
    </w:p>
    <w:p>
      <w:pPr>
        <w:ind w:left="-20" w:right="440" w:firstLine="436"/>
        <w:spacing w:after="0" w:line="261"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Purchase of Option Securities</w:t>
      </w:r>
      <w:r>
        <w:rPr>
          <w:rFonts w:ascii="Times New Roman" w:cs="Times New Roman" w:eastAsia="Times New Roman" w:hAnsi="Times New Roman"/>
          <w:sz w:val="18"/>
          <w:szCs w:val="18"/>
          <w:color w:val="auto"/>
        </w:rPr>
        <w:t>. In the event that the Underwriters exercise their option provided in Section 2(b) hereof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all or any portion of the Option Securities, the representations and warranties of the Company contained herein and the statements in any certificates furnished by the Company hereunder shall be true and correct as of each Date of Delivery and, at the relevant Date of Delivery, the Representatives shall have received:</w:t>
      </w:r>
    </w:p>
    <w:p>
      <w:pPr>
        <w:spacing w:after="0" w:line="73" w:lineRule="exact"/>
        <w:rPr>
          <w:rFonts w:ascii="Times New Roman" w:cs="Times New Roman" w:eastAsia="Times New Roman" w:hAnsi="Times New Roman"/>
          <w:sz w:val="18"/>
          <w:szCs w:val="18"/>
          <w:color w:val="auto"/>
        </w:rPr>
      </w:pPr>
    </w:p>
    <w:p>
      <w:pPr>
        <w:jc w:val="both"/>
        <w:ind w:left="420" w:right="280" w:firstLine="419"/>
        <w:spacing w:after="0" w:line="266" w:lineRule="auto"/>
        <w:tabs>
          <w:tab w:leader="none" w:pos="105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 certificate, dated such Date of Delivery, of the principal executive officer of the Company and of the principal financial officer of the Company confirming that the certificate delivered at the Closing Time pursuant to Section 5(d) hereof remains true and correct as of such Date of Delivery.</w:t>
      </w:r>
    </w:p>
    <w:p>
      <w:pPr>
        <w:spacing w:after="0" w:line="67" w:lineRule="exact"/>
        <w:rPr>
          <w:rFonts w:ascii="Times New Roman" w:cs="Times New Roman" w:eastAsia="Times New Roman" w:hAnsi="Times New Roman"/>
          <w:sz w:val="18"/>
          <w:szCs w:val="18"/>
          <w:color w:val="auto"/>
        </w:rPr>
      </w:pPr>
    </w:p>
    <w:p>
      <w:pPr>
        <w:ind w:left="420" w:firstLine="419"/>
        <w:spacing w:after="0" w:line="261" w:lineRule="auto"/>
        <w:tabs>
          <w:tab w:leader="none" w:pos="110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Company</w:t>
      </w:r>
      <w:r>
        <w:rPr>
          <w:rFonts w:ascii="Times New Roman" w:cs="Times New Roman" w:eastAsia="Times New Roman" w:hAnsi="Times New Roman"/>
          <w:sz w:val="18"/>
          <w:szCs w:val="18"/>
          <w:color w:val="auto"/>
        </w:rPr>
        <w:t>. If requested by the Representatives, the opinion, and negative assurance letter, of Goodwin Procter LLP, counsel for the Company, in form and substance satisfactory to counsel for the Underwriters, dated such Date of Delivery, relating to the Option Securities to be purchased on such Date of Delivery and otherwise to the same effect as the opinions and negative assurance letter required by Section 5(b) hereof.</w:t>
      </w:r>
    </w:p>
    <w:p>
      <w:pPr>
        <w:spacing w:after="0" w:line="71" w:lineRule="exact"/>
        <w:rPr>
          <w:rFonts w:ascii="Times New Roman" w:cs="Times New Roman" w:eastAsia="Times New Roman" w:hAnsi="Times New Roman"/>
          <w:sz w:val="18"/>
          <w:szCs w:val="18"/>
          <w:color w:val="auto"/>
        </w:rPr>
      </w:pPr>
    </w:p>
    <w:p>
      <w:pPr>
        <w:ind w:left="420" w:right="260" w:firstLine="419"/>
        <w:spacing w:after="0" w:line="266" w:lineRule="auto"/>
        <w:tabs>
          <w:tab w:leader="none" w:pos="115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Underwriters</w:t>
      </w:r>
      <w:r>
        <w:rPr>
          <w:rFonts w:ascii="Times New Roman" w:cs="Times New Roman" w:eastAsia="Times New Roman" w:hAnsi="Times New Roman"/>
          <w:sz w:val="18"/>
          <w:szCs w:val="18"/>
          <w:color w:val="auto"/>
        </w:rPr>
        <w:t>. If requested by the Representatives, the opinion, and negative assurance letter, of Cooley LLP, counsel for the Underwriters, dated such Date of Delivery, relating to the Option Securities to be purchased on such Date of Delivery and otherwise to the same effect as the opinion and negative assurance letter required by Section 5(c) hereof.</w:t>
      </w:r>
    </w:p>
    <w:p>
      <w:pPr>
        <w:spacing w:after="0" w:line="67" w:lineRule="exact"/>
        <w:rPr>
          <w:rFonts w:ascii="Times New Roman" w:cs="Times New Roman" w:eastAsia="Times New Roman" w:hAnsi="Times New Roman"/>
          <w:sz w:val="18"/>
          <w:szCs w:val="18"/>
          <w:color w:val="auto"/>
        </w:rPr>
      </w:pPr>
    </w:p>
    <w:p>
      <w:pPr>
        <w:jc w:val="both"/>
        <w:ind w:left="420" w:firstLine="419"/>
        <w:spacing w:after="0" w:line="261" w:lineRule="auto"/>
        <w:tabs>
          <w:tab w:leader="none" w:pos="11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If requested by the Representatives, a letter from PricewaterhouseCoopers LLP, in form and substance satisfactory to the Representatives and dated such Date of Delivery, substantially in the same form and substance as the letter furnished to the Representatives pursuant to subsection (f) of this Section, except that the “specified date” in the letter furnished pursuant to this paragraph shall be a date not more than three business days prior to such Date of Delivery.</w:t>
      </w:r>
    </w:p>
    <w:p>
      <w:pPr>
        <w:spacing w:after="0" w:line="69" w:lineRule="exact"/>
        <w:rPr>
          <w:rFonts w:ascii="Times New Roman" w:cs="Times New Roman" w:eastAsia="Times New Roman" w:hAnsi="Times New Roman"/>
          <w:sz w:val="18"/>
          <w:szCs w:val="18"/>
          <w:color w:val="auto"/>
        </w:rPr>
      </w:pPr>
    </w:p>
    <w:p>
      <w:pPr>
        <w:ind w:left="-20" w:right="60" w:firstLine="436"/>
        <w:spacing w:after="0" w:line="25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other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68" w:right="479" w:bottom="1440" w:gutter="0" w:footer="0" w:header="0"/>
        </w:sectPr>
      </w:pPr>
    </w:p>
    <w:bookmarkStart w:id="30" w:name="page31"/>
    <w:bookmarkEnd w:id="30"/>
    <w:p>
      <w:pPr>
        <w:ind w:right="20" w:firstLine="436"/>
        <w:spacing w:after="0" w:line="257" w:lineRule="auto"/>
        <w:tabs>
          <w:tab w:leader="none" w:pos="7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4, 6, 7, 8, 14, 15 and 16 shall survive any such termination and remain in full force and effect.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right="60" w:firstLine="436"/>
        <w:spacing w:after="0" w:line="267"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agrees to indemnify and hold harmless each Underwriter, its affiliates (as such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501(b) under the 1933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its selling agents and each person, if any, who controls any Underwriter within the meaning of Section 15 of the 1933 Act or Section 20 of the 1934 Act as follows: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07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83" w:lineRule="exact"/>
        <w:rPr>
          <w:rFonts w:ascii="Times New Roman" w:cs="Times New Roman" w:eastAsia="Times New Roman" w:hAnsi="Times New Roman"/>
          <w:sz w:val="18"/>
          <w:szCs w:val="18"/>
          <w:color w:val="auto"/>
        </w:rPr>
      </w:pPr>
    </w:p>
    <w:p>
      <w:pPr>
        <w:ind w:left="440" w:right="260" w:firstLine="419"/>
        <w:spacing w:after="0" w:line="261" w:lineRule="auto"/>
        <w:tabs>
          <w:tab w:leader="none" w:pos="112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7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reasonable and documented out of pocket expense whatsoever, as incurred (including the reasonable and documented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8" w:right="439" w:bottom="1440" w:gutter="0" w:footer="0" w:header="0"/>
        </w:sectPr>
      </w:pPr>
    </w:p>
    <w:bookmarkStart w:id="31" w:name="page32"/>
    <w:bookmarkEnd w:id="31"/>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70" w:lineRule="exact"/>
        <w:rPr>
          <w:sz w:val="20"/>
          <w:szCs w:val="20"/>
          <w:color w:val="auto"/>
        </w:rPr>
      </w:pPr>
    </w:p>
    <w:p>
      <w:pPr>
        <w:ind w:right="420" w:firstLine="436"/>
        <w:spacing w:after="0" w:line="256"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Officers</w:t>
      </w:r>
      <w:r>
        <w:rPr>
          <w:rFonts w:ascii="Times New Roman" w:cs="Times New Roman" w:eastAsia="Times New Roman" w:hAnsi="Times New Roman"/>
          <w:sz w:val="18"/>
          <w:szCs w:val="18"/>
          <w:color w:val="auto"/>
        </w:rPr>
        <w:t>. Each Underwriter severally agrees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74"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Any such separate firm for any Underwriter, its affiliates, directors and officers and any control persons of such Underwriter shall be designated in writing by J.P. Morgan and any such separate firm for the Company, its directors, its officers who signed the Registration Statement and any control persons of the Company shall be designated in writing by the Company.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in form and substance reasonably satisfactory to such indemnified party and (ii) does not include a statement as to or an admission of fault, culpability or a failure to act by or on behalf of any indemnified party.</w:t>
      </w:r>
    </w:p>
    <w:p>
      <w:pPr>
        <w:spacing w:after="0" w:line="82" w:lineRule="exact"/>
        <w:rPr>
          <w:rFonts w:ascii="Times New Roman" w:cs="Times New Roman" w:eastAsia="Times New Roman" w:hAnsi="Times New Roman"/>
          <w:sz w:val="18"/>
          <w:szCs w:val="18"/>
          <w:color w:val="auto"/>
        </w:rPr>
      </w:pPr>
    </w:p>
    <w:p>
      <w:pPr>
        <w:ind w:right="20" w:firstLine="436"/>
        <w:spacing w:after="0" w:line="257"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2" w:name="page33"/>
    <w:bookmarkEnd w:id="32"/>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83"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this Section 7, no Underwriter shall be required to contribute any amount in excess of the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Securities set forth opposite their respective names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not joint.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3" w:name="page34"/>
    <w:bookmarkEnd w:id="33"/>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remedies provided for in this Section 7 are not exclusive and shall not limit any rights or remedies which may otherwise be available to any Indemnified Party at law or in equity.</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20" w:firstLine="436"/>
        <w:spacing w:after="0" w:line="253"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Representatives may terminate this Agreement, by notice to the Company, at any time at or prior to the Closing Time (i)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MKT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77" w:lineRule="exact"/>
        <w:rPr>
          <w:rFonts w:ascii="Times New Roman" w:cs="Times New Roman" w:eastAsia="Times New Roman" w:hAnsi="Times New Roman"/>
          <w:sz w:val="18"/>
          <w:szCs w:val="18"/>
          <w:color w:val="auto"/>
        </w:rPr>
      </w:pPr>
    </w:p>
    <w:p>
      <w:pPr>
        <w:ind w:right="160" w:firstLine="436"/>
        <w:spacing w:after="0" w:line="267"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Section 4 hereof, and provided further that Sections 1, 4, 6, 7, 8, 15, 16 and 17 shall survive such termination and remain in full force and effect.</w:t>
      </w:r>
    </w:p>
    <w:p>
      <w:pPr>
        <w:spacing w:after="0" w:line="1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or a Date of Delivery to purchase the Securities which it or they are obligated to purchase under this Agreement (the “</w:t>
      </w:r>
      <w:r>
        <w:rPr>
          <w:rFonts w:ascii="Times New Roman" w:cs="Times New Roman" w:eastAsia="Times New Roman" w:hAnsi="Times New Roman"/>
          <w:sz w:val="18"/>
          <w:szCs w:val="18"/>
          <w:u w:val="single" w:color="auto"/>
          <w:color w:val="auto"/>
        </w:rPr>
        <w:t>Defaulted Securities</w:t>
      </w:r>
      <w:r>
        <w:rPr>
          <w:rFonts w:ascii="Times New Roman" w:cs="Times New Roman" w:eastAsia="Times New Roman" w:hAnsi="Times New Roman"/>
          <w:sz w:val="18"/>
          <w:szCs w:val="18"/>
          <w:color w:val="auto"/>
        </w:rPr>
        <w:t>”),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4" w:name="page35"/>
    <w:bookmarkEnd w:id="34"/>
    <w:p>
      <w:pPr>
        <w:ind w:left="440" w:right="640" w:firstLine="419"/>
        <w:spacing w:after="0" w:line="266" w:lineRule="auto"/>
        <w:tabs>
          <w:tab w:leader="none" w:pos="10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ind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Company shall be directed to the office of the Company, 201 Brookline Avenue, Suite 901, Boston, Massachusetts 02215, Attention: Chief Financial Officer. Notices to the Underwriters shall be directed to J.P. Morgan Securities LLC at 270 Park Avenue, New York, New York 10017 and Leerink Partners LLC, Attention: Stuart Nayman, Esq., 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10019.</w:t>
      </w:r>
    </w:p>
    <w:p>
      <w:pPr>
        <w:spacing w:after="0" w:line="52" w:lineRule="exact"/>
        <w:rPr>
          <w:sz w:val="20"/>
          <w:szCs w:val="20"/>
          <w:color w:val="auto"/>
        </w:rPr>
      </w:pPr>
    </w:p>
    <w:p>
      <w:pPr>
        <w:ind w:right="6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No Advisory or Fiduciary Relationship</w:t>
      </w:r>
      <w:r>
        <w:rPr>
          <w:rFonts w:ascii="Times New Roman" w:cs="Times New Roman" w:eastAsia="Times New Roman" w:hAnsi="Times New Roman"/>
          <w:sz w:val="17"/>
          <w:szCs w:val="17"/>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35" w:name="page36"/>
    <w:bookmarkEnd w:id="35"/>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or any of them, with respect to the subject matter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37" w:name="page38"/>
    <w:bookmarkEnd w:id="3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Matthew Gall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Brandon Petillo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Brandon Petillo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ECM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Pitt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Sean Pitt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themselves and as Representatives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70" w:right="5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price per Share shall be $30.00. The offering price per Pre-Funded Warrant shall be $29.999.</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purchase price per Share to be paid by the several Underwriters shall be $28.35, being an amount equal to the offering price per Share set forth above less $1.65 per share, subject to adjustment in accordance with Section 2(b) for dividends or distributions declared by the Company and payable on the Initial Securities but not payable on the Option Securities. The purchase price per Pre-Funded Warrant to be paid by the several Underwriters shall be $28.349, being an amount equal to the offering price per Pre-Funded Warrant set forth above less $1.65, subject to adjustment in accordance with Section 2(b) for dividends or distributions declared by the Company and payable on the Initial Securities but not payable on the Option Securities.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Pre-</w:t>
            </w:r>
          </w:p>
        </w:tc>
      </w:tr>
      <w:tr>
        <w:trPr>
          <w:trHeight w:val="148"/>
        </w:trPr>
        <w:tc>
          <w:tcPr>
            <w:tcW w:w="88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Funded</w:t>
            </w:r>
          </w:p>
        </w:tc>
      </w:tr>
      <w:tr>
        <w:trPr>
          <w:trHeight w:val="148"/>
        </w:trPr>
        <w:tc>
          <w:tcPr>
            <w:tcW w:w="88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Warrants to be</w:t>
            </w:r>
          </w:p>
        </w:tc>
      </w:tr>
      <w:tr>
        <w:trPr>
          <w:trHeight w:val="187"/>
        </w:trPr>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Underwriter</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6,358,334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641,689</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5,450,001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550,018</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3,179,166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320,844</w:t>
            </w: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3,179,166</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320,844</w:t>
            </w:r>
          </w:p>
        </w:tc>
        <w:tc>
          <w:tcPr>
            <w:tcW w:w="60" w:type="dxa"/>
            <w:vAlign w:val="bottom"/>
          </w:tcPr>
          <w:p>
            <w:pPr>
              <w:spacing w:after="0"/>
              <w:rPr>
                <w:sz w:val="19"/>
                <w:szCs w:val="19"/>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18,166,667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1,833,395</w:t>
            </w:r>
          </w:p>
        </w:tc>
      </w:tr>
      <w:tr>
        <w:trPr>
          <w:trHeight w:val="20"/>
        </w:trPr>
        <w:tc>
          <w:tcPr>
            <w:tcW w:w="8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39" w:name="page40"/>
    <w:bookmarkEnd w:id="39"/>
    <w:p>
      <w:pPr>
        <w:jc w:val="center"/>
        <w:ind w:right="-48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B-1</w:t>
      </w:r>
    </w:p>
    <w:p>
      <w:pPr>
        <w:spacing w:after="0" w:line="225" w:lineRule="exact"/>
        <w:rPr>
          <w:sz w:val="20"/>
          <w:szCs w:val="20"/>
          <w:color w:val="auto"/>
        </w:rPr>
      </w:pPr>
    </w:p>
    <w:p>
      <w:pPr>
        <w:ind w:left="184" w:hanging="184"/>
        <w:spacing w:after="0"/>
        <w:tabs>
          <w:tab w:leader="none" w:pos="1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18,166,667 shares of Common Stock and Pre-Funded Warrants to purchase 1,833,395 shares of Common Stock.</w:t>
      </w:r>
    </w:p>
    <w:p>
      <w:pPr>
        <w:spacing w:after="0" w:line="117" w:lineRule="exact"/>
        <w:rPr>
          <w:rFonts w:ascii="Times New Roman" w:cs="Times New Roman" w:eastAsia="Times New Roman" w:hAnsi="Times New Roman"/>
          <w:sz w:val="18"/>
          <w:szCs w:val="18"/>
          <w:color w:val="auto"/>
        </w:rPr>
      </w:pPr>
    </w:p>
    <w:p>
      <w:pPr>
        <w:ind w:left="4" w:hanging="4"/>
        <w:spacing w:after="0" w:line="282" w:lineRule="auto"/>
        <w:tabs>
          <w:tab w:leader="none" w:pos="1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an option to the Underwriters, severally and not jointly, to purchase up to an additional 3,000,009 shares of Common Stock.</w:t>
      </w:r>
    </w:p>
    <w:p>
      <w:pPr>
        <w:spacing w:after="0" w:line="5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per Share shall be $30.00. The offering price per Pre-Funded Warrant shall be $29.999.</w:t>
      </w:r>
    </w:p>
    <w:p>
      <w:pPr>
        <w:sectPr>
          <w:pgSz w:w="11900" w:h="16838" w:orient="portrait"/>
          <w:cols w:equalWidth="0" w:num="1">
            <w:col w:w="10524"/>
          </w:cols>
          <w:pgMar w:left="436" w:top="270" w:right="939" w:bottom="1440" w:gutter="0" w:footer="0" w:header="0"/>
        </w:sectPr>
      </w:pPr>
    </w:p>
    <w:bookmarkStart w:id="40" w:name="page41"/>
    <w:bookmarkEnd w:id="40"/>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B-2</w:t>
      </w:r>
    </w:p>
    <w:p>
      <w:pPr>
        <w:spacing w:after="0" w:line="22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Writing Prospectus dated June 9, 2026.</w:t>
      </w:r>
    </w:p>
    <w:p>
      <w:pPr>
        <w:sectPr>
          <w:pgSz w:w="11900" w:h="16838" w:orient="portrait"/>
          <w:cols w:equalWidth="0" w:num="1">
            <w:col w:w="10019"/>
          </w:cols>
          <w:pgMar w:left="440" w:top="270" w:right="1440" w:bottom="1440" w:gutter="0" w:footer="0" w:header="0"/>
        </w:sectPr>
      </w:pPr>
    </w:p>
    <w:bookmarkStart w:id="41" w:name="page42"/>
    <w:bookmarkEnd w:id="41"/>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B-3</w:t>
      </w:r>
    </w:p>
    <w:p>
      <w:pPr>
        <w:spacing w:after="0" w:line="225"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u w:val="single" w:color="auto"/>
          <w:color w:val="auto"/>
        </w:rPr>
        <w:t>List of Written Testing-the-Waters Communications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70"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c/o</w:t>
        <w:tab/>
        <w:t>J.P Morgan Securities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ind w:left="440"/>
        <w:spacing w:after="0" w:line="196" w:lineRule="auto"/>
        <w:rPr>
          <w:sz w:val="20"/>
          <w:szCs w:val="20"/>
          <w:color w:val="auto"/>
        </w:rPr>
      </w:pPr>
      <w:r>
        <w:rPr>
          <w:rFonts w:ascii="Times New Roman" w:cs="Times New Roman" w:eastAsia="Times New Roman" w:hAnsi="Times New Roman"/>
          <w:sz w:val="18"/>
          <w:szCs w:val="18"/>
          <w:color w:val="auto"/>
        </w:rPr>
        <w:t>53 State Street,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02109</w:t>
      </w:r>
    </w:p>
    <w:p>
      <w:pPr>
        <w:spacing w:after="0" w:line="23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Proposed Public Offering by Tango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undersigned, a stockholder, officer and/or director of Tango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J.P. Morgan Securities LLC (“</w:t>
      </w:r>
      <w:r>
        <w:rPr>
          <w:rFonts w:ascii="Times New Roman" w:cs="Times New Roman" w:eastAsia="Times New Roman" w:hAnsi="Times New Roman"/>
          <w:sz w:val="18"/>
          <w:szCs w:val="18"/>
          <w:u w:val="single" w:color="auto"/>
          <w:color w:val="auto"/>
        </w:rPr>
        <w:t>J.P. Morgan</w:t>
      </w:r>
      <w:r>
        <w:rPr>
          <w:rFonts w:ascii="Times New Roman" w:cs="Times New Roman" w:eastAsia="Times New Roman" w:hAnsi="Times New Roman"/>
          <w:sz w:val="18"/>
          <w:szCs w:val="18"/>
          <w:color w:val="auto"/>
        </w:rPr>
        <w:t>”) and Leerink Partners LLC (“</w:t>
      </w:r>
      <w:r>
        <w:rPr>
          <w:rFonts w:ascii="Times New Roman" w:cs="Times New Roman" w:eastAsia="Times New Roman" w:hAnsi="Times New Roman"/>
          <w:sz w:val="18"/>
          <w:szCs w:val="18"/>
          <w:u w:val="single" w:color="auto"/>
          <w:color w:val="auto"/>
        </w:rPr>
        <w:t>Leerink Partners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providing for the public offering (the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that, during the period beginning on the date hereof and ending on the date that is 60 days from the date of the Underwriting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and will not cause any direct or indirect affiliate to, without the prior written consent of the Representatives, on behalf of the Underwriters, directly or indirectly, (i) offer, pledge, sell, contract to sell, sell any option or contract to purchase, purchase any option or contract to sell, grant any option, right or warrant for the sale of, lend,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ectPr>
          <w:pgSz w:w="11900" w:h="16838" w:orient="portrait"/>
          <w:cols w:equalWidth="0" w:num="1">
            <w:col w:w="11020"/>
          </w:cols>
          <w:pgMar w:left="440" w:top="270" w:right="439" w:bottom="1440" w:gutter="0" w:footer="0" w:header="0"/>
        </w:sectPr>
      </w:pPr>
    </w:p>
    <w:bookmarkStart w:id="43" w:name="page44"/>
    <w:bookmarkEnd w:id="43"/>
    <w:p>
      <w:pPr>
        <w:ind w:left="4" w:right="18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and subject to the conditions below, the undersigned may transfer Lock-Up Securities without the prior written consent of the Representatives, provided, in each case, that (1) in the cases of clauses (i)-(viii) below, the Representatives receive a signed lock-up agreement for the balance of the Lock-Up Period from each donee, trustee, distributee, or transferee, as the case may be, (2) in the cases of clauses (i)-</w:t>
      </w:r>
    </w:p>
    <w:p>
      <w:pPr>
        <w:spacing w:after="0" w:line="2" w:lineRule="exact"/>
        <w:rPr>
          <w:sz w:val="20"/>
          <w:szCs w:val="20"/>
          <w:color w:val="auto"/>
        </w:rPr>
      </w:pPr>
    </w:p>
    <w:p>
      <w:pPr>
        <w:ind w:left="4" w:hanging="4"/>
        <w:spacing w:after="0" w:line="252" w:lineRule="auto"/>
        <w:tabs>
          <w:tab w:leader="none" w:pos="4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any such transfer shall not involve a disposition for value, (3) such transfers are not required to be reported with the Securities and Exchange Commission in accordance with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(other than, in the case of a transfer or other disposition pursuant to clauses (i), (ii), (iii), (iv), (viii), (ix) and (xi) below, any Form 4 or Form 5 required to be filed under the Exchange Act if the undersigned is subject to Section 16 reporting with respect to the Company under the Exchange Act and indicates by footnote disclosure or otherwise the nature of the transfer or disposition) and (4) the undersigned does not otherwise voluntarily effect any public filing or report regarding such transfers (other than a filing on a Form 5 made after the expiration of the Lock-Up Period):</w:t>
      </w:r>
    </w:p>
    <w:p>
      <w:pPr>
        <w:spacing w:after="0" w:line="9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964" w:right="460" w:hanging="532"/>
        <w:spacing w:after="0" w:line="312" w:lineRule="auto"/>
        <w:tabs>
          <w:tab w:leader="none" w:pos="96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trust for the direct or indirect benefit of the undersigned or the immediate family of the undersigned (for purposes of this letter agreement, “immediate family” shall mean any relationship by blood, marriage or adoption, not more remote than first cousin);</w:t>
      </w:r>
    </w:p>
    <w:p>
      <w:pPr>
        <w:spacing w:after="0" w:line="45"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by a trust to its beneficiaries;</w:t>
      </w:r>
    </w:p>
    <w:p>
      <w:pPr>
        <w:spacing w:after="0" w:line="130"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to any corporation, partnership, limited liability company or other entity, all of the beneficial ownership interests of which are held by the undersigned;</w:t>
      </w:r>
    </w:p>
    <w:p>
      <w:pPr>
        <w:spacing w:after="0" w:line="67" w:lineRule="exact"/>
        <w:rPr>
          <w:rFonts w:ascii="Times New Roman" w:cs="Times New Roman" w:eastAsia="Times New Roman" w:hAnsi="Times New Roman"/>
          <w:sz w:val="18"/>
          <w:szCs w:val="18"/>
          <w:color w:val="auto"/>
        </w:rPr>
      </w:pPr>
    </w:p>
    <w:p>
      <w:pPr>
        <w:jc w:val="both"/>
        <w:ind w:left="964" w:right="360" w:hanging="532"/>
        <w:spacing w:after="0" w:line="312" w:lineRule="auto"/>
        <w:tabs>
          <w:tab w:leader="none" w:pos="96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45"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controlled or managed by the undersigned;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or in connection with a divorce settlement;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upon the death of the undersigned;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satisfaction of any tax withholding obligation;</w:t>
      </w:r>
    </w:p>
    <w:p>
      <w:pPr>
        <w:spacing w:after="0" w:line="130" w:lineRule="exact"/>
        <w:rPr>
          <w:rFonts w:ascii="Times New Roman" w:cs="Times New Roman" w:eastAsia="Times New Roman" w:hAnsi="Times New Roman"/>
          <w:sz w:val="18"/>
          <w:szCs w:val="18"/>
          <w:color w:val="auto"/>
        </w:rPr>
      </w:pPr>
    </w:p>
    <w:p>
      <w:pPr>
        <w:ind w:left="964" w:right="680" w:hanging="532"/>
        <w:spacing w:after="0" w:line="282"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Securities acquired in the Public Offering or in open market transactions after the completion of the Public Offering; or</w:t>
      </w:r>
    </w:p>
    <w:p>
      <w:pPr>
        <w:spacing w:after="0" w:line="67" w:lineRule="exact"/>
        <w:rPr>
          <w:rFonts w:ascii="Times New Roman" w:cs="Times New Roman" w:eastAsia="Times New Roman" w:hAnsi="Times New Roman"/>
          <w:sz w:val="18"/>
          <w:szCs w:val="18"/>
          <w:color w:val="auto"/>
        </w:rPr>
      </w:pPr>
    </w:p>
    <w:p>
      <w:pPr>
        <w:ind w:left="964" w:right="240" w:hanging="532"/>
        <w:spacing w:after="0" w:line="261" w:lineRule="auto"/>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trading plan, adopted prior to the date hereof, providing for the sale of common stock by the undersigned, which trading plan (a “10b5-1 Plan”) meets the requirements of Rule 10b5-1(c) under the Securities Exchange Act of 1934, as amended, provided, however, that the existence and details of such 10b5-1 Plan were communicated to the Representatives prior to the date hereof and such 10b5-1 Plan will not be amended or otherwise modified during the Lock-Up Period.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4" w:name="page45"/>
    <w:bookmarkEnd w:id="4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Furthermore, no provision in this letter agreement shall be deemed to restrict or prohibit (1) the transfer of the undersigned’s Lock-Up Securities to the Company in connection with the termination of the undersigned’s services to the Company, provided that any filing under Section 16 of the Exchange Act made in connection with such transfer shall clearly indicate in the footnotes thereto that the filing relates to the circumstances described in this clause (1); (2) the exercise or exchange by the undersigned of any option or warrant to acquire any shares of Common Stock or options to purchase shares of Common Stock, or the settlement of restricted stock units, in each case for cash or on a “cashless” or “net exercise” basis, pursuant to any stock option, stock bonus or other stock plan or arrangement; provided, however, that the underlying shares of Common Stock shall continue to be subject to the restrictions on transfer set forth in this letter agreement and that any filing under Section 16 of the Exchange Act made in connection with such exercise or exchange shall clearly indicate in the footnotes thereto that (a) the filing relates to the circumstances described in this clause (2) and (b) no shares were sold by the reporting person; (3) the transfer of Lock-Up Securities upon the completion of a bona fide third-party tender offer, merger, consolidation or other similar transaction made to all holders of the Company’s securities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letter agreement; and (4) the conversion of outstanding preferred stock of the Company into shares of Common Stock, provided that any such shares received upon such conversion shall be subject to the restrictions on transfer set forth in this letter agreement.</w:t>
      </w:r>
    </w:p>
    <w:p>
      <w:pPr>
        <w:spacing w:after="0" w:line="19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nothing herein shall prevent the undersigned from establishing a 10b5-1 Plan or from amending an existing 10b5-1 Plan so long as there are no sales of Lock-Up Securities under any such 10b5-1 Plan during the Lock-Up Period; provided, however, that any public announcement or filing under the Exchange Act regarding the establishment or amendment of such 10b5-1 Plan shall clearly disclose that no shares of Common Stock shall be disposed by such plan during the duration of the Lock-Up Period.</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letter agreement, and nothing set forth in such disclosures is intended to suggest that the Representatives or any Underwriter is making such a recommendation.</w:t>
      </w:r>
    </w:p>
    <w:p>
      <w:pPr>
        <w:spacing w:after="0" w:line="18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letter agreement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 This letter agreement shall automatically terminate, and the undersigned shall be released from the undersigned’s obligations hereunder, upon the earliest to occur, if any, of (i) prior to the execution of the Underwriting Agreement, the Company advises the Representatives in writing that it has determined not to proceed with the Public Offering; (ii) the Underwriting Agreement is executed but is terminated prior to the closing of the Public Offering (other than the provisions thereof which survive termination), or (iii) June 30, 2026, in the event that the Underwriting Agreement has not been executed by such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shall be governed by, and construed in accordance with, the laws of the State of New York.</w:t>
      </w:r>
    </w:p>
    <w:p>
      <w:pPr>
        <w:sectPr>
          <w:pgSz w:w="11900" w:h="16838" w:orient="portrait"/>
          <w:cols w:equalWidth="0" w:num="1">
            <w:col w:w="9579"/>
          </w:cols>
          <w:pgMar w:left="880" w:top="270" w:right="1440" w:bottom="1440" w:gutter="0" w:footer="0" w:header="0"/>
        </w:sectPr>
      </w:pPr>
    </w:p>
    <w:p>
      <w:pPr>
        <w:spacing w:after="0" w:line="23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16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579"/>
          </w:cols>
          <w:pgMar w:left="880" w:top="270" w:right="1440" w:bottom="1440" w:gutter="0" w:footer="0" w:header="0"/>
          <w:type w:val="continuous"/>
        </w:sectPr>
      </w:pPr>
    </w:p>
    <w:bookmarkStart w:id="46" w:name="page47"/>
    <w:bookmarkEnd w:id="4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292735</wp:posOffset>
            </wp:positionV>
            <wp:extent cx="2794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(indicate capacity of person signing if signing as custodian,</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ectPr>
          <w:pgSz w:w="11900" w:h="16838" w:orient="portrait"/>
          <w:cols w:equalWidth="0" w:num="1">
            <w:col w:w="9920"/>
          </w:cols>
          <w:pgMar w:left="1440" w:top="270" w:right="5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LOCK-UP SIGNATORIES</w:t>
      </w:r>
    </w:p>
    <w:p>
      <w:pPr>
        <w:spacing w:after="0" w:line="252"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Crystal</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Weber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Lesley Calhoun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Malte Peters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Mace Rothenberg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Ketchum</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Gall</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Sung Lee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Jessica Newcomb</w:t>
      </w:r>
    </w:p>
    <w:p>
      <w:pPr>
        <w:sectPr>
          <w:pgSz w:w="11900" w:h="16838" w:orient="portrait"/>
          <w:cols w:equalWidth="0" w:num="1">
            <w:col w:w="11024"/>
          </w:cols>
          <w:pgMar w:left="436" w:top="270" w:right="439" w:bottom="1440" w:gutter="0" w:footer="0" w:header="0"/>
        </w:sectPr>
      </w:pPr>
    </w:p>
    <w:bookmarkStart w:id="48" w:name="page49"/>
    <w:bookmarkEnd w:id="48"/>
    <w:p>
      <w:pPr>
        <w:ind w:left="10184"/>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ind w:left="4"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w:t>
      </w:r>
    </w:p>
    <w:p>
      <w:pPr>
        <w:spacing w:after="0" w:line="2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p>
      <w:pPr>
        <w:spacing w:after="0" w:line="229" w:lineRule="exact"/>
        <w:rPr>
          <w:sz w:val="20"/>
          <w:szCs w:val="20"/>
          <w:color w:val="auto"/>
        </w:rPr>
      </w:pPr>
    </w:p>
    <w:p>
      <w:pPr>
        <w:ind w:left="9444"/>
        <w:spacing w:after="0"/>
        <w:rPr>
          <w:sz w:val="20"/>
          <w:szCs w:val="20"/>
          <w:color w:val="auto"/>
        </w:rPr>
      </w:pPr>
      <w:r>
        <w:rPr>
          <w:rFonts w:ascii="Times New Roman" w:cs="Times New Roman" w:eastAsia="Times New Roman" w:hAnsi="Times New Roman"/>
          <w:sz w:val="18"/>
          <w:szCs w:val="18"/>
          <w:color w:val="auto"/>
        </w:rPr>
        <w:t>Number of Shares: [ ]</w:t>
      </w:r>
    </w:p>
    <w:p>
      <w:pPr>
        <w:spacing w:after="0" w:line="27" w:lineRule="exact"/>
        <w:rPr>
          <w:sz w:val="20"/>
          <w:szCs w:val="20"/>
          <w:color w:val="auto"/>
        </w:rPr>
      </w:pPr>
    </w:p>
    <w:p>
      <w:pPr>
        <w:ind w:left="9364"/>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Warrant No.</w:t>
      </w:r>
    </w:p>
    <w:p>
      <w:pPr>
        <w:spacing w:after="0" w:line="225" w:lineRule="exact"/>
        <w:rPr>
          <w:sz w:val="20"/>
          <w:szCs w:val="20"/>
          <w:color w:val="auto"/>
        </w:rPr>
      </w:pPr>
    </w:p>
    <w:p>
      <w:pPr>
        <w:ind w:left="8524"/>
        <w:spacing w:after="0"/>
        <w:rPr>
          <w:sz w:val="20"/>
          <w:szCs w:val="20"/>
          <w:color w:val="auto"/>
        </w:rPr>
      </w:pPr>
      <w:r>
        <w:rPr>
          <w:rFonts w:ascii="Times New Roman" w:cs="Times New Roman" w:eastAsia="Times New Roman" w:hAnsi="Times New Roman"/>
          <w:sz w:val="17"/>
          <w:szCs w:val="17"/>
          <w:color w:val="auto"/>
        </w:rPr>
        <w:t>Original Issue Date: June 11, 2026</w:t>
      </w:r>
    </w:p>
    <w:p>
      <w:pPr>
        <w:spacing w:after="0" w:line="235" w:lineRule="exact"/>
        <w:rPr>
          <w:sz w:val="20"/>
          <w:szCs w:val="20"/>
          <w:color w:val="auto"/>
        </w:rPr>
      </w:pPr>
    </w:p>
    <w:p>
      <w:pPr>
        <w:ind w:left="4" w:right="260"/>
        <w:spacing w:after="0" w:line="256" w:lineRule="auto"/>
        <w:rPr>
          <w:sz w:val="20"/>
          <w:szCs w:val="20"/>
          <w:color w:val="auto"/>
        </w:rPr>
      </w:pPr>
      <w:r>
        <w:rPr>
          <w:rFonts w:ascii="Times New Roman" w:cs="Times New Roman" w:eastAsia="Times New Roman" w:hAnsi="Times New Roman"/>
          <w:sz w:val="18"/>
          <w:szCs w:val="18"/>
          <w:color w:val="auto"/>
        </w:rPr>
        <w:t>Tango Therapeutics, Inc. ,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 shares of common stock, $0.001 par value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i w:val="1"/>
          <w:i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i w:val="1"/>
          <w:iCs w:val="1"/>
          <w:color w:val="auto"/>
        </w:rPr>
        <w:t>Warrant Shares</w:t>
      </w:r>
      <w:r>
        <w:rPr>
          <w:rFonts w:ascii="Times New Roman" w:cs="Times New Roman" w:eastAsia="Times New Roman" w:hAnsi="Times New Roman"/>
          <w:sz w:val="18"/>
          <w:szCs w:val="18"/>
          <w:color w:val="auto"/>
        </w:rPr>
        <w:t xml:space="preserve">”) at an exercise price per share equal to $0.001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xml:space="preserve">”), upon surrender of this </w:t>
      </w:r>
      <w:r>
        <w:rPr>
          <w:rFonts w:ascii="Times New Roman" w:cs="Times New Roman" w:eastAsia="Times New Roman" w:hAnsi="Times New Roman"/>
          <w:sz w:val="18"/>
          <w:szCs w:val="18"/>
          <w:i w:val="1"/>
          <w:iCs w:val="1"/>
          <w:color w:val="auto"/>
        </w:rPr>
        <w:t>Warrant to Purchase Common Stock</w:t>
      </w:r>
      <w:r>
        <w:rPr>
          <w:rFonts w:ascii="Times New Roman" w:cs="Times New Roman" w:eastAsia="Times New Roman" w:hAnsi="Times New Roman"/>
          <w:sz w:val="18"/>
          <w:szCs w:val="18"/>
          <w:color w:val="auto"/>
        </w:rPr>
        <w:t xml:space="preserve"> (including any </w:t>
      </w:r>
      <w:r>
        <w:rPr>
          <w:rFonts w:ascii="Times New Roman" w:cs="Times New Roman" w:eastAsia="Times New Roman" w:hAnsi="Times New Roman"/>
          <w:sz w:val="18"/>
          <w:szCs w:val="18"/>
          <w:i w:val="1"/>
          <w:iCs w:val="1"/>
          <w:color w:val="auto"/>
        </w:rPr>
        <w:t>Warrants to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issued in exchange, transfer or replacement hereof,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at any time and from time to time on or after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3" w:lineRule="exact"/>
        <w:rPr>
          <w:sz w:val="20"/>
          <w:szCs w:val="20"/>
          <w:color w:val="auto"/>
        </w:rPr>
      </w:pPr>
    </w:p>
    <w:p>
      <w:pPr>
        <w:ind w:left="4" w:right="20" w:hanging="4"/>
        <w:spacing w:after="0" w:line="277" w:lineRule="auto"/>
        <w:tabs>
          <w:tab w:leader="none" w:pos="24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67"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4" w:right="20" w:hanging="4"/>
        <w:spacing w:after="0" w:line="254"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5" w:lineRule="exact"/>
        <w:rPr>
          <w:rFonts w:ascii="Times New Roman" w:cs="Times New Roman" w:eastAsia="Times New Roman" w:hAnsi="Times New Roman"/>
          <w:sz w:val="18"/>
          <w:szCs w:val="18"/>
          <w:color w:val="auto"/>
        </w:rPr>
      </w:pPr>
    </w:p>
    <w:p>
      <w:pPr>
        <w:ind w:left="4" w:right="20" w:hanging="4"/>
        <w:spacing w:after="0" w:line="261"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w:t>
      </w:r>
    </w:p>
    <w:p>
      <w:pPr>
        <w:sectPr>
          <w:pgSz w:w="11900" w:h="16838" w:orient="portrait"/>
          <w:cols w:equalWidth="0" w:num="1">
            <w:col w:w="11024"/>
          </w:cols>
          <w:pgMar w:left="436" w:top="117" w:right="439" w:bottom="1440" w:gutter="0" w:footer="0" w:header="0"/>
        </w:sectPr>
      </w:pPr>
    </w:p>
    <w:bookmarkStart w:id="49" w:name="page50"/>
    <w:bookmarkEnd w:id="49"/>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w:t>
      </w:r>
    </w:p>
    <w:p>
      <w:pPr>
        <w:spacing w:after="0" w:line="178" w:lineRule="exact"/>
        <w:rPr>
          <w:sz w:val="20"/>
          <w:szCs w:val="20"/>
          <w:color w:val="auto"/>
        </w:rPr>
      </w:pPr>
    </w:p>
    <w:p>
      <w:pPr>
        <w:ind w:left="4" w:right="200" w:hanging="4"/>
        <w:spacing w:after="0" w:line="284" w:lineRule="auto"/>
        <w:tabs>
          <w:tab w:leader="none" w:pos="2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58" w:lineRule="exact"/>
        <w:rPr>
          <w:rFonts w:ascii="Times New Roman" w:cs="Times New Roman" w:eastAsia="Times New Roman" w:hAnsi="Times New Roman"/>
          <w:sz w:val="18"/>
          <w:szCs w:val="18"/>
          <w:color w:val="auto"/>
        </w:rPr>
      </w:pPr>
    </w:p>
    <w:p>
      <w:pPr>
        <w:ind w:left="4" w:right="260" w:hanging="4"/>
        <w:spacing w:after="0" w:line="284" w:lineRule="auto"/>
        <w:tabs>
          <w:tab w:leader="none" w:pos="22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means the Company’s Registration Statement on Form S-3ASR (File No 333- 291684), as filed with the Commission on November 11, 2025.</w:t>
      </w:r>
    </w:p>
    <w:p>
      <w:pPr>
        <w:spacing w:after="0" w:line="15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4" w:right="160" w:hanging="4"/>
        <w:spacing w:after="0" w:line="267"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Company’s primary trading market or quotation system with respect to the Common Stock that is in effect on the date of delivery of an applicable Exercise Notice, which as of the Original Issue Date is “T+1”.</w:t>
      </w:r>
    </w:p>
    <w:p>
      <w:pPr>
        <w:spacing w:after="0" w:line="17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rFonts w:ascii="Times New Roman" w:cs="Times New Roman" w:eastAsia="Times New Roman" w:hAnsi="Times New Roman"/>
          <w:sz w:val="18"/>
          <w:szCs w:val="18"/>
          <w:color w:val="auto"/>
        </w:rPr>
      </w:pPr>
    </w:p>
    <w:p>
      <w:pPr>
        <w:ind w:left="4" w:right="80" w:hanging="4"/>
        <w:spacing w:after="0" w:line="284" w:lineRule="auto"/>
        <w:tabs>
          <w:tab w:leader="none" w:pos="2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60" w:lineRule="exact"/>
        <w:rPr>
          <w:sz w:val="20"/>
          <w:szCs w:val="20"/>
          <w:color w:val="auto"/>
        </w:rPr>
      </w:pPr>
    </w:p>
    <w:p>
      <w:pPr>
        <w:ind w:left="4" w:right="40" w:hanging="4"/>
        <w:spacing w:after="0" w:line="254" w:lineRule="auto"/>
        <w:tabs>
          <w:tab w:leader="none" w:pos="1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cs="Times New Roman" w:eastAsia="Times New Roman" w:hAnsi="Times New Roman"/>
          <w:sz w:val="18"/>
          <w:szCs w:val="18"/>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91" w:lineRule="exact"/>
        <w:rPr>
          <w:rFonts w:ascii="Times New Roman" w:cs="Times New Roman" w:eastAsia="Times New Roman" w:hAnsi="Times New Roman"/>
          <w:sz w:val="18"/>
          <w:szCs w:val="18"/>
          <w:color w:val="auto"/>
        </w:rPr>
      </w:pPr>
    </w:p>
    <w:p>
      <w:pPr>
        <w:ind w:left="4" w:hanging="4"/>
        <w:spacing w:after="0" w:line="254" w:lineRule="auto"/>
        <w:tabs>
          <w:tab w:leader="none" w:pos="1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Duration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hanging="4"/>
        <w:spacing w:after="0" w:line="282"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at any time and from time to time on or after the Original Issue Date.</w:t>
      </w:r>
    </w:p>
    <w:p>
      <w:pPr>
        <w:spacing w:after="0" w:line="159" w:lineRule="exact"/>
        <w:rPr>
          <w:rFonts w:ascii="Times New Roman" w:cs="Times New Roman" w:eastAsia="Times New Roman" w:hAnsi="Times New Roman"/>
          <w:sz w:val="18"/>
          <w:szCs w:val="18"/>
          <w:color w:val="auto"/>
        </w:rPr>
      </w:pPr>
    </w:p>
    <w:p>
      <w:pPr>
        <w:ind w:left="4" w:right="100" w:hanging="4"/>
        <w:spacing w:after="0" w:line="261"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i w:val="1"/>
          <w:iCs w:val="1"/>
          <w:color w:val="auto"/>
        </w:rPr>
        <w:t>Exercise</w:t>
      </w:r>
    </w:p>
    <w:p>
      <w:pPr>
        <w:sectPr>
          <w:pgSz w:w="11900" w:h="16838" w:orient="portrait"/>
          <w:cols w:equalWidth="0" w:num="1">
            <w:col w:w="11004"/>
          </w:cols>
          <w:pgMar w:left="436" w:top="270" w:right="459" w:bottom="1440" w:gutter="0" w:footer="0" w:header="0"/>
        </w:sectPr>
      </w:pPr>
    </w:p>
    <w:bookmarkStart w:id="50" w:name="page51"/>
    <w:bookmarkEnd w:id="50"/>
    <w:p>
      <w:pPr>
        <w:ind w:left="4" w:right="4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to be paid by the Holder to effect any exercise of this Warrant. The Holder shall not be entitled to the return or refund of all, or any portion, of such pre-funded exercise price under any circumstance or for any reason whatsoever.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7" w:lineRule="exact"/>
        <w:rPr>
          <w:sz w:val="20"/>
          <w:szCs w:val="20"/>
          <w:color w:val="auto"/>
        </w:rPr>
      </w:pPr>
    </w:p>
    <w:p>
      <w:pPr>
        <w:ind w:left="184" w:hanging="184"/>
        <w:spacing w:after="0"/>
        <w:tabs>
          <w:tab w:leader="none" w:pos="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hanging="4"/>
        <w:spacing w:after="0" w:line="253"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or shall cause the Transfer Agent to, promptly (but in no event later than the number of Trading Days comprising the Standard Settlement Period following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(the “</w:t>
      </w:r>
      <w:r>
        <w:rPr>
          <w:rFonts w:ascii="Times New Roman" w:cs="Times New Roman" w:eastAsia="Times New Roman" w:hAnsi="Times New Roman"/>
          <w:sz w:val="18"/>
          <w:szCs w:val="18"/>
          <w:i w:val="1"/>
          <w:iCs w:val="1"/>
          <w:color w:val="auto"/>
        </w:rPr>
        <w:t>FAST Program</w:t>
      </w:r>
      <w:r>
        <w:rPr>
          <w:rFonts w:ascii="Times New Roman" w:cs="Times New Roman" w:eastAsia="Times New Roman" w:hAnsi="Times New Roman"/>
          <w:sz w:val="18"/>
          <w:szCs w:val="18"/>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“Person”) so designated by the Holder to receive Warrant Shares, shall be deemed to have become the holder of record of such Warrant Shares as of the Exercise Date, irrespective of the date such Warrant Shares are credited to the Holder’s or its designee’s DTC account or the date of delivery of the certificates evidencing such Warrant Shares, as the case may be.</w:t>
      </w:r>
    </w:p>
    <w:p>
      <w:pPr>
        <w:spacing w:after="0" w:line="194" w:lineRule="exact"/>
        <w:rPr>
          <w:rFonts w:ascii="Times New Roman" w:cs="Times New Roman" w:eastAsia="Times New Roman" w:hAnsi="Times New Roman"/>
          <w:sz w:val="18"/>
          <w:szCs w:val="18"/>
          <w:color w:val="auto"/>
        </w:rPr>
      </w:pPr>
    </w:p>
    <w:p>
      <w:pPr>
        <w:ind w:left="4" w:right="40" w:hanging="4"/>
        <w:spacing w:after="0" w:line="252"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deliver to the Holder a certificate representing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fails to credit the Holder’s or its designee’s balance account with DTC for such number of Warrant Shares to which the Holder is entitled within the Standard Settlement Period following the Exercise Date, and if after such Standard Settlement Period and prior to the receipt of such Warrant Shares, the Holder purchases (in an open market transaction or otherwise,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i w:val="1"/>
          <w:iCs w:val="1"/>
          <w:color w:val="auto"/>
        </w:rPr>
        <w:t>Buy-In</w:t>
      </w:r>
      <w:r>
        <w:rPr>
          <w:rFonts w:ascii="Times New Roman" w:cs="Times New Roman" w:eastAsia="Times New Roman" w:hAnsi="Times New Roman"/>
          <w:sz w:val="18"/>
          <w:szCs w:val="18"/>
          <w:color w:val="auto"/>
        </w:rPr>
        <w:t>”), then the Company shall, within two (2) Trading Days after the Holder’s request and in the Company’s sole discretion, either (1) pay in cash to the Holder an amount equal to the Holder’s total purchase price (including commercially reasonable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commercially reasonable brokerage commissions, if any) for the shares of Common Stock so purchased in the Buy-In over the product of (A) the number of shares of Common Stock purchased in the Buy-In, times (B) the Closing Sale Price of a share of Common Stock on the Exercise Date. The provisions of this Section 5(b) shall be the only remedy available to the Holder in the event the Company fails to deliver to the Holder the required number of Warrant Shares in the manner required pursuant to Section 5(a) and a Buy-In occurs.</w:t>
      </w:r>
    </w:p>
    <w:p>
      <w:pPr>
        <w:spacing w:after="0" w:line="195" w:lineRule="exact"/>
        <w:rPr>
          <w:rFonts w:ascii="Times New Roman" w:cs="Times New Roman" w:eastAsia="Times New Roman" w:hAnsi="Times New Roman"/>
          <w:sz w:val="18"/>
          <w:szCs w:val="18"/>
          <w:color w:val="auto"/>
        </w:rPr>
      </w:pPr>
    </w:p>
    <w:p>
      <w:pPr>
        <w:ind w:left="4" w:hanging="4"/>
        <w:spacing w:after="0" w:line="255"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Section 5(b),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w:t>
      </w:r>
    </w:p>
    <w:p>
      <w:pPr>
        <w:sectPr>
          <w:pgSz w:w="11900" w:h="16838" w:orient="portrait"/>
          <w:cols w:equalWidth="0" w:num="1">
            <w:col w:w="11004"/>
          </w:cols>
          <w:pgMar w:left="436" w:top="268" w:right="459" w:bottom="1440" w:gutter="0" w:footer="0" w:header="0"/>
        </w:sectPr>
      </w:pPr>
    </w:p>
    <w:bookmarkStart w:id="51" w:name="page52"/>
    <w:bookmarkEnd w:id="51"/>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62" w:lineRule="exact"/>
        <w:rPr>
          <w:sz w:val="20"/>
          <w:szCs w:val="20"/>
          <w:color w:val="auto"/>
        </w:rPr>
      </w:pPr>
    </w:p>
    <w:p>
      <w:pPr>
        <w:ind w:left="4" w:right="60" w:hanging="4"/>
        <w:spacing w:after="0" w:line="256" w:lineRule="auto"/>
        <w:tabs>
          <w:tab w:leader="none" w:pos="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7" w:lineRule="exact"/>
        <w:rPr>
          <w:rFonts w:ascii="Times New Roman" w:cs="Times New Roman" w:eastAsia="Times New Roman" w:hAnsi="Times New Roman"/>
          <w:sz w:val="18"/>
          <w:szCs w:val="18"/>
          <w:color w:val="auto"/>
        </w:rPr>
      </w:pPr>
    </w:p>
    <w:p>
      <w:pPr>
        <w:ind w:left="4" w:right="200" w:hanging="4"/>
        <w:spacing w:after="0" w:line="273" w:lineRule="auto"/>
        <w:tabs>
          <w:tab w:leader="none" w:pos="18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of Warrant</w:t>
      </w:r>
      <w:r>
        <w:rPr>
          <w:rFonts w:ascii="Times New Roman" w:cs="Times New Roman" w:eastAsia="Times New Roman" w:hAnsi="Times New Roman"/>
          <w:sz w:val="17"/>
          <w:szCs w:val="17"/>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required by a third-party transfer agent. Applicants for a New Warrant under such circumstances shall also comply with such other reasonable regulations and procedures and pay such other reasonable third-party costs as the Company may reasonably prescribe. If a New Warrant is requested as a result of a mutilation of this Warrant, then the Holder shall deliver such mutilated Warrant to the Company as a condition precedent to the Company’s obligation to issue the New Warrant.</w:t>
      </w:r>
    </w:p>
    <w:p>
      <w:pPr>
        <w:spacing w:after="0" w:line="171" w:lineRule="exact"/>
        <w:rPr>
          <w:rFonts w:ascii="Times New Roman" w:cs="Times New Roman" w:eastAsia="Times New Roman" w:hAnsi="Times New Roman"/>
          <w:sz w:val="17"/>
          <w:szCs w:val="17"/>
          <w:color w:val="auto"/>
        </w:rPr>
      </w:pPr>
    </w:p>
    <w:p>
      <w:pPr>
        <w:ind w:left="4" w:hanging="4"/>
        <w:spacing w:after="0" w:line="252" w:lineRule="auto"/>
        <w:tabs>
          <w:tab w:leader="none" w:pos="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8"/>
          <w:szCs w:val="18"/>
          <w:i w:val="1"/>
          <w:iCs w:val="1"/>
          <w:color w:val="auto"/>
        </w:rPr>
        <w:t>Authorized Share Failure</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89" w:lineRule="exact"/>
        <w:rPr>
          <w:rFonts w:ascii="Times New Roman" w:cs="Times New Roman" w:eastAsia="Times New Roman" w:hAnsi="Times New Roman"/>
          <w:sz w:val="18"/>
          <w:szCs w:val="18"/>
          <w:color w:val="auto"/>
        </w:rPr>
      </w:pPr>
    </w:p>
    <w:p>
      <w:pPr>
        <w:ind w:left="4" w:right="60" w:hanging="4"/>
        <w:spacing w:after="0" w:line="282" w:lineRule="auto"/>
        <w:tabs>
          <w:tab w:leader="none" w:pos="1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The Exercise Price and number of Warrant Shares issuable upon exercise of this Warrant are 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70" w:right="479" w:bottom="1440" w:gutter="0" w:footer="0" w:header="0"/>
        </w:sectPr>
      </w:pPr>
    </w:p>
    <w:bookmarkStart w:id="52" w:name="page53"/>
    <w:bookmarkEnd w:id="52"/>
    <w:p>
      <w:pPr>
        <w:ind w:left="4" w:right="20" w:hanging="4"/>
        <w:spacing w:after="0" w:line="253" w:lineRule="auto"/>
        <w:tabs>
          <w:tab w:leader="none" w:pos="2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89" w:lineRule="exact"/>
        <w:rPr>
          <w:rFonts w:ascii="Times New Roman" w:cs="Times New Roman" w:eastAsia="Times New Roman" w:hAnsi="Times New Roman"/>
          <w:sz w:val="18"/>
          <w:szCs w:val="18"/>
          <w:color w:val="auto"/>
        </w:rPr>
      </w:pPr>
    </w:p>
    <w:p>
      <w:pPr>
        <w:ind w:left="4" w:hanging="4"/>
        <w:spacing w:after="0" w:line="254" w:lineRule="auto"/>
        <w:tabs>
          <w:tab w:leader="none" w:pos="2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outstanding, distributes to all holders of Common Stock for no consideration (i) evidences of its indebtedness, (ii) any security (other than a distribution of Common Stock covered by Section 9(a) or a distribution subject to Section 9(c)), (iii) rights or warrants to subscribe for or purchase any security, or (iv) cash or any other asset (other than a distribution pursuant to a Fundamental Transaction (as defined below) subject to Section 9(c)) (in each case, “</w:t>
      </w:r>
      <w:r>
        <w:rPr>
          <w:rFonts w:ascii="Times New Roman" w:cs="Times New Roman" w:eastAsia="Times New Roman" w:hAnsi="Times New Roman"/>
          <w:sz w:val="18"/>
          <w:szCs w:val="18"/>
          <w:i w:val="1"/>
          <w:iCs w:val="1"/>
          <w:color w:val="auto"/>
        </w:rPr>
        <w:t>Distributed Property</w:t>
      </w:r>
      <w:r>
        <w:rPr>
          <w:rFonts w:ascii="Times New Roman" w:cs="Times New Roman" w:eastAsia="Times New Roman" w:hAnsi="Times New Roman"/>
          <w:sz w:val="18"/>
          <w:szCs w:val="18"/>
          <w:color w:val="auto"/>
        </w:rPr>
        <w:t>”),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w:t>
      </w:r>
    </w:p>
    <w:p>
      <w:pPr>
        <w:spacing w:after="0" w:line="191" w:lineRule="exact"/>
        <w:rPr>
          <w:rFonts w:ascii="Times New Roman" w:cs="Times New Roman" w:eastAsia="Times New Roman" w:hAnsi="Times New Roman"/>
          <w:sz w:val="18"/>
          <w:szCs w:val="18"/>
          <w:color w:val="auto"/>
        </w:rPr>
      </w:pPr>
    </w:p>
    <w:p>
      <w:pPr>
        <w:ind w:left="4" w:hanging="4"/>
        <w:spacing w:after="0" w:line="251" w:lineRule="auto"/>
        <w:tabs>
          <w:tab w:leader="none" w:pos="2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provided, however, that the forgoing shall not include transactions for which the primary purpose is raising capital,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i w:val="1"/>
          <w:i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solely Marketable Securities, or a combination of cash and Marketable Securities,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 below or (ii) prior to or simultaneously with the consummation thereof, any successor to the Company, surviving entity or other Person (including any purchaser of assets of the Company) shall assume the obligation to deliver to the Holder such Alternate Consideration as, in</w:t>
      </w:r>
    </w:p>
    <w:p>
      <w:pPr>
        <w:sectPr>
          <w:pgSz w:w="11900" w:h="16838" w:orient="portrait"/>
          <w:cols w:equalWidth="0" w:num="1">
            <w:col w:w="11004"/>
          </w:cols>
          <w:pgMar w:left="436" w:top="270" w:right="459" w:bottom="1440" w:gutter="0" w:footer="0" w:header="0"/>
        </w:sectPr>
      </w:pPr>
    </w:p>
    <w:bookmarkStart w:id="53" w:name="page54"/>
    <w:bookmarkEnd w:id="53"/>
    <w:p>
      <w:pPr>
        <w:ind w:left="4"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the foregoing provisions, the Holder may be entitled to receive, and the other obligations under this Warrant. The provisions of this paragraph (c) shall similarly apply to subsequent transactions analogous of a Fundamental Transaction type. In the event the Holder does not exercise this Warrant as contemplated by the foregoing sentence, this Warrant shall be deemed exercised in full without regard to any limitations on exercise contained herein pursuant to the “cashless exercise” provision in Section 10 hereof upon the effective date of the consummation of such Fundamental Transaction.</w:t>
      </w:r>
    </w:p>
    <w:p>
      <w:pPr>
        <w:spacing w:after="0" w:line="183" w:lineRule="exact"/>
        <w:rPr>
          <w:sz w:val="20"/>
          <w:szCs w:val="20"/>
          <w:color w:val="auto"/>
        </w:rPr>
      </w:pPr>
    </w:p>
    <w:p>
      <w:pPr>
        <w:ind w:left="4" w:right="20" w:hanging="4"/>
        <w:spacing w:after="0" w:line="258"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8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color w:val="auto"/>
        </w:rPr>
      </w:pPr>
    </w:p>
    <w:p>
      <w:pPr>
        <w:ind w:left="4" w:right="100" w:hanging="4"/>
        <w:spacing w:after="0" w:line="256" w:lineRule="auto"/>
        <w:tabs>
          <w:tab w:leader="none" w:pos="2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7"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In the event such notice and the contents thereof shall be deemed to constitute material non-public information, the Company shall (on the same time frame set forth in the immediately prior sentence) offer the Holder the ability to sign a confidentiality agreement related thereto sufficient to allow the Holder to receive such notice, and the Company shall deliver such notice immediately upon execution of such confidentiality agreement. If the holder does not sign the confidentiality agreement, then the Holder shall not receive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other than a Fundamental Transaction under clause (iii) of Section 9(c),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w:t>
      </w:r>
    </w:p>
    <w:p>
      <w:pPr>
        <w:spacing w:after="0" w:line="193" w:lineRule="exact"/>
        <w:rPr>
          <w:sz w:val="20"/>
          <w:szCs w:val="20"/>
          <w:color w:val="auto"/>
        </w:rPr>
      </w:pPr>
    </w:p>
    <w:p>
      <w:pPr>
        <w:ind w:left="4" w:right="80" w:hanging="4"/>
        <w:spacing w:after="0" w:line="266" w:lineRule="auto"/>
        <w:tabs>
          <w:tab w:leader="none" w:pos="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7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ectPr>
          <w:pgSz w:w="11900" w:h="16838" w:orient="portrait"/>
          <w:cols w:equalWidth="0" w:num="1">
            <w:col w:w="11004"/>
          </w:cols>
          <w:pgMar w:left="436" w:top="270" w:right="459" w:bottom="1440" w:gutter="0" w:footer="0" w:header="0"/>
        </w:sectPr>
      </w:pPr>
    </w:p>
    <w:bookmarkStart w:id="54" w:name="page55"/>
    <w:bookmarkEnd w:id="5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 equals the total number of Warrant Shares with respect to which this Warrant is then being exercised;</w:t>
      </w:r>
    </w:p>
    <w:p>
      <w:pPr>
        <w:spacing w:after="0" w:line="225"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equals the Exercise Price per Warrant Share then in effect for the applicable Warrant Shares at the time of such exercise.</w:t>
      </w:r>
    </w:p>
    <w:p>
      <w:pPr>
        <w:spacing w:after="0" w:line="225"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Section 10.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Section 5(b) (Buy-In remedy) and Section 12 (payment of cash in lieu of fractional shares), in no event will the exercise of this Warrant be settled in cash.</w:t>
      </w:r>
    </w:p>
    <w:p>
      <w:pPr>
        <w:spacing w:after="0" w:line="188" w:lineRule="exact"/>
        <w:rPr>
          <w:sz w:val="20"/>
          <w:szCs w:val="20"/>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66" w:lineRule="auto"/>
        <w:tabs>
          <w:tab w:leader="none" w:pos="24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Holder of Warrants shall be prohibited from exercising the Holder’s Warrants if, immediately prior to or following such exercise (or portion of such exercise thereof), the Holder, together with its Affiliates and any member of a Section 13(d) group, beneficially owns or would beneficially own as determined in accordance with Section 13(d) of Exchange Act of 1934 and the rules thereunder more than [4.99][9.99]% (the “Beneficial Ownership Limitation”) of the issued and outstanding Common Stock or any other class of equity security (other than an exempted security) of the Company that is registered pursuant to Section 12 of the Exchange Act. For purposes of calculating beneficial ownership, the aggregate number of shares of Common Stock beneficially owned by the Holder, together with its affiliates and any member of the Section 13(d) group, shall include the number of shares of Common Stock issuable upon exercise of the relevant Warrants with respect to which the determination is being made, but shall exclude the number of shares of Common Stock which are issuable upon (i) conversion of the remaining, unconverted Warrants beneficially owned by a Holder, together with its Affiliates and any member of Section 13(d) group, and (ii) exercise or conversion of the unexercised or unconverted portion of any other securities of the Company beneficially owned by such Holder, together with its Affiliates and any member of Section 13(d) group (including, without limitation, any convertible notes, convertible stock or warrants) that are subject to a limitation on conversion or exercise analogous to the limitation contained herein. For purposes of this Section 11(a), beneficial ownership and whether a Holder is a member of a Section 13(d) group shall be calculated and determined in accordance with Section 13(d) of the Exchange Act and the rules promulgated thereunder, it being acknowledged and agreed that the Holder is solely responsible for any schedules required to be filed in accordance therewith. For purposes of the Warrants, in determining the number of outstanding shares of Common Stock, a Holder of Warrants may rely on the number of outstanding shares of Common Stock as reflected in (1) the Company’s most recent Form 10-K, Form 10-Q, Current Report on Form 8-K or other public filing with the Securities and Exchange Commission, as the case may be,</w:t>
      </w:r>
    </w:p>
    <w:p>
      <w:pPr>
        <w:spacing w:after="0" w:line="7" w:lineRule="exact"/>
        <w:rPr>
          <w:rFonts w:ascii="Times New Roman" w:cs="Times New Roman" w:eastAsia="Times New Roman" w:hAnsi="Times New Roman"/>
          <w:sz w:val="17"/>
          <w:szCs w:val="17"/>
          <w:color w:val="auto"/>
        </w:rPr>
      </w:pPr>
    </w:p>
    <w:p>
      <w:pPr>
        <w:ind w:left="4"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 more recent public announcement by the Company, or (3) any other notice by the Company or the Company’s transfer agent setting forth the number of shares of Common Stock outstanding (the “</w:t>
      </w:r>
      <w:r>
        <w:rPr>
          <w:rFonts w:ascii="Times New Roman" w:cs="Times New Roman" w:eastAsia="Times New Roman" w:hAnsi="Times New Roman"/>
          <w:sz w:val="18"/>
          <w:szCs w:val="18"/>
          <w:i w:val="1"/>
          <w:i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Beneficial Ownership Limitation,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i w:val="1"/>
          <w:i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a Holder of Warrants, the Company shall within two (2) Business Days confirm to such Holder the number of shares of Common Stock then outstanding. In any case, the number of outstanding shares of</w:t>
      </w:r>
    </w:p>
    <w:p>
      <w:pPr>
        <w:sectPr>
          <w:pgSz w:w="11900" w:h="16838" w:orient="portrait"/>
          <w:cols w:equalWidth="0" w:num="1">
            <w:col w:w="11004"/>
          </w:cols>
          <w:pgMar w:left="436" w:top="270" w:right="459" w:bottom="1440" w:gutter="0" w:footer="0" w:header="0"/>
        </w:sectPr>
      </w:pPr>
    </w:p>
    <w:bookmarkStart w:id="55" w:name="page56"/>
    <w:bookmarkEnd w:id="5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Stock shall be determined after giving effect to the conversion or exercise of securities of the Company, including this Warrant, by the Holder, together with its Affiliates and any member of a Section 13(d) group, since the date as of which the Reported Outstanding Share Number was reported. In the event that the issuance of Common Stock to the Holder upon exercise of this Warrant results in the Holder, together with its Affiliates and any member of a Section 13(d) group, being deemed to beneficially own, in the aggregate, more than the Beneficial Ownership Limitation of the number of outstanding shares of Common Stock (as determined under Section 13(d) of the Exchange Act), the number of shares so issued by which the Holder’s, together with its Affiliates and any member of a Section 13(d) group, aggregate beneficial ownership exceeds the Beneficial Ownership Limitation (the “</w:t>
      </w:r>
      <w:r>
        <w:rPr>
          <w:rFonts w:ascii="Times New Roman" w:cs="Times New Roman" w:eastAsia="Times New Roman" w:hAnsi="Times New Roman"/>
          <w:sz w:val="18"/>
          <w:szCs w:val="18"/>
          <w:i w:val="1"/>
          <w:iCs w:val="1"/>
          <w:color w:val="auto"/>
        </w:rPr>
        <w:t>Excess Shares</w:t>
      </w:r>
      <w:r>
        <w:rPr>
          <w:rFonts w:ascii="Times New Roman" w:cs="Times New Roman" w:eastAsia="Times New Roman" w:hAnsi="Times New Roman"/>
          <w:sz w:val="18"/>
          <w:szCs w:val="18"/>
          <w:color w:val="auto"/>
        </w:rPr>
        <w:t>”) shall be deemed null and void and shall be cancelled ab initio and any portion of this Warrant so exercised shall be reinstated,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Warrants may from time to time increase or decrease the Beneficial Ownership Limitation to any other percentage not in excess of 19.99% (the “</w:t>
      </w:r>
      <w:r>
        <w:rPr>
          <w:rFonts w:ascii="Times New Roman" w:cs="Times New Roman" w:eastAsia="Times New Roman" w:hAnsi="Times New Roman"/>
          <w:sz w:val="18"/>
          <w:szCs w:val="18"/>
          <w:i w:val="1"/>
          <w:iCs w:val="1"/>
          <w:color w:val="auto"/>
        </w:rPr>
        <w:t>Maximum Percentage</w:t>
      </w:r>
      <w:r>
        <w:rPr>
          <w:rFonts w:ascii="Times New Roman" w:cs="Times New Roman" w:eastAsia="Times New Roman" w:hAnsi="Times New Roman"/>
          <w:sz w:val="18"/>
          <w:szCs w:val="18"/>
          <w:color w:val="auto"/>
        </w:rPr>
        <w:t>”) specified in such notice; provided that any increase in the Beneficial Ownership Limitation will not be effective until the sixty-first (61st) day after such notice is delivered to the Company.</w:t>
      </w:r>
    </w:p>
    <w:p>
      <w:pPr>
        <w:spacing w:after="0" w:line="190" w:lineRule="exact"/>
        <w:rPr>
          <w:sz w:val="20"/>
          <w:szCs w:val="20"/>
          <w:color w:val="auto"/>
        </w:rPr>
      </w:pPr>
    </w:p>
    <w:p>
      <w:pPr>
        <w:jc w:val="both"/>
        <w:ind w:left="4" w:right="160" w:hanging="4"/>
        <w:spacing w:after="0" w:line="266"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pacing w:after="0" w:line="176" w:lineRule="exact"/>
        <w:rPr>
          <w:sz w:val="20"/>
          <w:szCs w:val="20"/>
          <w:color w:val="auto"/>
        </w:rPr>
      </w:pPr>
    </w:p>
    <w:p>
      <w:pPr>
        <w:jc w:val="both"/>
        <w:ind w:left="4" w:right="260" w:hanging="4"/>
        <w:spacing w:after="0" w:line="266" w:lineRule="auto"/>
        <w:tabs>
          <w:tab w:leader="none" w:pos="2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5" w:lineRule="exact"/>
        <w:rPr>
          <w:rFonts w:ascii="Times New Roman" w:cs="Times New Roman" w:eastAsia="Times New Roman" w:hAnsi="Times New Roman"/>
          <w:sz w:val="18"/>
          <w:szCs w:val="18"/>
          <w:color w:val="auto"/>
        </w:rPr>
      </w:pPr>
    </w:p>
    <w:p>
      <w:pPr>
        <w:ind w:left="4" w:right="40" w:hanging="4"/>
        <w:spacing w:after="0" w:line="255" w:lineRule="auto"/>
        <w:tabs>
          <w:tab w:leader="none" w:pos="2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thirty (30) days’ notice to the Holder, the Company</w:t>
      </w:r>
    </w:p>
    <w:p>
      <w:pPr>
        <w:spacing w:after="0" w:line="27"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hanging="4"/>
        <w:spacing w:after="0" w:line="272" w:lineRule="auto"/>
        <w:tabs>
          <w:tab w:leader="none" w:pos="24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a Stockholder</w:t>
      </w:r>
      <w:r>
        <w:rPr>
          <w:rFonts w:ascii="Times New Roman" w:cs="Times New Roman" w:eastAsia="Times New Roman" w:hAnsi="Times New Roman"/>
          <w:sz w:val="17"/>
          <w:szCs w:val="17"/>
          <w:color w:val="auto"/>
        </w:rPr>
        <w:t>. Except as otherwise set forth in this Warrant,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ectPr>
          <w:pgSz w:w="11900" w:h="16838" w:orient="portrait"/>
          <w:cols w:equalWidth="0" w:num="1">
            <w:col w:w="11004"/>
          </w:cols>
          <w:pgMar w:left="436" w:top="270" w:right="459" w:bottom="1440" w:gutter="0" w:footer="0" w:header="0"/>
        </w:sectPr>
      </w:pPr>
    </w:p>
    <w:bookmarkStart w:id="56" w:name="page57"/>
    <w:bookmarkEnd w:id="56"/>
    <w:p>
      <w:pPr>
        <w:ind w:left="4" w:hanging="4"/>
        <w:spacing w:after="0" w:line="254"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Shares</w:t>
      </w:r>
      <w:r>
        <w:rPr>
          <w:rFonts w:ascii="Times New Roman" w:cs="Times New Roman" w:eastAsia="Times New Roman" w:hAnsi="Times New Roman"/>
          <w:sz w:val="18"/>
          <w:szCs w:val="18"/>
          <w:color w:val="auto"/>
        </w:rPr>
        <w:t>.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left="4" w:right="500" w:hanging="4"/>
        <w:spacing w:after="0" w:line="266"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 w:right="80" w:hanging="4"/>
        <w:spacing w:after="0" w:line="256" w:lineRule="auto"/>
        <w:tabs>
          <w:tab w:leader="none" w:pos="24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ind w:left="4" w:right="160" w:hanging="4"/>
        <w:spacing w:after="0" w:line="282"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25" w:lineRule="exact"/>
        <w:rPr>
          <w:rFonts w:ascii="Times New Roman" w:cs="Times New Roman" w:eastAsia="Times New Roman" w:hAnsi="Times New Roman"/>
          <w:sz w:val="18"/>
          <w:szCs w:val="18"/>
          <w:color w:val="auto"/>
        </w:rPr>
      </w:pPr>
    </w:p>
    <w:p>
      <w:pPr>
        <w:ind w:left="4" w:right="20" w:hanging="4"/>
        <w:spacing w:after="0" w:line="252" w:lineRule="auto"/>
        <w:tabs>
          <w:tab w:leader="none" w:pos="2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ectPr>
          <w:pgSz w:w="11900" w:h="16838" w:orient="portrait"/>
          <w:cols w:equalWidth="0" w:num="1">
            <w:col w:w="10944"/>
          </w:cols>
          <w:pgMar w:left="436" w:top="270" w:right="519" w:bottom="1440" w:gutter="0" w:footer="0" w:header="0"/>
        </w:sectPr>
      </w:pPr>
    </w:p>
    <w:bookmarkStart w:id="57" w:name="page58"/>
    <w:bookmarkEnd w:id="57"/>
    <w:p>
      <w:pPr>
        <w:ind w:left="4" w:hanging="4"/>
        <w:spacing w:after="0" w:line="261"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04"/>
          </w:cols>
          <w:pgMar w:left="436" w:top="270"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80"/>
          </w:cols>
          <w:pgMar w:left="440" w:top="270" w:right="979" w:bottom="1440" w:gutter="0" w:footer="0" w:header="0"/>
        </w:sectPr>
      </w:pPr>
    </w:p>
    <w:bookmarkStart w:id="59" w:name="page60"/>
    <w:bookmarkEnd w:id="59"/>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ind w:left="4" w:right="320" w:hanging="4"/>
        <w:spacing w:after="0" w:line="284"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issued by Tango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60"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11" w:lineRule="exact"/>
        <w:rPr>
          <w:sz w:val="20"/>
          <w:szCs w:val="20"/>
          <w:color w:val="auto"/>
        </w:rPr>
      </w:pPr>
    </w:p>
    <w:p>
      <w:pPr>
        <w:ind w:left="36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 Exercise</w:t>
      </w:r>
    </w:p>
    <w:p>
      <w:pPr>
        <w:spacing w:after="0" w:line="252" w:lineRule="exact"/>
        <w:rPr>
          <w:sz w:val="20"/>
          <w:szCs w:val="20"/>
          <w:color w:val="auto"/>
        </w:rPr>
      </w:pPr>
    </w:p>
    <w:p>
      <w:pPr>
        <w:ind w:left="36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“Cashless Exercise” under Section 10 of the Warrant</w:t>
      </w:r>
    </w:p>
    <w:p>
      <w:pPr>
        <w:spacing w:after="0" w:line="266" w:lineRule="exact"/>
        <w:rPr>
          <w:sz w:val="20"/>
          <w:szCs w:val="20"/>
          <w:color w:val="auto"/>
        </w:rPr>
      </w:pPr>
    </w:p>
    <w:p>
      <w:pPr>
        <w:ind w:left="4" w:right="120" w:hanging="4"/>
        <w:spacing w:after="0" w:line="282"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Warrant to which this notice relates.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17145</wp:posOffset>
            </wp:positionV>
            <wp:extent cx="22885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-10795</wp:posOffset>
            </wp:positionV>
            <wp:extent cx="22885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17145</wp:posOffset>
            </wp:positionV>
            <wp:extent cx="22885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17145</wp:posOffset>
            </wp:positionV>
            <wp:extent cx="22885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17145</wp:posOffset>
            </wp:positionV>
            <wp:extent cx="22885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944"/>
          </w:cols>
          <w:pgMar w:left="436" w:top="270" w:right="5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Brookline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an automatic Registration Statement on Form S-3 (File No. 333- 291684) (as amended or supplemented, the “Registration Statement”) filed on November 21, 2025 with the Securities and Exchange Commission (the “Commission”) pursuant to the Securities Act of 1933, as amended (the “Securities Act”), relating to the registration of the offer by Tango Therapeutics, Inc., a Delaware corporation (the “Company”), of an indeterminate amount of any combination of securities of the types specified therein. The Registration Statement became automatically effective upon filing on November 21, 2025. Reference is made to our opinion letter dated November 21, 2025 and included as Exhibit 5.1 to the Registration Statement. We are delivering this supplemental opinion letter in connection with the prospectus supplement (the “Prospectus Supplement”) filed on June 10, 2026 by the Company with the Commission pursuant to Rule 424 under the Securities Act. The Prospectus Supplement relates to the offering by the Company of up to (i) 21,166,676 shares of the Company’s common stock, par value $0.001 per share (the “Common Shares”) and (ii) pre-funded warrants (the “Pre-Funded Warrants”) to purchase up to 1,833,395 shares of Common Stock (such shares issuable upon exercise of the Pre-Funded Warrants, the “Pre-Funded Warrant Shares,” and together with the Common Shares, the “Shares”), covered by the Registration Statement. The Shares include an over-allotment option granted to the underwriters of the offering to purchase 3,000,009 Common Shares. The Common Shares and Pre-Funded Warrants are being sold to the several underwriters named in, and pursuant to, an underwriting agreement among the Company and such underwriters (the “Underwriting Agreement”).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with respect to opinion paragraph 2, the law of the State of New York.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we are of the opinion that:</w:t>
      </w:r>
    </w:p>
    <w:p>
      <w:pPr>
        <w:spacing w:after="0" w:line="131" w:lineRule="exact"/>
        <w:rPr>
          <w:sz w:val="20"/>
          <w:szCs w:val="20"/>
          <w:color w:val="auto"/>
        </w:rPr>
      </w:pPr>
    </w:p>
    <w:p>
      <w:pPr>
        <w:ind w:left="960" w:right="600" w:hanging="532"/>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have been duly authorized and, when delivered and paid for in accordance with the terms of the Underwriting Agreement, will be validly issued, fully paid and non-assessable.</w:t>
      </w:r>
    </w:p>
    <w:p>
      <w:pPr>
        <w:spacing w:after="0" w:line="67"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have been duly authorized and executed by the Company and, when delivered and paid for in accordance with the terms of the Underwriting Agreement, will be valid and binding obligations of the Company.</w:t>
      </w:r>
    </w:p>
    <w:p>
      <w:pPr>
        <w:sectPr>
          <w:pgSz w:w="11900" w:h="16838" w:orient="portrait"/>
          <w:cols w:equalWidth="0" w:num="1">
            <w:col w:w="11020"/>
          </w:cols>
          <w:pgMar w:left="440" w:top="117"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960" w:right="16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Pre-Funded Warrant Shares issuable upon exercise of the Pre-Funded Warrants were issued today in accordance with the terms of the Pre-Funded Warrants, they would be validly issued, fully paid and nonassessable.</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opinions set forth above are subject to bankruptcy, insolvency, fraudulent transfer, reorganization, moratorium and other similar laws of general application affecting the rights and remedies of creditors and to general principles of equity.</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hereby consent to the inclusion of this opinion as Exhibit 5.1 to the Current Report on Form 8-K and its incorporation by reference in the Registration Statement and the reference to our firm under the caption “Legal Matters” in the Prospectus Supplement. In giving our consent, we do not admit that we are in the category of persons whose consent is required under Section 7 of the Securities Act or the rules and regulations thereunder.</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17145</wp:posOffset>
            </wp:positionV>
            <wp:extent cx="26828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Roman"/>
      <w:start w:val="2"/>
    </w:lvl>
  </w:abstractNum>
  <w:abstractNum w:abstractNumId="2">
    <w:nsid w:val="22221A70"/>
    <w:multiLevelType w:val="hybridMultilevel"/>
    <w:lvl w:ilvl="0">
      <w:lvlJc w:val="left"/>
      <w:lvlText w:val="(%1)"/>
      <w:numFmt w:val="lowerLetter"/>
      <w:start w:val="1"/>
    </w:lvl>
    <w:lvl w:ilvl="1">
      <w:lvlJc w:val="left"/>
      <w:lvlText w:val="(%2)"/>
      <w:numFmt w:val="lowerLetter"/>
      <w:start w:val="9"/>
    </w:lvl>
  </w:abstractNum>
  <w:abstractNum w:abstractNumId="3">
    <w:nsid w:val="4516DDE9"/>
    <w:multiLevelType w:val="hybridMultilevel"/>
    <w:lvl w:ilvl="0">
      <w:lvlJc w:val="left"/>
      <w:lvlText w:val="(%1)"/>
      <w:numFmt w:val="lowerRoman"/>
      <w:start w:val="2"/>
    </w:lvl>
  </w:abstractNum>
  <w:abstractNum w:abstractNumId="4">
    <w:nsid w:val="3006C83E"/>
    <w:multiLevelType w:val="hybridMultilevel"/>
    <w:lvl w:ilvl="0">
      <w:lvlJc w:val="left"/>
      <w:lvlText w:val="(%1)"/>
      <w:numFmt w:val="lowerRoman"/>
      <w:start w:val="3"/>
    </w:lvl>
  </w:abstractNum>
  <w:abstractNum w:abstractNumId="5">
    <w:nsid w:val="614FD4A1"/>
    <w:multiLevelType w:val="hybridMultilevel"/>
    <w:lvl w:ilvl="0">
      <w:lvlJc w:val="left"/>
      <w:lvlText w:val="(%1)"/>
      <w:numFmt w:val="lowerRoman"/>
      <w:start w:val="5"/>
    </w:lvl>
  </w:abstractNum>
  <w:abstractNum w:abstractNumId="6">
    <w:nsid w:val="419AC241"/>
    <w:multiLevelType w:val="hybridMultilevel"/>
    <w:lvl w:ilvl="0">
      <w:lvlJc w:val="left"/>
      <w:lvlText w:val="(%1)"/>
      <w:numFmt w:val="lowerRoman"/>
      <w:start w:val="8"/>
    </w:lvl>
  </w:abstractNum>
  <w:abstractNum w:abstractNumId="7">
    <w:nsid w:val="5577F8E1"/>
    <w:multiLevelType w:val="hybridMultilevel"/>
    <w:lvl w:ilvl="0">
      <w:lvlJc w:val="left"/>
      <w:lvlText w:val="(%1)"/>
      <w:numFmt w:val="lowerRoman"/>
      <w:start w:val="10"/>
    </w:lvl>
  </w:abstractNum>
  <w:abstractNum w:abstractNumId="8">
    <w:nsid w:val="440BADFC"/>
    <w:multiLevelType w:val="hybridMultilevel"/>
    <w:lvl w:ilvl="0">
      <w:lvlJc w:val="left"/>
      <w:lvlText w:val="(%1)"/>
      <w:numFmt w:val="lowerRoman"/>
      <w:start w:val="14"/>
    </w:lvl>
  </w:abstractNum>
  <w:abstractNum w:abstractNumId="9">
    <w:nsid w:val="5072367"/>
    <w:multiLevelType w:val="hybridMultilevel"/>
    <w:lvl w:ilvl="0">
      <w:lvlJc w:val="left"/>
      <w:lvlText w:val="(%1)"/>
      <w:numFmt w:val="lowerRoman"/>
      <w:start w:val="16"/>
    </w:lvl>
  </w:abstractNum>
  <w:abstractNum w:abstractNumId="10">
    <w:nsid w:val="3804823E"/>
    <w:multiLevelType w:val="hybridMultilevel"/>
    <w:lvl w:ilvl="0">
      <w:lvlJc w:val="left"/>
      <w:lvlText w:val="(%1)"/>
      <w:numFmt w:val="lowerRoman"/>
      <w:start w:val="19"/>
    </w:lvl>
  </w:abstractNum>
  <w:abstractNum w:abstractNumId="11">
    <w:nsid w:val="77465F01"/>
    <w:multiLevelType w:val="hybridMultilevel"/>
    <w:lvl w:ilvl="0">
      <w:lvlJc w:val="left"/>
      <w:lvlText w:val="(%1)"/>
      <w:numFmt w:val="lowerRoman"/>
      <w:start w:val="24"/>
    </w:lvl>
  </w:abstractNum>
  <w:abstractNum w:abstractNumId="12">
    <w:nsid w:val="7724C67E"/>
    <w:multiLevelType w:val="hybridMultilevel"/>
    <w:lvl w:ilvl="0">
      <w:lvlJc w:val="left"/>
      <w:lvlText w:val="(%1)"/>
      <w:numFmt w:val="lowerRoman"/>
      <w:start w:val="26"/>
    </w:lvl>
  </w:abstractNum>
  <w:abstractNum w:abstractNumId="13">
    <w:nsid w:val="5C482A97"/>
    <w:multiLevelType w:val="hybridMultilevel"/>
    <w:lvl w:ilvl="0">
      <w:lvlJc w:val="left"/>
      <w:lvlText w:val="(%1)"/>
      <w:numFmt w:val="lowerRoman"/>
      <w:start w:val="27"/>
    </w:lvl>
  </w:abstractNum>
  <w:abstractNum w:abstractNumId="14">
    <w:nsid w:val="2463B9EA"/>
    <w:multiLevelType w:val="hybridMultilevel"/>
    <w:lvl w:ilvl="0">
      <w:lvlJc w:val="left"/>
      <w:lvlText w:val="(%1)"/>
      <w:numFmt w:val="lowerRoman"/>
      <w:start w:val="29"/>
    </w:lvl>
  </w:abstractNum>
  <w:abstractNum w:abstractNumId="15">
    <w:nsid w:val="5E884ADC"/>
    <w:multiLevelType w:val="hybridMultilevel"/>
    <w:lvl w:ilvl="0">
      <w:lvlJc w:val="left"/>
      <w:lvlText w:val="%1"/>
      <w:numFmt w:val="lowerRoman"/>
      <w:start w:val="1"/>
    </w:lvl>
    <w:lvl w:ilvl="1">
      <w:lvlJc w:val="left"/>
      <w:lvlText w:val="(%2)"/>
      <w:numFmt w:val="lowerRoman"/>
      <w:start w:val="31"/>
    </w:lvl>
  </w:abstractNum>
  <w:abstractNum w:abstractNumId="16">
    <w:nsid w:val="51EAD36B"/>
    <w:multiLevelType w:val="hybridMultilevel"/>
    <w:lvl w:ilvl="0">
      <w:lvlJc w:val="left"/>
      <w:lvlText w:val="(%1)"/>
      <w:numFmt w:val="lowerRoman"/>
      <w:start w:val="1"/>
    </w:lvl>
    <w:lvl w:ilvl="1">
      <w:lvlJc w:val="left"/>
      <w:lvlText w:val="(%2)"/>
      <w:numFmt w:val="lowerRoman"/>
      <w:start w:val="32"/>
    </w:lvl>
  </w:abstractNum>
  <w:abstractNum w:abstractNumId="17">
    <w:nsid w:val="2D517796"/>
    <w:multiLevelType w:val="hybridMultilevel"/>
    <w:lvl w:ilvl="0">
      <w:lvlJc w:val="left"/>
      <w:lvlText w:val="(%1)"/>
      <w:numFmt w:val="lowerRoman"/>
      <w:start w:val="37"/>
    </w:lvl>
  </w:abstractNum>
  <w:abstractNum w:abstractNumId="18">
    <w:nsid w:val="580BD78F"/>
    <w:multiLevelType w:val="hybridMultilevel"/>
    <w:lvl w:ilvl="0">
      <w:lvlJc w:val="left"/>
      <w:lvlText w:val="(%1)"/>
      <w:numFmt w:val="lowerRoman"/>
      <w:start w:val="2"/>
    </w:lvl>
  </w:abstractNum>
  <w:abstractNum w:abstractNumId="19">
    <w:nsid w:val="153EA438"/>
    <w:multiLevelType w:val="hybridMultilevel"/>
    <w:lvl w:ilvl="0">
      <w:lvlJc w:val="left"/>
      <w:lvlText w:val="(%1)"/>
      <w:numFmt w:val="lowerLetter"/>
      <w:start w:val="2"/>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Letter"/>
      <w:start w:val="1"/>
    </w:lvl>
  </w:abstractNum>
  <w:abstractNum w:abstractNumId="22">
    <w:nsid w:val="6A2342EC"/>
    <w:multiLevelType w:val="hybridMultilevel"/>
    <w:lvl w:ilvl="0">
      <w:lvlJc w:val="left"/>
      <w:lvlText w:val="(%1)"/>
      <w:numFmt w:val="lowerLetter"/>
      <w:start w:val="2"/>
    </w:lvl>
  </w:abstractNum>
  <w:abstractNum w:abstractNumId="23">
    <w:nsid w:val="2A487CB0"/>
    <w:multiLevelType w:val="hybridMultilevel"/>
    <w:lvl w:ilvl="0">
      <w:lvlJc w:val="left"/>
      <w:lvlText w:val="%1"/>
      <w:numFmt w:val="upperLetter"/>
      <w:start w:val="1"/>
    </w:lvl>
    <w:lvl w:ilvl="1">
      <w:lvlJc w:val="left"/>
      <w:lvlText w:val="(%2)"/>
      <w:numFmt w:val="lowerLetter"/>
      <w:start w:val="5"/>
    </w:lvl>
  </w:abstractNum>
  <w:abstractNum w:abstractNumId="24">
    <w:nsid w:val="1D4ED43B"/>
    <w:multiLevelType w:val="hybridMultilevel"/>
    <w:lvl w:ilvl="0">
      <w:lvlJc w:val="left"/>
      <w:lvlText w:val="(%1)"/>
      <w:numFmt w:val="upperLetter"/>
      <w:start w:val="6"/>
    </w:lvl>
    <w:lvl w:ilvl="1">
      <w:lvlJc w:val="left"/>
      <w:lvlText w:val="(%2)"/>
      <w:numFmt w:val="lowerLetter"/>
      <w:start w:val="10"/>
    </w:lvl>
  </w:abstractNum>
  <w:abstractNum w:abstractNumId="25">
    <w:nsid w:val="725A06FB"/>
    <w:multiLevelType w:val="hybridMultilevel"/>
    <w:lvl w:ilvl="0">
      <w:lvlJc w:val="left"/>
      <w:lvlText w:val="(%1)"/>
      <w:numFmt w:val="lowerLetter"/>
      <w:start w:val="1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lowerLetter"/>
      <w:start w:val="2"/>
    </w:lvl>
  </w:abstractNum>
  <w:abstractNum w:abstractNumId="29">
    <w:nsid w:val="4B588F54"/>
    <w:multiLevelType w:val="hybridMultilevel"/>
    <w:lvl w:ilvl="0">
      <w:lvlJc w:val="left"/>
      <w:lvlText w:val="(%1)"/>
      <w:numFmt w:val="lowerLetter"/>
      <w:start w:val="7"/>
    </w:lvl>
    <w:lvl w:ilvl="1">
      <w:lvlJc w:val="left"/>
      <w:lvlText w:val="(%2)"/>
      <w:numFmt w:val="lowerRoman"/>
      <w:start w:val="1"/>
    </w:lvl>
  </w:abstractNum>
  <w:abstractNum w:abstractNumId="30">
    <w:nsid w:val="542289EC"/>
    <w:multiLevelType w:val="hybridMultilevel"/>
    <w:lvl w:ilvl="0">
      <w:lvlJc w:val="left"/>
      <w:lvlText w:val="(%1)"/>
      <w:numFmt w:val="lowerLetter"/>
      <w:start w:val="13"/>
    </w:lvl>
  </w:abstractNum>
  <w:abstractNum w:abstractNumId="31">
    <w:nsid w:val="6DE91B18"/>
    <w:multiLevelType w:val="hybridMultilevel"/>
    <w:lvl w:ilvl="0">
      <w:lvlJc w:val="left"/>
      <w:lvlText w:val="(%1)"/>
      <w:numFmt w:val="lowerLetter"/>
      <w:start w:val="1"/>
    </w:lvl>
    <w:lvl w:ilvl="1">
      <w:lvlJc w:val="left"/>
      <w:lvlText w:val="(%2)"/>
      <w:numFmt w:val="lowerRoman"/>
      <w:start w:val="1"/>
    </w:lvl>
  </w:abstractNum>
  <w:abstractNum w:abstractNumId="32">
    <w:nsid w:val="38437FDB"/>
    <w:multiLevelType w:val="hybridMultilevel"/>
    <w:lvl w:ilvl="0">
      <w:lvlJc w:val="left"/>
      <w:lvlText w:val="(%1)"/>
      <w:numFmt w:val="lowerLetter"/>
      <w:start w:val="2"/>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Roman"/>
      <w:start w:val="1"/>
    </w:lvl>
  </w:abstractNum>
  <w:abstractNum w:abstractNumId="35">
    <w:nsid w:val="684A481A"/>
    <w:multiLevelType w:val="hybridMultilevel"/>
    <w:lvl w:ilvl="0">
      <w:lvlJc w:val="left"/>
      <w:lvlText w:val="(%1)"/>
      <w:numFmt w:val="lowerRoman"/>
      <w:start w:val="3"/>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lowerRoman"/>
      <w:start w:val="8"/>
    </w:lvl>
    <w:lvl w:ilvl="1">
      <w:lvlJc w:val="left"/>
      <w:lvlText w:val="(%2)"/>
      <w:numFmt w:val="lowerRoman"/>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5"/>
    </w:lvl>
  </w:abstractNum>
  <w:abstractNum w:abstractNumId="41">
    <w:nsid w:val="75C6C33A"/>
    <w:multiLevelType w:val="hybridMultilevel"/>
    <w:lvl w:ilvl="0">
      <w:lvlJc w:val="left"/>
      <w:lvlText w:val="%1."/>
      <w:numFmt w:val="decimal"/>
      <w:start w:val="2"/>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decimal"/>
      <w:start w:val="5"/>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decimal"/>
      <w:start w:val="6"/>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4"/>
    </w:lvl>
  </w:abstractNum>
  <w:abstractNum w:abstractNumId="48">
    <w:nsid w:val="649BB77C"/>
    <w:multiLevelType w:val="hybridMultilevel"/>
    <w:lvl w:ilvl="0">
      <w:lvlJc w:val="left"/>
      <w:lvlText w:val="%1."/>
      <w:numFmt w:val="decimal"/>
      <w:start w:val="10"/>
    </w:lvl>
  </w:abstractNum>
  <w:abstractNum w:abstractNumId="49">
    <w:nsid w:val="275AC794"/>
    <w:multiLevelType w:val="hybridMultilevel"/>
    <w:lvl w:ilvl="0">
      <w:lvlJc w:val="left"/>
      <w:lvlText w:val="%1."/>
      <w:numFmt w:val="decimal"/>
      <w:start w:val="1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2"/>
    </w:lvl>
  </w:abstractNum>
  <w:abstractNum w:abstractNumId="52">
    <w:nsid w:val="180115BE"/>
    <w:multiLevelType w:val="hybridMultilevel"/>
    <w:lvl w:ilvl="0">
      <w:lvlJc w:val="left"/>
      <w:lvlText w:val="%1."/>
      <w:numFmt w:val="decimal"/>
      <w:start w:val="12"/>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2"/>
    </w:lvl>
  </w:abstractNum>
  <w:abstractNum w:abstractNumId="55">
    <w:nsid w:val="354FE9F9"/>
    <w:multiLevelType w:val="hybridMultilevel"/>
    <w:lvl w:ilvl="0">
      <w:lvlJc w:val="left"/>
      <w:lvlText w:val="(%1)"/>
      <w:numFmt w:val="lowerRoman"/>
      <w:start w:val="2"/>
    </w:lvl>
  </w:abstractNum>
  <w:abstractNum w:abstractNumId="56">
    <w:nsid w:val="15B5AF5C"/>
    <w:multiLevelType w:val="hybridMultilevel"/>
    <w:lvl w:ilvl="0">
      <w:lvlJc w:val="left"/>
      <w:lvlText w:val="(%1)"/>
      <w:numFmt w:val="lowerLetter"/>
      <w:start w:val="3"/>
    </w:lvl>
  </w:abstractNum>
  <w:abstractNum w:abstractNumId="57">
    <w:nsid w:val="741226BB"/>
    <w:multiLevelType w:val="hybridMultilevel"/>
    <w:lvl w:ilvl="0">
      <w:lvlJc w:val="left"/>
      <w:lvlText w:val="(%1)"/>
      <w:numFmt w:val="lowerLetter"/>
      <w:start w:val="8"/>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4"/>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2026-06-10T16:34:31Z</dcterms:created>
  <dcterms:modified xsi:type="dcterms:W3CDTF">2026-06-10T16:34:31Z</dcterms:modified>
</cp:coreProperties>
</file>