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Crystal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TANGO THERAPEUTICS,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BROOKLINE AVE., SUITE 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Tango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TNGX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46,599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279,593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279,593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279,593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represented by restricted stock units (the "RSUs"). Each RSU represents a contingent right to receive one share of Common Stock of the Issuer. The RSUs will vest over a three year period at a rate of 1/3 on February 3, 2025, 1/3 on February 2, 2026 and 1/3 on February 1, 2027, subject to the Reporting Person's continuous service with the Issuer as of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shall vest and become exercisable over a four-year period, at a rate of 25% on January 1, 2025, with the remaining option shares vesting in 36 equal monthly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Research &amp; Development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5445" TargetMode="External"/><Relationship Id="rId4" Type="http://schemas.openxmlformats.org/officeDocument/2006/relationships/hyperlink" Target="http://www.sec.gov/cgi-bin/browse-edgar?action=getcompany&amp;CIK=000181913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685</Words>
  <Characters>3679</Characters>
  <CharactersWithSpaces>4291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