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3"/>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38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gridSpan w:val="6"/>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180" w:type="dxa"/>
            <w:vAlign w:val="bottom"/>
            <w:tcBorders>
              <w:top w:val="single" w:sz="8" w:color="808080"/>
              <w:bottom w:val="single" w:sz="8" w:color="2C2C2C"/>
            </w:tcBorders>
          </w:tcPr>
          <w:p>
            <w:pPr>
              <w:spacing w:after="0" w:line="20" w:lineRule="exact"/>
              <w:rPr>
                <w:sz w:val="1"/>
                <w:szCs w:val="1"/>
                <w:color w:val="auto"/>
              </w:rPr>
            </w:pPr>
          </w:p>
        </w:tc>
        <w:tc>
          <w:tcPr>
            <w:tcW w:w="5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8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4"/>
          </w:tcPr>
          <w:p>
            <w:pPr>
              <w:ind w:left="60"/>
              <w:spacing w:after="0"/>
              <w:rPr>
                <w:sz w:val="20"/>
                <w:szCs w:val="20"/>
                <w:color w:val="auto"/>
              </w:rPr>
            </w:pPr>
            <w:r>
              <w:rPr>
                <w:rFonts w:ascii="Arial" w:cs="Arial" w:eastAsia="Arial" w:hAnsi="Arial"/>
                <w:sz w:val="12"/>
                <w:szCs w:val="12"/>
                <w:color w:val="auto"/>
                <w:w w:val="99"/>
              </w:rPr>
              <w:t>Estimated average burden</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60" w:type="dxa"/>
            <w:vAlign w:val="bottom"/>
            <w:gridSpan w:val="19"/>
            <w:vMerge w:val="restart"/>
          </w:tcPr>
          <w:p>
            <w:pPr>
              <w:jc w:val="center"/>
              <w:ind w:left="50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180" w:type="dxa"/>
            <w:vAlign w:val="bottom"/>
          </w:tcPr>
          <w:p>
            <w:pPr>
              <w:spacing w:after="0"/>
              <w:rPr>
                <w:sz w:val="11"/>
                <w:szCs w:val="11"/>
                <w:color w:val="auto"/>
              </w:rPr>
            </w:pPr>
          </w:p>
        </w:tc>
        <w:tc>
          <w:tcPr>
            <w:tcW w:w="50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560" w:type="dxa"/>
            <w:vAlign w:val="bottom"/>
            <w:gridSpan w:val="19"/>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60" w:type="dxa"/>
            <w:vAlign w:val="bottom"/>
            <w:gridSpan w:val="19"/>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57"/>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3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restart"/>
          </w:tcPr>
          <w:p>
            <w:pPr>
              <w:ind w:left="20"/>
              <w:spacing w:after="0"/>
              <w:rPr>
                <w:rFonts w:ascii="Arial" w:cs="Arial" w:eastAsia="Arial" w:hAnsi="Arial"/>
                <w:sz w:val="21"/>
                <w:szCs w:val="21"/>
                <w:color w:val="0000EE"/>
                <w:w w:val="90"/>
              </w:rPr>
            </w:pPr>
            <w:hyperlink r:id="rId8">
              <w:r>
                <w:rPr>
                  <w:rFonts w:ascii="Arial" w:cs="Arial" w:eastAsia="Arial" w:hAnsi="Arial"/>
                  <w:sz w:val="21"/>
                  <w:szCs w:val="21"/>
                  <w:color w:val="0000EE"/>
                  <w:w w:val="90"/>
                </w:rPr>
                <w:t>Davis Aaron I.</w:t>
              </w:r>
            </w:hyperlink>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10"/>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Tango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TNGX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54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40" w:type="dxa"/>
            <w:vAlign w:val="bottom"/>
            <w:vMerge w:val="restart"/>
          </w:tcPr>
          <w:p>
            <w:pPr>
              <w:ind w:left="18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7"/>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4"/>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8"/>
                <w:szCs w:val="8"/>
                <w:color w:val="auto"/>
              </w:rPr>
            </w:pPr>
          </w:p>
        </w:tc>
        <w:tc>
          <w:tcPr>
            <w:tcW w:w="1500" w:type="dxa"/>
            <w:vAlign w:val="bottom"/>
            <w:gridSpan w:val="7"/>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320" w:type="dxa"/>
            <w:vAlign w:val="bottom"/>
            <w:gridSpan w:val="8"/>
          </w:tcPr>
          <w:p>
            <w:pPr>
              <w:ind w:left="240"/>
              <w:spacing w:after="0"/>
              <w:rPr>
                <w:sz w:val="20"/>
                <w:szCs w:val="20"/>
                <w:color w:val="auto"/>
              </w:rPr>
            </w:pPr>
            <w:r>
              <w:rPr>
                <w:rFonts w:ascii="Arial" w:cs="Arial" w:eastAsia="Arial" w:hAnsi="Arial"/>
                <w:sz w:val="17"/>
                <w:szCs w:val="17"/>
                <w:color w:val="0000FF"/>
              </w:rPr>
              <w:t>06/06/2023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TANGO THERAPEUTICS,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jc w:val="center"/>
              <w:ind w:right="157"/>
              <w:spacing w:after="0"/>
              <w:rPr>
                <w:sz w:val="20"/>
                <w:szCs w:val="20"/>
                <w:color w:val="auto"/>
              </w:rPr>
            </w:pPr>
            <w:r>
              <w:rPr>
                <w:rFonts w:ascii="Arial" w:cs="Arial" w:eastAsia="Arial" w:hAnsi="Arial"/>
                <w:sz w:val="13"/>
                <w:szCs w:val="13"/>
                <w:color w:val="auto"/>
                <w:w w:val="99"/>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201 BROOKLINE AVE., SUITE 901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9"/>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12"/>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BOSTON</w:t>
            </w:r>
          </w:p>
        </w:tc>
        <w:tc>
          <w:tcPr>
            <w:tcW w:w="118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02215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5"/>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7"/>
          </w:tcPr>
          <w:p>
            <w:pPr>
              <w:ind w:left="7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2A. Deemed</w:t>
            </w:r>
          </w:p>
        </w:tc>
        <w:tc>
          <w:tcPr>
            <w:tcW w:w="2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00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6"/>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7"/>
          </w:tcPr>
          <w:p>
            <w:pPr>
              <w:ind w:left="70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7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6"/>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177"/>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6"/>
          </w:tcPr>
          <w:p>
            <w:pPr>
              <w:ind w:left="780"/>
              <w:spacing w:after="0"/>
              <w:rPr>
                <w:sz w:val="20"/>
                <w:szCs w:val="20"/>
                <w:color w:val="auto"/>
              </w:rPr>
            </w:pPr>
            <w:r>
              <w:rPr>
                <w:rFonts w:ascii="Arial" w:cs="Arial" w:eastAsia="Arial" w:hAnsi="Arial"/>
                <w:sz w:val="17"/>
                <w:szCs w:val="17"/>
                <w:color w:val="0000FF"/>
                <w:w w:val="86"/>
              </w:rPr>
              <w:t>06/06/2023</w:t>
            </w: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87"/>
              </w:rPr>
              <w:t>5,000</w:t>
            </w:r>
            <w:r>
              <w:rPr>
                <w:rFonts w:ascii="Arial" w:cs="Arial" w:eastAsia="Arial" w:hAnsi="Arial"/>
                <w:sz w:val="21"/>
                <w:szCs w:val="21"/>
                <w:color w:val="008000"/>
                <w:w w:val="87"/>
                <w:vertAlign w:val="superscript"/>
              </w:rPr>
              <w:t>(1)</w:t>
            </w:r>
          </w:p>
        </w:tc>
        <w:tc>
          <w:tcPr>
            <w:tcW w:w="58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293"/>
              <w:spacing w:after="0"/>
              <w:rPr>
                <w:sz w:val="20"/>
                <w:szCs w:val="20"/>
                <w:color w:val="auto"/>
              </w:rPr>
            </w:pPr>
            <w:r>
              <w:rPr>
                <w:rFonts w:ascii="Arial" w:cs="Arial" w:eastAsia="Arial" w:hAnsi="Arial"/>
                <w:sz w:val="17"/>
                <w:szCs w:val="17"/>
                <w:color w:val="0000FF"/>
                <w:w w:val="89"/>
              </w:rPr>
              <w:t>5,000</w:t>
            </w: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4"/>
            <w:vMerge w:val="restart"/>
          </w:tcPr>
          <w:p>
            <w:pPr>
              <w:jc w:val="center"/>
              <w:ind w:right="15"/>
              <w:spacing w:after="0"/>
              <w:rPr>
                <w:sz w:val="20"/>
                <w:szCs w:val="20"/>
                <w:color w:val="auto"/>
              </w:rPr>
            </w:pPr>
            <w:r>
              <w:rPr>
                <w:rFonts w:ascii="Arial" w:cs="Arial" w:eastAsia="Arial" w:hAnsi="Arial"/>
                <w:sz w:val="17"/>
                <w:szCs w:val="17"/>
                <w:color w:val="0000FF"/>
                <w:w w:val="89"/>
              </w:rPr>
              <w:t>7,123,642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4"/>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4"/>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268,524</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4"/>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4"/>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4"/>
            <w:vMerge w:val="restart"/>
          </w:tcPr>
          <w:p>
            <w:pPr>
              <w:jc w:val="center"/>
              <w:ind w:right="15"/>
              <w:spacing w:after="0"/>
              <w:rPr>
                <w:sz w:val="20"/>
                <w:szCs w:val="20"/>
                <w:color w:val="auto"/>
              </w:rPr>
            </w:pPr>
            <w:r>
              <w:rPr>
                <w:rFonts w:ascii="Arial" w:cs="Arial" w:eastAsia="Arial" w:hAnsi="Arial"/>
                <w:sz w:val="17"/>
                <w:szCs w:val="17"/>
                <w:color w:val="0000FF"/>
                <w:w w:val="89"/>
              </w:rPr>
              <w:t>6,988,450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6"/>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40" w:type="dxa"/>
            <w:vAlign w:val="bottom"/>
            <w:gridSpan w:val="21"/>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60" w:type="dxa"/>
            <w:vAlign w:val="bottom"/>
            <w:gridSpan w:val="1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gridSpan w:val="6"/>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3.55</w:t>
            </w:r>
          </w:p>
        </w:tc>
        <w:tc>
          <w:tcPr>
            <w:tcW w:w="140" w:type="dxa"/>
            <w:vAlign w:val="bottom"/>
          </w:tcPr>
          <w:p>
            <w:pPr>
              <w:spacing w:after="0"/>
              <w:rPr>
                <w:sz w:val="17"/>
                <w:szCs w:val="17"/>
                <w:color w:val="auto"/>
              </w:rPr>
            </w:pPr>
          </w:p>
        </w:tc>
        <w:tc>
          <w:tcPr>
            <w:tcW w:w="1040" w:type="dxa"/>
            <w:vAlign w:val="bottom"/>
          </w:tcPr>
          <w:p>
            <w:pPr>
              <w:jc w:val="right"/>
              <w:ind w:right="111"/>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26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0000FF"/>
              </w:rPr>
              <w:t>30,000</w:t>
            </w:r>
          </w:p>
        </w:tc>
        <w:tc>
          <w:tcPr>
            <w:tcW w:w="28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10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0000FF"/>
              </w:rPr>
              <w:t>06/06/2023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30,000</w:t>
            </w:r>
          </w:p>
        </w:tc>
        <w:tc>
          <w:tcPr>
            <w:tcW w:w="1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60" w:type="dxa"/>
            <w:vAlign w:val="bottom"/>
            <w:gridSpan w:val="4"/>
          </w:tcPr>
          <w:p>
            <w:pPr>
              <w:ind w:left="220"/>
              <w:spacing w:after="0"/>
              <w:rPr>
                <w:sz w:val="20"/>
                <w:szCs w:val="20"/>
                <w:color w:val="auto"/>
              </w:rPr>
            </w:pPr>
            <w:r>
              <w:rPr>
                <w:rFonts w:ascii="Arial" w:cs="Arial" w:eastAsia="Arial" w:hAnsi="Arial"/>
                <w:sz w:val="13"/>
                <w:szCs w:val="13"/>
                <w:color w:val="0000FF"/>
              </w:rPr>
              <w:t>30,000</w:t>
            </w: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157"/>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-6929755</wp:posOffset>
            </wp:positionV>
            <wp:extent cx="7045960" cy="7083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70834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80" w:firstLine="4"/>
        <w:spacing w:after="0" w:line="295"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represented by restricted stock units (the "RSUs"). Each RSU represents a contingent right to receive one share of Common Stock of the Issuer. The RSUs will vest in its entirety on the earlier of: (i) June 6, 2024 and (ii) the date of the next annual meeting of stockholders, subject to the Reporting Person's continuous service with the Issuer as of each such vesting date.</w:t>
      </w:r>
    </w:p>
    <w:p>
      <w:pPr>
        <w:ind w:left="40" w:right="300" w:firstLine="4"/>
        <w:spacing w:after="0" w:line="272"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directly by Boxer Capital, LLC ("Boxer Capital"), which may be deemed to be a member of a "group" for purposes of Section 13(d) of the Securities Exchange Act of 1934, as amended, consisting of (i) Boxer Capital (ii) Boxer Asset Management Inc. , (iii) Joseph C. Lewis, (iv) BCTG Holdings, LLC, (v) MVA Investors, LLC ("MVA Investors"), and (vi) Aaron I. Davis (collectively, the "Boxer Group"). The Reporting Person disclaims beneficial ownership of these securities to the extent he does not have a pecuniary interest therein.</w:t>
      </w:r>
    </w:p>
    <w:p>
      <w:pPr>
        <w:spacing w:after="0" w:line="14" w:lineRule="exact"/>
        <w:rPr>
          <w:rFonts w:ascii="Arial" w:cs="Arial" w:eastAsia="Arial" w:hAnsi="Arial"/>
          <w:sz w:val="12"/>
          <w:szCs w:val="12"/>
          <w:color w:val="008000"/>
        </w:rPr>
      </w:pPr>
    </w:p>
    <w:p>
      <w:pPr>
        <w:ind w:left="40" w:right="2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MVA Investors, which may be deemed to be a member of the Boxer Group. The Reporting Person disclaims beneficial ownership of these securities to the extent he does not have a pecuniary interest therein.</w:t>
      </w:r>
    </w:p>
    <w:p>
      <w:pPr>
        <w:spacing w:after="0" w:line="23" w:lineRule="exact"/>
        <w:rPr>
          <w:rFonts w:ascii="Arial" w:cs="Arial" w:eastAsia="Arial" w:hAnsi="Arial"/>
          <w:sz w:val="13"/>
          <w:szCs w:val="13"/>
          <w:color w:val="008000"/>
        </w:rPr>
      </w:pPr>
    </w:p>
    <w:p>
      <w:pPr>
        <w:ind w:left="40" w:right="42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BCTG Holdings, LLC, which may be deemed to be a member of the Boxer Group. The Reporting Person disclaims beneficial ownership of these securities to the extent he does not have a pecuniary interest therein.</w:t>
      </w:r>
    </w:p>
    <w:p>
      <w:pPr>
        <w:spacing w:after="0" w:line="23" w:lineRule="exact"/>
        <w:rPr>
          <w:rFonts w:ascii="Arial" w:cs="Arial" w:eastAsia="Arial" w:hAnsi="Arial"/>
          <w:sz w:val="13"/>
          <w:szCs w:val="13"/>
          <w:color w:val="008000"/>
        </w:rPr>
      </w:pPr>
    </w:p>
    <w:p>
      <w:pPr>
        <w:ind w:left="40" w:right="2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shall vest and become exercisable in 12 substantially equal monthly installments over a period of one year beginning on July 6, 2023, subject to the Reporting Person's continuous service with the Issuer as of each such vesting date.</w:t>
      </w:r>
    </w:p>
    <w:p>
      <w:pPr>
        <w:sectPr>
          <w:pgSz w:w="11900" w:h="16838" w:orient="portrait"/>
          <w:cols w:equalWidth="0" w:num="1">
            <w:col w:w="11080"/>
          </w:cols>
          <w:pgMar w:left="460" w:top="223" w:right="359" w:bottom="407" w:gutter="0" w:footer="0" w:header="0"/>
        </w:sectPr>
      </w:pP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Douglas Barry,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3810</wp:posOffset>
            </wp:positionV>
            <wp:extent cx="1313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281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8130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108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06/08/2023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1" w:lineRule="exact"/>
        <w:rPr>
          <w:sz w:val="20"/>
          <w:szCs w:val="20"/>
          <w:color w:val="auto"/>
        </w:rPr>
      </w:pPr>
    </w:p>
    <w:p>
      <w:pPr>
        <w:sectPr>
          <w:pgSz w:w="11900" w:h="16838" w:orient="portrait"/>
          <w:cols w:equalWidth="0" w:num="2">
            <w:col w:w="8660" w:space="120"/>
            <w:col w:w="2300"/>
          </w:cols>
          <w:pgMar w:left="460" w:top="223" w:right="359" w:bottom="407"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4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465914" TargetMode="External"/><Relationship Id="rId9"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2023-06-08T20:40:24Z</dcterms:created>
  <dcterms:modified xsi:type="dcterms:W3CDTF">2023-06-08T20:40:24Z</dcterms:modified>
</cp:coreProperties>
</file>