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21, 2022</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Statement No. 333-259448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POST-EFFECTIVE AMENDMENT NO. 2</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TO</w:t>
      </w: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S-1</w:t>
      </w: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ON</w:t>
      </w: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S-3</w:t>
      </w:r>
    </w:p>
    <w:p>
      <w:pPr>
        <w:jc w:val="center"/>
        <w:ind w:right="-119"/>
        <w:spacing w:after="0" w:line="237" w:lineRule="auto"/>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TANGO THERAPEUTICS, INC.</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85-1195036</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(I.R.S. Employer Identification Number)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201 Brookline Avenue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Suite 901</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Boston, MA 02215</w:t>
      </w:r>
    </w:p>
    <w:p>
      <w:pPr>
        <w:jc w:val="center"/>
        <w:ind w:right="-119"/>
        <w:spacing w:after="0" w:line="226" w:lineRule="auto"/>
        <w:rPr>
          <w:sz w:val="20"/>
          <w:szCs w:val="20"/>
          <w:color w:val="auto"/>
        </w:rPr>
      </w:pPr>
      <w:r>
        <w:rPr>
          <w:rFonts w:ascii="Times New Roman" w:cs="Times New Roman" w:eastAsia="Times New Roman" w:hAnsi="Times New Roman"/>
          <w:sz w:val="14"/>
          <w:szCs w:val="14"/>
          <w:b w:val="1"/>
          <w:bCs w:val="1"/>
          <w:color w:val="auto"/>
        </w:rPr>
        <w:t>(857) 320-4900</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Barbara Weber, M.D.</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Tango Therapeutics,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201 Brookline Avenue</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Suite 901</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Boston, MA 02215</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(857) 320-4900</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tbl>
      <w:tblPr>
        <w:tblLayout w:type="fixed"/>
        <w:tblInd w:w="200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46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56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Mitchell S. Bloom, Esq.</w:t>
            </w:r>
          </w:p>
        </w:tc>
        <w:tc>
          <w:tcPr>
            <w:tcW w:w="4660" w:type="dxa"/>
            <w:vAlign w:val="bottom"/>
          </w:tcPr>
          <w:p>
            <w:pPr>
              <w:jc w:val="center"/>
              <w:ind w:left="3068"/>
              <w:spacing w:after="0"/>
              <w:rPr>
                <w:sz w:val="20"/>
                <w:szCs w:val="20"/>
                <w:color w:val="auto"/>
              </w:rPr>
            </w:pPr>
            <w:r>
              <w:rPr>
                <w:rFonts w:ascii="Times New Roman" w:cs="Times New Roman" w:eastAsia="Times New Roman" w:hAnsi="Times New Roman"/>
                <w:sz w:val="14"/>
                <w:szCs w:val="14"/>
                <w:b w:val="1"/>
                <w:bCs w:val="1"/>
                <w:color w:val="auto"/>
              </w:rPr>
              <w:t>Douglas Barry, Esq.</w:t>
            </w:r>
          </w:p>
        </w:tc>
      </w:tr>
      <w:tr>
        <w:trPr>
          <w:trHeight w:val="148"/>
        </w:trPr>
        <w:tc>
          <w:tcPr>
            <w:tcW w:w="2560" w:type="dxa"/>
            <w:vAlign w:val="bottom"/>
          </w:tcPr>
          <w:p>
            <w:pPr>
              <w:jc w:val="center"/>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William D. Collins, Esq.</w:t>
            </w:r>
          </w:p>
        </w:tc>
        <w:tc>
          <w:tcPr>
            <w:tcW w:w="4660" w:type="dxa"/>
            <w:vAlign w:val="bottom"/>
          </w:tcPr>
          <w:p>
            <w:pPr>
              <w:jc w:val="center"/>
              <w:ind w:left="306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2560" w:type="dxa"/>
            <w:vAlign w:val="bottom"/>
          </w:tcPr>
          <w:p>
            <w:pPr>
              <w:jc w:val="center"/>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Goodwin Procter LLP</w:t>
            </w:r>
          </w:p>
        </w:tc>
        <w:tc>
          <w:tcPr>
            <w:tcW w:w="4660" w:type="dxa"/>
            <w:vAlign w:val="bottom"/>
          </w:tcPr>
          <w:p>
            <w:pPr>
              <w:jc w:val="center"/>
              <w:ind w:left="3068"/>
              <w:spacing w:after="0" w:line="149" w:lineRule="exact"/>
              <w:rPr>
                <w:sz w:val="20"/>
                <w:szCs w:val="20"/>
                <w:color w:val="auto"/>
              </w:rPr>
            </w:pPr>
            <w:r>
              <w:rPr>
                <w:rFonts w:ascii="Times New Roman" w:cs="Times New Roman" w:eastAsia="Times New Roman" w:hAnsi="Times New Roman"/>
                <w:sz w:val="14"/>
                <w:szCs w:val="14"/>
                <w:b w:val="1"/>
                <w:bCs w:val="1"/>
                <w:color w:val="auto"/>
              </w:rPr>
              <w:t>Tango Therapeutics, Inc.</w:t>
            </w:r>
          </w:p>
        </w:tc>
      </w:tr>
      <w:tr>
        <w:trPr>
          <w:trHeight w:val="148"/>
        </w:trPr>
        <w:tc>
          <w:tcPr>
            <w:tcW w:w="2560" w:type="dxa"/>
            <w:vAlign w:val="bottom"/>
          </w:tcPr>
          <w:p>
            <w:pPr>
              <w:jc w:val="center"/>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100 Northern Avenue</w:t>
            </w:r>
          </w:p>
        </w:tc>
        <w:tc>
          <w:tcPr>
            <w:tcW w:w="4660" w:type="dxa"/>
            <w:vAlign w:val="bottom"/>
          </w:tcPr>
          <w:p>
            <w:pPr>
              <w:jc w:val="center"/>
              <w:ind w:left="3068"/>
              <w:spacing w:after="0" w:line="149" w:lineRule="exact"/>
              <w:rPr>
                <w:sz w:val="20"/>
                <w:szCs w:val="20"/>
                <w:color w:val="auto"/>
              </w:rPr>
            </w:pPr>
            <w:r>
              <w:rPr>
                <w:rFonts w:ascii="Times New Roman" w:cs="Times New Roman" w:eastAsia="Times New Roman" w:hAnsi="Times New Roman"/>
                <w:sz w:val="14"/>
                <w:szCs w:val="14"/>
                <w:b w:val="1"/>
                <w:bCs w:val="1"/>
                <w:color w:val="auto"/>
              </w:rPr>
              <w:t>201 Brookline Avenue</w:t>
            </w:r>
          </w:p>
        </w:tc>
      </w:tr>
      <w:tr>
        <w:trPr>
          <w:trHeight w:val="148"/>
        </w:trPr>
        <w:tc>
          <w:tcPr>
            <w:tcW w:w="2560" w:type="dxa"/>
            <w:vAlign w:val="bottom"/>
          </w:tcPr>
          <w:p>
            <w:pPr>
              <w:jc w:val="center"/>
              <w:ind w:right="708"/>
              <w:spacing w:after="0" w:line="149" w:lineRule="exact"/>
              <w:rPr>
                <w:sz w:val="20"/>
                <w:szCs w:val="20"/>
                <w:color w:val="auto"/>
              </w:rPr>
            </w:pPr>
            <w:r>
              <w:rPr>
                <w:rFonts w:ascii="Times New Roman" w:cs="Times New Roman" w:eastAsia="Times New Roman" w:hAnsi="Times New Roman"/>
                <w:sz w:val="14"/>
                <w:szCs w:val="14"/>
                <w:b w:val="1"/>
                <w:bCs w:val="1"/>
                <w:color w:val="auto"/>
              </w:rPr>
              <w:t>Boston, Massachusetts 02210</w:t>
            </w:r>
          </w:p>
        </w:tc>
        <w:tc>
          <w:tcPr>
            <w:tcW w:w="4660" w:type="dxa"/>
            <w:vAlign w:val="bottom"/>
          </w:tcPr>
          <w:p>
            <w:pPr>
              <w:jc w:val="center"/>
              <w:ind w:left="3068"/>
              <w:spacing w:after="0" w:line="149" w:lineRule="exact"/>
              <w:rPr>
                <w:sz w:val="20"/>
                <w:szCs w:val="20"/>
                <w:color w:val="auto"/>
              </w:rPr>
            </w:pPr>
            <w:r>
              <w:rPr>
                <w:rFonts w:ascii="Times New Roman" w:cs="Times New Roman" w:eastAsia="Times New Roman" w:hAnsi="Times New Roman"/>
                <w:sz w:val="14"/>
                <w:szCs w:val="14"/>
                <w:b w:val="1"/>
                <w:bCs w:val="1"/>
                <w:color w:val="auto"/>
              </w:rPr>
              <w:t>Suite 901</w:t>
            </w:r>
          </w:p>
        </w:tc>
      </w:tr>
      <w:tr>
        <w:trPr>
          <w:trHeight w:val="149"/>
        </w:trPr>
        <w:tc>
          <w:tcPr>
            <w:tcW w:w="2560" w:type="dxa"/>
            <w:vAlign w:val="bottom"/>
          </w:tcPr>
          <w:p>
            <w:pPr>
              <w:jc w:val="center"/>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Tel: (617) 570-1000</w:t>
            </w:r>
          </w:p>
        </w:tc>
        <w:tc>
          <w:tcPr>
            <w:tcW w:w="4660" w:type="dxa"/>
            <w:vAlign w:val="bottom"/>
          </w:tcPr>
          <w:p>
            <w:pPr>
              <w:jc w:val="center"/>
              <w:ind w:left="3068"/>
              <w:spacing w:after="0" w:line="149" w:lineRule="exact"/>
              <w:rPr>
                <w:sz w:val="20"/>
                <w:szCs w:val="20"/>
                <w:color w:val="auto"/>
              </w:rPr>
            </w:pPr>
            <w:r>
              <w:rPr>
                <w:rFonts w:ascii="Times New Roman" w:cs="Times New Roman" w:eastAsia="Times New Roman" w:hAnsi="Times New Roman"/>
                <w:sz w:val="14"/>
                <w:szCs w:val="14"/>
                <w:b w:val="1"/>
                <w:bCs w:val="1"/>
                <w:color w:val="auto"/>
              </w:rPr>
              <w:t>Boston, MA 02215</w:t>
            </w:r>
          </w:p>
        </w:tc>
      </w:tr>
      <w:tr>
        <w:trPr>
          <w:trHeight w:val="190"/>
        </w:trPr>
        <w:tc>
          <w:tcPr>
            <w:tcW w:w="2560" w:type="dxa"/>
            <w:vAlign w:val="bottom"/>
          </w:tcPr>
          <w:p>
            <w:pPr>
              <w:spacing w:after="0"/>
              <w:rPr>
                <w:sz w:val="16"/>
                <w:szCs w:val="16"/>
                <w:color w:val="auto"/>
              </w:rPr>
            </w:pPr>
          </w:p>
        </w:tc>
        <w:tc>
          <w:tcPr>
            <w:tcW w:w="4660" w:type="dxa"/>
            <w:vAlign w:val="bottom"/>
          </w:tcPr>
          <w:p>
            <w:pPr>
              <w:jc w:val="center"/>
              <w:ind w:left="3048"/>
              <w:spacing w:after="0"/>
              <w:rPr>
                <w:sz w:val="20"/>
                <w:szCs w:val="20"/>
                <w:color w:val="auto"/>
              </w:rPr>
            </w:pPr>
            <w:r>
              <w:rPr>
                <w:rFonts w:ascii="Times New Roman" w:cs="Times New Roman" w:eastAsia="Times New Roman" w:hAnsi="Times New Roman"/>
                <w:sz w:val="14"/>
                <w:szCs w:val="14"/>
                <w:b w:val="1"/>
                <w:bCs w:val="1"/>
                <w:color w:val="auto"/>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34"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left="120" w:right="30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2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Instructions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8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2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ind w:left="120" w:right="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ind w:left="120" w:right="28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September 10, 2021, the registrant filed a Registration Statement on Form S-1 (Registration No. 333-259448) which was declared effective by the Securities and Exchange Commission, or the SEC, on September 29, 2021, or the Registration Statement.</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This Post-Effective Amendment No. 2 to Form S-1 on Form S-3, or the Post-Effective Amendment No. 2, is being filed by the registrant to convert the Registration Statement on Form S-1 into a Registration Statement on Form S-3.</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No. 2. All applicable registration fees were paid at the time of the original filing of the Registration Statement.</w:t>
      </w:r>
    </w:p>
    <w:p>
      <w:pPr>
        <w:sectPr>
          <w:pgSz w:w="11900" w:h="16838" w:orient="portrait"/>
          <w:cols w:equalWidth="0" w:num="1">
            <w:col w:w="10980"/>
          </w:cols>
          <w:pgMar w:left="320" w:top="455"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21,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173990</wp:posOffset>
            </wp:positionV>
            <wp:extent cx="2682875"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287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68,034,602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49,424,602 shares of our common stock that were issued to certain former shareholders of Tango Therapeutics Sub, Inc. at the closing of the Business Combination.</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registering the securities described above for resale pursuant to certain registration rights we have granted. Our registration of the securities covered by this prospectus does not mean that the Selling Securityholders will offer or sell any of the securities. The Selling Securityholders and any of their permitted transferees may offer, sell or distribute all or a portion of the securities covered by this prospectus in a number of different ways and at varying prices. Additional information on the Selling Securityholders, and the times and manner in which they may offer and sell the securities covered by this prospectus, is provided under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“TNGX”. On September 20, 2022, the closing price of our common stock was $3.49 per share.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under the federal securities laws and, as such, are subject to certain reduced public company reporting requirements.</w:t>
      </w:r>
    </w:p>
    <w:p>
      <w:pPr>
        <w:spacing w:after="0" w:line="146" w:lineRule="exact"/>
        <w:rPr>
          <w:sz w:val="20"/>
          <w:szCs w:val="20"/>
          <w:color w:val="auto"/>
        </w:rPr>
      </w:pPr>
    </w:p>
    <w:p>
      <w:pPr>
        <w:ind w:left="120" w:right="440"/>
        <w:spacing w:after="0" w:line="264"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that are described in the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section beginning on page 8 of this prospectus.</w:t>
      </w:r>
    </w:p>
    <w:p>
      <w:pPr>
        <w:spacing w:after="0" w:line="15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55" w:lineRule="exact"/>
        <w:rPr>
          <w:sz w:val="20"/>
          <w:szCs w:val="20"/>
          <w:color w:val="auto"/>
        </w:rPr>
      </w:pPr>
    </w:p>
    <w:tbl>
      <w:tblPr>
        <w:tblLayout w:type="fixed"/>
        <w:tblInd w:w="378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INTRODUCTORY NOTE AND FREQUENTLY USED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660" w:type="dxa"/>
            <w:vAlign w:val="bottom"/>
            <w:gridSpan w:val="15"/>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594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w:t>
            </w:r>
          </w:p>
        </w:tc>
        <w:tc>
          <w:tcPr>
            <w:tcW w:w="920" w:type="dxa"/>
            <w:vAlign w:val="bottom"/>
            <w:tcBorders>
              <w:top w:val="single" w:sz="8" w:color="0000EE"/>
            </w:tcBorders>
            <w:gridSpan w:val="4"/>
          </w:tcPr>
          <w:p>
            <w:pPr>
              <w:spacing w:after="0"/>
              <w:rPr>
                <w:sz w:val="17"/>
                <w:szCs w:val="17"/>
                <w:color w:val="auto"/>
              </w:rPr>
            </w:pPr>
          </w:p>
        </w:tc>
        <w:tc>
          <w:tcPr>
            <w:tcW w:w="84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38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360" w:type="dxa"/>
            <w:vAlign w:val="bottom"/>
            <w:tcBorders>
              <w:top w:val="single" w:sz="8" w:color="0000EE"/>
            </w:tcBorders>
          </w:tcPr>
          <w:p>
            <w:pPr>
              <w:spacing w:after="0"/>
              <w:rPr>
                <w:sz w:val="17"/>
                <w:szCs w:val="17"/>
                <w:color w:val="auto"/>
              </w:rPr>
            </w:pPr>
          </w:p>
        </w:tc>
        <w:tc>
          <w:tcPr>
            <w:tcW w:w="78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800" w:type="dxa"/>
            <w:vAlign w:val="bottom"/>
            <w:gridSpan w:val="11"/>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4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INTRODUCTORY NOTE AND FREQUENTLY USED TERMS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August 10, 2021, or the Closing Date, BCTG Acquisition Corp., a Delaware corporation and our predecessor, or BCTG, consummated a business combination, or the Business Combination, pursuant to the terms of the Agreement and Plan of Merger, dated as of April 13, 2021, or the Merger Agreement, by and among BCTG, BCTG Merger Sub Inc., a Delaware corporation, or BCTG Merger Sub, and Tango Therapeutics, Inc. (now known as Tango Therapeutics Sub, Inc.), a Delaware corporation, or Old Tango. Prior to consummation of the Business Combination, Old Tango changed its name from “Tango Therapeutics, Inc.” to “Tango Therapeutics Sub, Inc.” and in connection with the Business Combination, BCTG changed its name to “Tango Therapeutics, Inc.” (the former name of Old Tango).</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“we,” “us,” “our,” and the “Company” refer to Tango Therapeutics, Inc., and its consolidated subsidiaries (including Old Tango).</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in this prospectus, unless otherwise stated or the context otherwise requires:</w:t>
      </w:r>
    </w:p>
    <w:p>
      <w:pPr>
        <w:spacing w:after="0" w:line="131" w:lineRule="exact"/>
        <w:rPr>
          <w:sz w:val="20"/>
          <w:szCs w:val="20"/>
          <w:color w:val="auto"/>
        </w:rPr>
      </w:pPr>
    </w:p>
    <w:p>
      <w:pPr>
        <w:ind w:left="1080" w:right="7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Shares” means the outstanding shares of BCTG’s Common Stock held by the Sponsor, its directors and affiliates of its management team since June 2020 and includes the Private Shares.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and “Merger Consideration Shares” means the 55,000,000 shares of Common Stock issued as part of the consideration for the Business Combination.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means the private placement consummated simultaneously with BCTG’s initial public offering in which BCTG issued to the Sponsor the Private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Shares” means the shares of Common Stock of BCTG issued in the Private Placement to the Sponsor.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BCTG Holdings, LLC, a Delaware limited liability company.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“Tango” or “New Tango” means Tango Therapeutics, Inc., a Delaware corporation, (f/k/a BCTG Acquisition Corp.) following the closing of the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the “shelf” registration process. Under this shelf registration process, the Selling Securityholders and their permitted transferees may, from time to time, sell the shares of common stock offered by them described in this prospectus. We will not receive any proceeds from the sale by the Selling Securityholders of the shares of common stock offered by them described in this prospectus.</w:t>
      </w:r>
    </w:p>
    <w:p>
      <w:pPr>
        <w:spacing w:after="0" w:line="180"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Selling Securityholders and their permitted transferees may use the shelf registration statement to sell such shares of common stock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shares of common stock that the Selling Securityholders and their permitted transferees offer and sell may be provided in a prospectus supplement that describes, among other things, the specific amounts and prices of the shares of common stock being offered and the terms of the offering.</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and any applicable prospectus supplement.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is an offer to sell only the shares of common stock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and any information we have incorporated by reference is accurate only as of the date of the document incorporated by reference, regardless of the time of delivery of this prospectus or any applicable prospectus supplement, or any sale of a security. Our business, financial condition, results of operations and prospects may have changed since those dates.</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this prospectus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entities’ trade names, trademarks or service marks to imply a relationship with, or endorsement or sponsorship of us by, any other entities.</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lead program, TNG908, a protein arginine methyl transferase 5, or PRMT5, inhibitor is synthetic lethal with MTAP deletion, and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and granted Fast Track designation to TNG908. Additionally, in the third quarter of 2022, the FDA granted Orphan Drug Designation to TNG908 for the treatment of malignant peripheral nerve sheath tumors (MPNST). We are actively enrolling, and have begun dosing, patients in the TNG908 Phase 1/2 clinical trial, which will evaluate safety and efficacy in multiple indications, with specific cohorts for non-small cell lung cancer, MPNST,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Phase 1/2 clinical trial as TNG462 does not cross the blood-brain barrier in preclinical non-human primate models.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development candidate, TNG260, an inhibitor of an undisclosed synthetic lethal target (Target 3), reverses the immune evasion effect of serine-threonine kinase 11 (STK11) loss-of-function mutations. In syngeneic models with an STK11 mutation and an intact immune system, the combination of TNG260 with an anti-PD1 antibody resulted in sustained complete tumor regressions and the induction of immune memory against re-implantation of tumors. We expect to file an IND for TNG260 in the first half 2023.</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also developing a ubiquitin-specific protease 1, or USP1, inhibitor that is synthetic lethal with BRCA1 and BRCA2-mutant tumors. In vitro and in vivo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of 1933, as amended, or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 and a smaller reporting company:</w:t>
      </w:r>
    </w:p>
    <w:p>
      <w:pPr>
        <w:spacing w:after="0" w:line="94" w:lineRule="exact"/>
        <w:rPr>
          <w:sz w:val="20"/>
          <w:szCs w:val="20"/>
          <w:color w:val="auto"/>
        </w:rPr>
      </w:pPr>
    </w:p>
    <w:p>
      <w:pPr>
        <w:ind w:left="1080" w:right="3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$100.0 million during the most recently completed fiscal year. We may continue to be a smaller reporting company if either (i) the market value of our stock held by non-affiliates is less than $250 million or (ii) our annual revenue was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Capital Stock.”</w:t>
      </w:r>
    </w:p>
    <w:p>
      <w:pPr>
        <w:sectPr>
          <w:pgSz w:w="11900" w:h="16838" w:orient="portrait"/>
          <w:cols w:equalWidth="0" w:num="1">
            <w:col w:w="11100"/>
          </w:cols>
          <w:pgMar w:left="320" w:top="455" w:right="479" w:bottom="1440" w:gutter="0" w:footer="0" w:header="0"/>
        </w:sectPr>
      </w:pPr>
    </w:p>
    <w:p>
      <w:pPr>
        <w:spacing w:after="0" w:line="19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Shares of Common Stock that may be offered and sold from time to time by the Selling Securityholders named herein</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outstanding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for our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 to 68,034,602 shares of Common Stock consisting of (i) 18,610,000 shares of Common Stock issued in a private placement consummated concurrently with the Merger and (ii) 49,424,602 shares of Common Stock issued to certain former shareholders of Tango Therapeutics Sub, Inc. at the closing of the Business Combination.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88,067,254 shares of Common Stock as of September 14, 2022.</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“TNGX.”</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investment in the Common Stock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1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2">
            <w:col w:w="3600" w:space="380"/>
            <w:col w:w="7120"/>
          </w:cols>
          <w:pgMar w:left="320" w:top="455" w:right="4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includes forward-looking statements within the meaning of Section 27A of the Securities Act of 1933, as amended, or the Securities Act, and Section 21E of the Securities Exchange Act of 1934, as amended, or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080" w:right="4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and develop product candidates efficiently (including the advancement of development candidates on the timelines identified);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product candidates and collaborations.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320" w:top="455" w:right="7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The following summary of certain provisions of Tango’s securities does not purport to be complete and is subject to the Second Amended and Restated Certificate of Incorporation, or the Certificate of Incorporation or Charter, the Amened and Restate Bylaws, or the Bylaws, and the provisions of applicable law. Copies of the Certificate of Incorporation and the Bylaws are attached to this prospectus as Exhibits 3.1 and 3.2,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Charter authorizes the issuance of 210,000,000 shares, consisting of 200,000,000 shares of Common Stock, $0.001 par value per share, and 10,000,000 shares of preferred stock, $0.001 par value, all of which shares of preferred stock will be undesignated. As of September 14, 2022, there were 88,067,254 shares of Common Stock outstanding and no shares of preferred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Tango’s directors and all other matters requiring stockholder action. Holders of Common Stock are entitled to one vote per share on matters to be voted on by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Tango’s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the event of Tango’s voluntary or involuntary liquidation, dissolution, distribution of assets or 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has no preemptive rights, conversion rights or other subscription rights or redemption or sinking fund provisions.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Certain of our stockholders, or Holders, hold registration rights pursuant to the Amended and Restated Registration and Stockholder Rights Agreement. Stockholders holding a majority-in-interest of such registrable securities are entitled to make a written demand for registration under the Securities Act of all or part of their registrable securities.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Amended and Restated Registration and Stockholder Rights Agreement provides for the following registration rights:</w:t>
      </w:r>
    </w:p>
    <w:p>
      <w:pPr>
        <w:spacing w:after="0" w:line="129" w:lineRule="exact"/>
        <w:rPr>
          <w:sz w:val="20"/>
          <w:szCs w:val="20"/>
          <w:color w:val="auto"/>
        </w:rPr>
      </w:pPr>
    </w:p>
    <w:p>
      <w:pPr>
        <w:ind w:left="1080" w:right="240" w:hanging="424"/>
        <w:spacing w:after="0" w:line="257"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registration/demand registration rights</w:t>
      </w:r>
      <w:r>
        <w:rPr>
          <w:rFonts w:ascii="Times New Roman" w:cs="Times New Roman" w:eastAsia="Times New Roman" w:hAnsi="Times New Roman"/>
          <w:sz w:val="18"/>
          <w:szCs w:val="18"/>
          <w:color w:val="auto"/>
        </w:rPr>
        <w:t>. At any time and from time to time when an effective shelf registration statement is on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a Holder may request to sell all or any portion of such Holder’s Registrable Securities by means of an underwritten takedown off of the shelf registration statement, except that Tango is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Tango is not required to effect more than one underwritten shelf takedown in any six-month period.</w:t>
      </w:r>
    </w:p>
    <w:p>
      <w:pPr>
        <w:spacing w:after="0" w:line="8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Subject to exceptions for certain offerings and registration statements, if at any time, Tango proposes to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registration statement under the Securities Act, in connection with an offering of its equity securities or securities or other obligations exercisable or exchangeable for, or convertible into, its equity securities, either for its own account or for the account of stockholders of Tango, the Holders are entitled to include their Registrable Securities in such registration statement.</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Holders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and Restated Registration and Stockholder Rights Agreement will be borne by Tango,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Tango is obligated to indemnify holders of Registrable Securities in the event of material misstatements or omissions in the registration statement attributable to Tango, and holders of Registrable Securities are obligated to indemnify Tango for material misstatements or omissions attributable to them.</w:t>
      </w:r>
    </w:p>
    <w:p>
      <w:pPr>
        <w:spacing w:after="0" w:line="185"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Securities of Tango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5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Registration and Stockholder Rights Agreement does not purport to be complete and is qualified in its entirety by the full text of the Amended and Restated Registration and Stockholder Rights Agreement, a copy of which is attached hereto as Exhibit 10.3 and is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Proposed Charter and Amended By-laws</w:t>
      </w:r>
    </w:p>
    <w:p>
      <w:pPr>
        <w:spacing w:after="0" w:line="121"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Our Charter and Amended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Among other provisions, the Charter and Amended By-laws include the following:</w:t>
      </w:r>
    </w:p>
    <w:p>
      <w:pPr>
        <w:spacing w:after="0" w:line="63" w:lineRule="exact"/>
        <w:rPr>
          <w:sz w:val="20"/>
          <w:szCs w:val="20"/>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Tango’s board of directors to issue up to 10,000,000 shares of preferred stock, with any rights, preferences and privileges as they may designate, including the right to approve an acquisition or other change of control;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Tango’s board of directors;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 2/3% of all of our then-outstanding shares of the capital stock entitled to vote generally at an election of directors;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Tango’s stockholders may be called by Tango’s board of directors pursuant to a resolution adopted by a majority of the total number of authorized directors;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Tango’s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of our Charter must first be approved by a majority of Tango’s board of directors, and if 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Charter must be approved by not less than two-thirds of the outstanding shares entitled to vote on the amendment, and not less than two-thirds of the outstanding shares of each class entitled to vote thereon as a class. The Amended By-laws may be amended by the affirmative vote of a majority of the directors then in office, subject to any limitations set forth in the bylaws; and may also be amended by the affirmative vote of a majority of the outstanding shares entitled to vote on the amendment.</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Tango’s board of directors as well as for another party to obtain control of Tango’s by replacing Tango’s board of directors. Because Tango’s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Tango’s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Tango’s board of directors and its policies and to discourage coercive takeover practices and inadequate takeover bids. These provisions are also designed to reduce Tango’s vulnerability to hostile takeovers and to discourage certain tactics that may be used in proxy fights. However, such provisions could have the effect of discouraging others from making tender offers for Tango’s shares and may have the effect of delaying changes in our control or management. As a consequence, these provisions may also inhibit fluctuations in the market price of our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Tango has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Charter limits the liability of the directors of Tango to the fullest extent permitted by the DGCL, and the Amended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Tango or any of its subsidiaries or was serving at Tango’s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ten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Bylaws require, to the fullest extent permitted by law, unless Tango consents in writing to the selection of an alternative forum, that derivative actions brought in the name of Tango,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Tango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Tango by providing increased consistency in the application of Delaware law in the types of lawsuits to which it applies, the provision may have the effect of discouraging lawsuits against our directors and officers.</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the Bylaws require that, unless Tango consents in writing to the selection of an alternative forum, the United States District Court for the District of Massachusetts shall be the sole and exclusive forum for resolving any action asserting a claim arising under the Securities Act. Tango has chosen the United States District Court for the District of Massachusetts as the exclusive forum for such Securities Act causes of action because Tango’s principal executive offices are located in Boston, Massachusetts.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 of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“TNGX”.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Trust Company, N.A.</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from time to time of up to an aggregate of 68,034,602 shares of common stock, consisting of up to an aggregate of 18,610,000 shares of our common stock that were issued to the PIPE Investors in the PIPE Financing and up 49,424,602 shares of common stock issued to certain former shareholders of Tango Therapeutics Sub, Inc. at the closing of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88,067,254 shares of common stock outstanding as of September 14, 2022.</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76"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0"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Unless otherwise noted, the business address of each of those listed in the table below is 201 Brookline Ave, Suite 901, Boston, 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02215.</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2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24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0"/>
                <w:szCs w:val="10"/>
                <w:color w:val="auto"/>
              </w:rPr>
            </w:pPr>
          </w:p>
        </w:tc>
        <w:tc>
          <w:tcPr>
            <w:tcW w:w="150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50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266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15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3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50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Alan Huang</w:t>
            </w:r>
            <w:r>
              <w:rPr>
                <w:rFonts w:ascii="Times New Roman" w:cs="Times New Roman" w:eastAsia="Times New Roman" w:hAnsi="Times New Roman"/>
                <w:sz w:val="23"/>
                <w:szCs w:val="23"/>
                <w:color w:val="auto"/>
                <w:vertAlign w:val="superscript"/>
              </w:rPr>
              <w:t>(1)</w:t>
            </w:r>
          </w:p>
        </w:tc>
        <w:tc>
          <w:tcPr>
            <w:tcW w:w="1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135,887</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135,887</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Alyeska Master Fund, L.P.</w:t>
            </w:r>
            <w:r>
              <w:rPr>
                <w:rFonts w:ascii="Times New Roman" w:cs="Times New Roman" w:eastAsia="Times New Roman" w:hAnsi="Times New Roman"/>
                <w:sz w:val="25"/>
                <w:szCs w:val="25"/>
                <w:color w:val="auto"/>
                <w:vertAlign w:val="superscript"/>
              </w:rPr>
              <w:t>(2)</w:t>
            </w:r>
          </w:p>
        </w:tc>
        <w:tc>
          <w:tcPr>
            <w:tcW w:w="2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635,471</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200,000</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435,471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Avoro Life Sciences Fund LC</w:t>
            </w:r>
            <w:r>
              <w:rPr>
                <w:rFonts w:ascii="Times New Roman" w:cs="Times New Roman" w:eastAsia="Times New Roman" w:hAnsi="Times New Roman"/>
                <w:sz w:val="25"/>
                <w:szCs w:val="25"/>
                <w:color w:val="auto"/>
                <w:vertAlign w:val="superscript"/>
              </w:rPr>
              <w:t>(3)</w:t>
            </w:r>
          </w:p>
        </w:tc>
        <w:tc>
          <w:tcPr>
            <w:tcW w:w="2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1,550,000</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750,000</w:t>
            </w:r>
          </w:p>
        </w:tc>
        <w:tc>
          <w:tcPr>
            <w:tcW w:w="1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Bain Capital Life Sciences</w:t>
            </w:r>
            <w:r>
              <w:rPr>
                <w:rFonts w:ascii="Times New Roman" w:cs="Times New Roman" w:eastAsia="Times New Roman" w:hAnsi="Times New Roman"/>
                <w:sz w:val="25"/>
                <w:szCs w:val="25"/>
                <w:color w:val="auto"/>
                <w:vertAlign w:val="superscript"/>
              </w:rPr>
              <w:t>(4)</w:t>
            </w:r>
          </w:p>
        </w:tc>
        <w:tc>
          <w:tcPr>
            <w:tcW w:w="2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1,921,790</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1,000,000</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921,790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Baker Bros. Advisors LP</w:t>
            </w:r>
            <w:r>
              <w:rPr>
                <w:rFonts w:ascii="Times New Roman" w:cs="Times New Roman" w:eastAsia="Times New Roman" w:hAnsi="Times New Roman"/>
                <w:sz w:val="25"/>
                <w:szCs w:val="25"/>
                <w:color w:val="auto"/>
                <w:vertAlign w:val="superscript"/>
              </w:rPr>
              <w:t>(5)</w:t>
            </w:r>
          </w:p>
        </w:tc>
        <w:tc>
          <w:tcPr>
            <w:tcW w:w="2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750,000</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750,000</w:t>
            </w:r>
          </w:p>
        </w:tc>
        <w:tc>
          <w:tcPr>
            <w:tcW w:w="15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Barbara Weber</w:t>
            </w:r>
            <w:r>
              <w:rPr>
                <w:rFonts w:ascii="Times New Roman" w:cs="Times New Roman" w:eastAsia="Times New Roman" w:hAnsi="Times New Roman"/>
                <w:sz w:val="25"/>
                <w:szCs w:val="25"/>
                <w:color w:val="auto"/>
                <w:vertAlign w:val="superscript"/>
              </w:rPr>
              <w:t>(6)</w:t>
            </w:r>
          </w:p>
        </w:tc>
        <w:tc>
          <w:tcPr>
            <w:tcW w:w="2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1,367,592</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1,367,592</w:t>
            </w: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BCTG Holdings, LLC</w:t>
            </w:r>
            <w:r>
              <w:rPr>
                <w:rFonts w:ascii="Times New Roman" w:cs="Times New Roman" w:eastAsia="Times New Roman" w:hAnsi="Times New Roman"/>
                <w:sz w:val="25"/>
                <w:szCs w:val="25"/>
                <w:color w:val="auto"/>
                <w:vertAlign w:val="superscript"/>
              </w:rPr>
              <w:t>(7)</w:t>
            </w:r>
          </w:p>
        </w:tc>
        <w:tc>
          <w:tcPr>
            <w:tcW w:w="2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6,988,450</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6,988,450</w:t>
            </w:r>
          </w:p>
        </w:tc>
        <w:tc>
          <w:tcPr>
            <w:tcW w:w="15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Benjamin Cravatt</w:t>
            </w:r>
            <w:r>
              <w:rPr>
                <w:rFonts w:ascii="Times New Roman" w:cs="Times New Roman" w:eastAsia="Times New Roman" w:hAnsi="Times New Roman"/>
                <w:sz w:val="25"/>
                <w:szCs w:val="25"/>
                <w:color w:val="auto"/>
                <w:vertAlign w:val="superscript"/>
              </w:rPr>
              <w:t>(8)</w:t>
            </w:r>
          </w:p>
        </w:tc>
        <w:tc>
          <w:tcPr>
            <w:tcW w:w="2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17,400</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17,400</w:t>
            </w: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(9)</w:t>
            </w:r>
          </w:p>
        </w:tc>
        <w:tc>
          <w:tcPr>
            <w:tcW w:w="2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500,000</w:t>
            </w:r>
          </w:p>
        </w:tc>
        <w:tc>
          <w:tcPr>
            <w:tcW w:w="15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Blackwell Partners LLC—Series A</w:t>
            </w:r>
            <w:r>
              <w:rPr>
                <w:rFonts w:ascii="Times New Roman" w:cs="Times New Roman" w:eastAsia="Times New Roman" w:hAnsi="Times New Roman"/>
                <w:sz w:val="26"/>
                <w:szCs w:val="26"/>
                <w:color w:val="auto"/>
                <w:vertAlign w:val="superscript"/>
              </w:rPr>
              <w:t>(29)</w:t>
            </w:r>
          </w:p>
        </w:tc>
        <w:tc>
          <w:tcPr>
            <w:tcW w:w="2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14,547</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14,547</w:t>
            </w:r>
          </w:p>
        </w:tc>
        <w:tc>
          <w:tcPr>
            <w:tcW w:w="15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74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24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117"/>
        </w:trPr>
        <w:tc>
          <w:tcPr>
            <w:tcW w:w="19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0"/>
                <w:szCs w:val="10"/>
                <w:color w:val="auto"/>
              </w:rPr>
            </w:pPr>
          </w:p>
        </w:tc>
        <w:tc>
          <w:tcPr>
            <w:tcW w:w="14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2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3960" w:type="dxa"/>
            <w:vAlign w:val="bottom"/>
            <w:vMerge w:val="restart"/>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14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4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Offered</w:t>
            </w:r>
          </w:p>
        </w:tc>
        <w:tc>
          <w:tcPr>
            <w:tcW w:w="14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3"/>
        </w:trPr>
        <w:tc>
          <w:tcPr>
            <w:tcW w:w="5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Boxer Capital</w:t>
            </w:r>
            <w:r>
              <w:rPr>
                <w:rFonts w:ascii="Times New Roman" w:cs="Times New Roman" w:eastAsia="Times New Roman" w:hAnsi="Times New Roman"/>
                <w:sz w:val="23"/>
                <w:szCs w:val="23"/>
                <w:color w:val="auto"/>
                <w:vertAlign w:val="superscript"/>
              </w:rPr>
              <w:t>(10)</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6,973,166</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6,973,166</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Casdin Partners Master Fund, L.P.</w:t>
            </w:r>
            <w:r>
              <w:rPr>
                <w:rFonts w:ascii="Times New Roman" w:cs="Times New Roman" w:eastAsia="Times New Roman" w:hAnsi="Times New Roman"/>
                <w:sz w:val="25"/>
                <w:szCs w:val="25"/>
                <w:color w:val="auto"/>
                <w:vertAlign w:val="superscript"/>
              </w:rPr>
              <w:t>(11)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3,987,910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3,987,910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Charles M. Baum</w:t>
            </w:r>
            <w:r>
              <w:rPr>
                <w:rFonts w:ascii="Times New Roman" w:cs="Times New Roman" w:eastAsia="Times New Roman" w:hAnsi="Times New Roman"/>
                <w:sz w:val="25"/>
                <w:szCs w:val="25"/>
                <w:color w:val="auto"/>
                <w:vertAlign w:val="superscript"/>
              </w:rPr>
              <w:t>(12)</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Citadel CEMF Investments Ltd.</w:t>
            </w:r>
            <w:r>
              <w:rPr>
                <w:rFonts w:ascii="Times New Roman" w:cs="Times New Roman" w:eastAsia="Times New Roman" w:hAnsi="Times New Roman"/>
                <w:sz w:val="25"/>
                <w:szCs w:val="25"/>
                <w:color w:val="auto"/>
                <w:vertAlign w:val="superscript"/>
              </w:rPr>
              <w:t>(13)</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Cormorant</w:t>
            </w:r>
            <w:r>
              <w:rPr>
                <w:rFonts w:ascii="Times New Roman" w:cs="Times New Roman" w:eastAsia="Times New Roman" w:hAnsi="Times New Roman"/>
                <w:sz w:val="25"/>
                <w:szCs w:val="25"/>
                <w:color w:val="auto"/>
                <w:vertAlign w:val="superscript"/>
              </w:rPr>
              <w:t>(14)</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4,099,184</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4,099,184</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Daniella Beckman</w:t>
            </w:r>
            <w:r>
              <w:rPr>
                <w:rFonts w:ascii="Times New Roman" w:cs="Times New Roman" w:eastAsia="Times New Roman" w:hAnsi="Times New Roman"/>
                <w:sz w:val="25"/>
                <w:szCs w:val="25"/>
                <w:color w:val="auto"/>
                <w:vertAlign w:val="superscript"/>
              </w:rPr>
              <w:t>(15)</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63,867</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63,867</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 Capital, LLC</w:t>
            </w:r>
            <w:r>
              <w:rPr>
                <w:rFonts w:ascii="Times New Roman" w:cs="Times New Roman" w:eastAsia="Times New Roman" w:hAnsi="Times New Roman"/>
                <w:sz w:val="25"/>
                <w:szCs w:val="25"/>
                <w:color w:val="auto"/>
                <w:vertAlign w:val="superscript"/>
              </w:rPr>
              <w:t>(16)</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Farallon Partners, L.L.C</w:t>
            </w:r>
            <w:r>
              <w:rPr>
                <w:rFonts w:ascii="Times New Roman" w:cs="Times New Roman" w:eastAsia="Times New Roman" w:hAnsi="Times New Roman"/>
                <w:sz w:val="25"/>
                <w:szCs w:val="25"/>
                <w:color w:val="auto"/>
                <w:vertAlign w:val="superscript"/>
              </w:rPr>
              <w:t>(17)</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300,000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FMR LLC</w:t>
            </w:r>
            <w:r>
              <w:rPr>
                <w:rFonts w:ascii="Times New Roman" w:cs="Times New Roman" w:eastAsia="Times New Roman" w:hAnsi="Times New Roman"/>
                <w:sz w:val="25"/>
                <w:szCs w:val="25"/>
                <w:color w:val="auto"/>
                <w:vertAlign w:val="superscript"/>
              </w:rPr>
              <w:t>(18)</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4,000,000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4,000,000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Fifth Avenue Private Equity 15 LLC</w:t>
            </w:r>
            <w:r>
              <w:rPr>
                <w:rFonts w:ascii="Times New Roman" w:cs="Times New Roman" w:eastAsia="Times New Roman" w:hAnsi="Times New Roman"/>
                <w:sz w:val="25"/>
                <w:szCs w:val="25"/>
                <w:color w:val="auto"/>
                <w:vertAlign w:val="superscript"/>
              </w:rPr>
              <w:t>(19)</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708,384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708,384</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Foresite Capital Fund V, L.P.</w:t>
            </w:r>
            <w:r>
              <w:rPr>
                <w:rFonts w:ascii="Times New Roman" w:cs="Times New Roman" w:eastAsia="Times New Roman" w:hAnsi="Times New Roman"/>
                <w:sz w:val="25"/>
                <w:szCs w:val="25"/>
                <w:color w:val="auto"/>
                <w:vertAlign w:val="superscript"/>
              </w:rPr>
              <w:t>(20)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500,000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Harvard Management Private Equity Corporation</w:t>
            </w:r>
            <w:r>
              <w:rPr>
                <w:rFonts w:ascii="Times New Roman" w:cs="Times New Roman" w:eastAsia="Times New Roman" w:hAnsi="Times New Roman"/>
                <w:sz w:val="25"/>
                <w:szCs w:val="25"/>
                <w:color w:val="auto"/>
                <w:vertAlign w:val="superscript"/>
              </w:rPr>
              <w:t>(21)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708,385</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708,385</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Hillhouse Capital Management, Ltd.</w:t>
            </w:r>
            <w:r>
              <w:rPr>
                <w:rFonts w:ascii="Times New Roman" w:cs="Times New Roman" w:eastAsia="Times New Roman" w:hAnsi="Times New Roman"/>
                <w:sz w:val="25"/>
                <w:szCs w:val="25"/>
                <w:color w:val="auto"/>
                <w:vertAlign w:val="superscript"/>
              </w:rPr>
              <w:t>(22)</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4,373,982</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4,373,982</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Gilead Sciences, Inc.</w:t>
            </w:r>
            <w:r>
              <w:rPr>
                <w:rFonts w:ascii="Times New Roman" w:cs="Times New Roman" w:eastAsia="Times New Roman" w:hAnsi="Times New Roman"/>
                <w:sz w:val="25"/>
                <w:szCs w:val="25"/>
                <w:color w:val="auto"/>
                <w:vertAlign w:val="superscript"/>
              </w:rPr>
              <w:t>(23)</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4,854,443</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4,854,443</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Jamie G. Christensen</w:t>
            </w:r>
            <w:r>
              <w:rPr>
                <w:rFonts w:ascii="Times New Roman" w:cs="Times New Roman" w:eastAsia="Times New Roman" w:hAnsi="Times New Roman"/>
                <w:sz w:val="25"/>
                <w:szCs w:val="25"/>
                <w:color w:val="auto"/>
                <w:vertAlign w:val="superscript"/>
              </w:rPr>
              <w:t>(24)</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Janus Henderson Biotech Innovation Master Fund Limited</w:t>
            </w:r>
            <w:r>
              <w:rPr>
                <w:rFonts w:ascii="Times New Roman" w:cs="Times New Roman" w:eastAsia="Times New Roman" w:hAnsi="Times New Roman"/>
                <w:sz w:val="25"/>
                <w:szCs w:val="25"/>
                <w:color w:val="auto"/>
                <w:vertAlign w:val="superscript"/>
              </w:rPr>
              <w:t>(25)</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600,000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Jeffrey H. Hager</w:t>
            </w:r>
            <w:r>
              <w:rPr>
                <w:rFonts w:ascii="Times New Roman" w:cs="Times New Roman" w:eastAsia="Times New Roman" w:hAnsi="Times New Roman"/>
                <w:sz w:val="25"/>
                <w:szCs w:val="25"/>
                <w:color w:val="auto"/>
                <w:vertAlign w:val="superscript"/>
              </w:rPr>
              <w:t>(26)</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27,400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27,400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Logos Global Master Fund, LP</w:t>
            </w:r>
            <w:r>
              <w:rPr>
                <w:rFonts w:ascii="Times New Roman" w:cs="Times New Roman" w:eastAsia="Times New Roman" w:hAnsi="Times New Roman"/>
                <w:sz w:val="25"/>
                <w:szCs w:val="25"/>
                <w:color w:val="auto"/>
                <w:vertAlign w:val="superscript"/>
              </w:rPr>
              <w:t>(27)</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Mike Varney Advisors</w:t>
            </w:r>
            <w:r>
              <w:rPr>
                <w:rFonts w:ascii="Times New Roman" w:cs="Times New Roman" w:eastAsia="Times New Roman" w:hAnsi="Times New Roman"/>
                <w:sz w:val="25"/>
                <w:szCs w:val="25"/>
                <w:color w:val="auto"/>
                <w:vertAlign w:val="superscript"/>
              </w:rPr>
              <w:t>(28)</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Nantahala Capital Partners II Limited</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8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Partnership</w:t>
            </w:r>
            <w:r>
              <w:rPr>
                <w:rFonts w:ascii="Times New Roman" w:cs="Times New Roman" w:eastAsia="Times New Roman" w:hAnsi="Times New Roman"/>
                <w:sz w:val="26"/>
                <w:szCs w:val="26"/>
                <w:color w:val="auto"/>
                <w:vertAlign w:val="superscript"/>
              </w:rPr>
              <w:t>(29)</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16,677</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16,677</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Nantahala Capital Partners Limited Partnership</w:t>
            </w:r>
            <w:r>
              <w:rPr>
                <w:rFonts w:ascii="Times New Roman" w:cs="Times New Roman" w:eastAsia="Times New Roman" w:hAnsi="Times New Roman"/>
                <w:sz w:val="25"/>
                <w:szCs w:val="25"/>
                <w:color w:val="auto"/>
                <w:vertAlign w:val="superscript"/>
              </w:rPr>
              <w:t>(29)</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6,162</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6,162</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Nantahala Capital Partners SI, LP</w:t>
            </w:r>
            <w:r>
              <w:rPr>
                <w:rFonts w:ascii="Times New Roman" w:cs="Times New Roman" w:eastAsia="Times New Roman" w:hAnsi="Times New Roman"/>
                <w:sz w:val="25"/>
                <w:szCs w:val="25"/>
                <w:color w:val="auto"/>
                <w:vertAlign w:val="superscript"/>
              </w:rPr>
              <w:t>(29)</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35,686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35,686</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NCP QR LP</w:t>
            </w:r>
            <w:r>
              <w:rPr>
                <w:rFonts w:ascii="Times New Roman" w:cs="Times New Roman" w:eastAsia="Times New Roman" w:hAnsi="Times New Roman"/>
                <w:sz w:val="25"/>
                <w:szCs w:val="25"/>
                <w:color w:val="auto"/>
                <w:vertAlign w:val="superscript"/>
              </w:rPr>
              <w:t>(29)</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7,346</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7,346</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NCP RFM LP</w:t>
            </w:r>
            <w:r>
              <w:rPr>
                <w:rFonts w:ascii="Times New Roman" w:cs="Times New Roman" w:eastAsia="Times New Roman" w:hAnsi="Times New Roman"/>
                <w:sz w:val="25"/>
                <w:szCs w:val="25"/>
                <w:color w:val="auto"/>
                <w:vertAlign w:val="superscript"/>
              </w:rPr>
              <w:t>(29)</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18,376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18,376</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NexTx Insights, LLC</w:t>
            </w:r>
            <w:r>
              <w:rPr>
                <w:rFonts w:ascii="Times New Roman" w:cs="Times New Roman" w:eastAsia="Times New Roman" w:hAnsi="Times New Roman"/>
                <w:sz w:val="25"/>
                <w:szCs w:val="25"/>
                <w:color w:val="auto"/>
                <w:vertAlign w:val="superscript"/>
              </w:rPr>
              <w:t>(30)</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The Pellini Family Trust</w:t>
            </w:r>
            <w:r>
              <w:rPr>
                <w:rFonts w:ascii="Times New Roman" w:cs="Times New Roman" w:eastAsia="Times New Roman" w:hAnsi="Times New Roman"/>
                <w:sz w:val="25"/>
                <w:szCs w:val="25"/>
                <w:color w:val="auto"/>
                <w:vertAlign w:val="superscript"/>
              </w:rPr>
              <w:t>(31)</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172,872</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172,872</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Peter Olson</w:t>
            </w:r>
            <w:r>
              <w:rPr>
                <w:rFonts w:ascii="Times New Roman" w:cs="Times New Roman" w:eastAsia="Times New Roman" w:hAnsi="Times New Roman"/>
                <w:sz w:val="25"/>
                <w:szCs w:val="25"/>
                <w:color w:val="auto"/>
                <w:vertAlign w:val="superscript"/>
              </w:rPr>
              <w:t>(32)</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PH Investments, LLC</w:t>
            </w:r>
            <w:r>
              <w:rPr>
                <w:rFonts w:ascii="Times New Roman" w:cs="Times New Roman" w:eastAsia="Times New Roman" w:hAnsi="Times New Roman"/>
                <w:sz w:val="25"/>
                <w:szCs w:val="25"/>
                <w:color w:val="auto"/>
                <w:vertAlign w:val="superscript"/>
              </w:rPr>
              <w:t>(33)</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442,739</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442,739</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Portland Investment</w:t>
            </w:r>
            <w:r>
              <w:rPr>
                <w:rFonts w:ascii="Times New Roman" w:cs="Times New Roman" w:eastAsia="Times New Roman" w:hAnsi="Times New Roman"/>
                <w:sz w:val="25"/>
                <w:szCs w:val="25"/>
                <w:color w:val="auto"/>
                <w:vertAlign w:val="superscript"/>
              </w:rPr>
              <w:t>(34)</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354,192</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354,192</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Healthcare Fund, L.P.</w:t>
            </w:r>
            <w:r>
              <w:rPr>
                <w:rFonts w:ascii="Times New Roman" w:cs="Times New Roman" w:eastAsia="Times New Roman" w:hAnsi="Times New Roman"/>
                <w:sz w:val="25"/>
                <w:szCs w:val="25"/>
                <w:color w:val="auto"/>
                <w:vertAlign w:val="superscript"/>
              </w:rPr>
              <w:t>(35)</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2,250,000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1,000,000</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1,250,000</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Heyman</w:t>
            </w:r>
            <w:r>
              <w:rPr>
                <w:rFonts w:ascii="Times New Roman" w:cs="Times New Roman" w:eastAsia="Times New Roman" w:hAnsi="Times New Roman"/>
                <w:sz w:val="25"/>
                <w:szCs w:val="25"/>
                <w:color w:val="auto"/>
                <w:vertAlign w:val="superscript"/>
              </w:rPr>
              <w:t>(36)</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Samsara BioCapital, L.P.</w:t>
            </w:r>
            <w:r>
              <w:rPr>
                <w:rFonts w:ascii="Times New Roman" w:cs="Times New Roman" w:eastAsia="Times New Roman" w:hAnsi="Times New Roman"/>
                <w:sz w:val="25"/>
                <w:szCs w:val="25"/>
                <w:color w:val="auto"/>
                <w:vertAlign w:val="superscript"/>
              </w:rPr>
              <w:t>(37)</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700,000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SCubed Capital, LLC</w:t>
            </w:r>
            <w:r>
              <w:rPr>
                <w:rFonts w:ascii="Times New Roman" w:cs="Times New Roman" w:eastAsia="Times New Roman" w:hAnsi="Times New Roman"/>
                <w:sz w:val="25"/>
                <w:szCs w:val="25"/>
                <w:color w:val="auto"/>
                <w:vertAlign w:val="superscript"/>
              </w:rPr>
              <w:t>(38)</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531,288</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531,288</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Sheila Gujrathi</w:t>
            </w:r>
            <w:r>
              <w:rPr>
                <w:rFonts w:ascii="Times New Roman" w:cs="Times New Roman" w:eastAsia="Times New Roman" w:hAnsi="Times New Roman"/>
                <w:sz w:val="25"/>
                <w:szCs w:val="25"/>
                <w:color w:val="auto"/>
                <w:vertAlign w:val="superscript"/>
              </w:rPr>
              <w:t>(39)</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47,400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47,400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Silver Creek CS SAV, L.L.C. </w:t>
            </w:r>
            <w:r>
              <w:rPr>
                <w:rFonts w:ascii="Times New Roman" w:cs="Times New Roman" w:eastAsia="Times New Roman" w:hAnsi="Times New Roman"/>
                <w:sz w:val="25"/>
                <w:szCs w:val="25"/>
                <w:color w:val="auto"/>
                <w:vertAlign w:val="superscript"/>
              </w:rPr>
              <w:t>(29)</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1,206</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1,206</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Sobrato Capital</w:t>
            </w:r>
            <w:r>
              <w:rPr>
                <w:rFonts w:ascii="Times New Roman" w:cs="Times New Roman" w:eastAsia="Times New Roman" w:hAnsi="Times New Roman"/>
                <w:sz w:val="25"/>
                <w:szCs w:val="25"/>
                <w:color w:val="auto"/>
                <w:vertAlign w:val="superscript"/>
              </w:rPr>
              <w:t>(40)</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354,486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354,486</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Southpoint Master Fund, LP</w:t>
            </w:r>
            <w:r>
              <w:rPr>
                <w:rFonts w:ascii="Times New Roman" w:cs="Times New Roman" w:eastAsia="Times New Roman" w:hAnsi="Times New Roman"/>
                <w:sz w:val="25"/>
                <w:szCs w:val="25"/>
                <w:color w:val="auto"/>
                <w:vertAlign w:val="superscript"/>
              </w:rPr>
              <w:t>(41)</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3,000,000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1,000,000</w:t>
            </w:r>
          </w:p>
        </w:tc>
        <w:tc>
          <w:tcPr>
            <w:tcW w:w="1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2,000,000</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Third Rock Ventures IV, L.P.</w:t>
            </w:r>
            <w:r>
              <w:rPr>
                <w:rFonts w:ascii="Times New Roman" w:cs="Times New Roman" w:eastAsia="Times New Roman" w:hAnsi="Times New Roman"/>
                <w:sz w:val="25"/>
                <w:szCs w:val="25"/>
                <w:color w:val="auto"/>
                <w:vertAlign w:val="superscript"/>
              </w:rPr>
              <w:t>(42)</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19,363,975</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19,363,975</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Troy Wilson</w:t>
            </w:r>
            <w:r>
              <w:rPr>
                <w:rFonts w:ascii="Times New Roman" w:cs="Times New Roman" w:eastAsia="Times New Roman" w:hAnsi="Times New Roman"/>
                <w:sz w:val="25"/>
                <w:szCs w:val="25"/>
                <w:color w:val="auto"/>
                <w:vertAlign w:val="superscript"/>
              </w:rPr>
              <w:t>(43)</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17,400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17,400</w:t>
            </w:r>
          </w:p>
        </w:tc>
        <w:tc>
          <w:tcPr>
            <w:tcW w:w="1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Woodline Partners LP</w:t>
            </w:r>
            <w:r>
              <w:rPr>
                <w:rFonts w:ascii="Times New Roman" w:cs="Times New Roman" w:eastAsia="Times New Roman" w:hAnsi="Times New Roman"/>
                <w:sz w:val="26"/>
                <w:szCs w:val="26"/>
                <w:color w:val="auto"/>
                <w:vertAlign w:val="superscript"/>
              </w:rPr>
              <w:t>(44)</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540" w:right="4300" w:hanging="5424"/>
        <w:spacing w:after="0" w:line="433" w:lineRule="auto"/>
        <w:tabs>
          <w:tab w:leader="none" w:pos="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135,887 shares of common stock. Dr. Huang is our Chief Scientific Officer. 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80" w:hanging="424"/>
        <w:spacing w:after="0" w:line="254"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 the investment manager of Alyeska Master Fund, L.P. (“Alyeska”), has voting and investment control of the shares of common stock held by Alyeska. Anand Parekh is the Chief 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Behzad Aghazadeh serves as the portfolio manager and Managing Partner of Avoro Life Sciences Fund LLC. The address of Avoro Life Sciences Fund LLC and Behzad Aghazadeh is 110 Greene Street, Suite 800 NY, NY 10012.</w:t>
      </w:r>
    </w:p>
    <w:p>
      <w:pPr>
        <w:ind w:left="540" w:right="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“Number of Shares of Common Stock Beneficially Owned” before the offering, consist of (i) the following shares of Common Stock purchased in the PIPE Financing: (a) 1,713,138 shares of common stock and 208,652 shares of common stock purchased by Bain Capital Life Sciences Fund II, L.P., or BCLS II, and BCIP Life Sciences Associates, LP, respectively, or BCIPLS, and together with BCLS II, the Bain Capital Life Science Entities. The shares reported under “Number of Shares of Common Stock Being Offered” consist of 891,428 shares held by BCLS II and 108,572 shares held by BCIPLS. Bain Capital Life Science Investors, LLC, or BCLSI, whose managers are Jeffrey Schwartz and Adam Koppel, is the manager of the general partner of BCLS II and governs the investment strategy and decision-making process with respect to investments held by BCIPLS. As a result, each of BCLSI, Mr. Schwartz and Dr. Koppel may be deemed to share voting and dispositive power with respect to the shares of common stock held by the Bain Capital Life Sciences Entities. The address of the Bain Capital Life Sciences Entities is c/o Bain Capital Life Sciences, LP, 200 Clarendon Street, Boston, MA 02116.</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55,202 shares of common stock held directly by 667, L.P. , or 667, and (ii) 694,798 shares of common stock held directly by Baker Brothers Life Sciences, L.P., or Life Sciences, and together with 667, the BBA Funds. Baker Bros. Advisors LP, or BBA, is the investment adviser to the BBA Funds and has the sole voting and investment power with respect to the securities held by the BBA Funds and thus may be deemed to beneficially own such securities. Baker Bros. Advisors (GP) LLC, or BBA GP, is the sole general partner of BBA and thus may be deemed to beneficially own the securities held by the BBA Funds. The principals of BBA GP are Julian C. Baker and Felix J. Baker, who may be deemed to beneficially own the securities held by the BBA Funds. The business address of BBA, BBA GP, Julian C. Baker and Felix J. Baker is 860 Washington Street, 3rd Floor, New York, NY 10014. The BBA Funds’ respective general partners relinquished to BBA all discretion and authority with respect to the investment and voting power over securities held by the BBA Funds, and thus BBA has complete and unlimited discretion and authority with respect to the BBA Funds’ investments and voting power over investments. Therefore, the BBA Funds should not be deemed to be beneficial owners of the securities directly held by them.</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1,367,592 shares of common stock. Dr. Weber is our President and Chief Executive Officer and a member of our board of directors.</w:t>
      </w:r>
    </w:p>
    <w:p>
      <w:pPr>
        <w:spacing w:after="0" w:line="9" w:lineRule="exact"/>
        <w:rPr>
          <w:rFonts w:ascii="Times New Roman" w:cs="Times New Roman" w:eastAsia="Times New Roman" w:hAnsi="Times New Roman"/>
          <w:sz w:val="18"/>
          <w:szCs w:val="18"/>
          <w:color w:val="auto"/>
        </w:rPr>
      </w:pPr>
    </w:p>
    <w:p>
      <w:pPr>
        <w:jc w:val="both"/>
        <w:ind w:left="540" w:right="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consisting of Aaron Davis, Christopher Fuglesang and Andrew Ellis makes voting and dispositive decisions with respect to the securities owned by BCTG Holdings, LLC. Each individual above disclaims beneficial ownership over the shares owned by BCTG Holdings LLC except to the extent of their pecuniary interest therein. The address of BCTG Holdings, LLC is 12860 El Camino Real, Ste 300 San Diego, CA 92130.</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Benjamin Cravatt, Ph.D. is 5751 Chelsea Avenue, La Jolla, CA 92037.</w:t>
      </w:r>
    </w:p>
    <w:p>
      <w:pPr>
        <w:spacing w:after="0" w:line="9"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the referenced shares to be registered is the following fund under management by a subsidiary of BlackRock, Inc.: BlackRock Health Sciences Trust II. BlackRock, Inc. is the ultimate parent holding company of such subsidiary. On behalf of such subsidiary, the applicable portfolio managers, as managing directors (or in other capacities) of such entities, and/or the applicable investment committee members of such fund, have voting and investment power over the shares held by the fund which is the registered holder of the referenced shares. Such portfolio managers and/or investment committee members expressly disclaim beneficial ownership of all shares held by such fund. The address of such fund and such portfolio managers is 60 State Street 19th/20th Floor, Boston, MA 02109. Shares shown include only the securities being registered for resale and may not incorporate all shares deemed to be beneficially held by the registered holder or BlackRock, Inc.</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hanging="424"/>
        <w:spacing w:after="0" w:line="253"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6,871,642 shares of common Stock held by Boxer Capital, LLC and (ii) 101,524 shares of common stock held by MVA Investors, LLC. Boxer Asset Management, Inc. and Joseph Lewis hold shared voting and dispositive power over the shares held by Boxer Capital, LLC. Each individual and entity above disclaims beneficial ownership over the shares owned by Boxer Capital except to the extent of its or their pecuniary interest therein. Aaron I. Davis is the Chief Executive Officer of MVA Investors, LLC. Mr. Davis disclaims beneficial ownership over the shares owned by MVA Investors, LLC except to the extent of his pecuniary interest therein. Mr. Davis is a member of our board of directors. The address is 12860 El Camino Real, Suite 300, San Diego, CA 92130.</w:t>
      </w:r>
    </w:p>
    <w:p>
      <w:pPr>
        <w:spacing w:after="0" w:line="5"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reflected as beneficially owned by Casdin Partners Master Fund, LP in the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each of Casdin Partners Master Fund, L.P., Casdin Capital, LLC, Casdin Partners GP, LLC and Eli Casdin is 1350 Avenue of the Americas, Suite 2600 New York, NY 10019.</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Dr. Baum is 6960 The Preserve Way, San Diego, CA 92130. Dr. Baum was previously a director of BCTG Acquisition Corp. prior to the Business Combination.</w:t>
      </w:r>
    </w:p>
    <w:p>
      <w:pPr>
        <w:ind w:left="540" w:right="32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directly held by Citadel CEMF Investments Ltd., or Citadel CEMF. Citadel Advisors LLC, or Citadel Advisors, is the portfolio manager of Citadel CEMF. Citadel Advisors Holdings LP, or CAH, is the sole member of Citadel Advisors. Citadel GP LLC, or CGP, is the general partner of CAH. Kenneth Griffin owns a controlling interest in CGP. Mr. Griffin, as the owner of a controlling interest in CGP, may be deemed to have shared power to vote and/or shared power to dispose of the securities held by Citadel CEMF. This disclosure shall not be construed as an admission that Mr. Griffin or any of the Citadel related entities listed above is the beneficial owner of any securities of the Company other than the securities actually owned by such person (if any). The address of Citadel CEMF is c/o Citadel Advisors LLC, 601 Lexington Avenue, New York, NY 10022.</w:t>
      </w:r>
    </w:p>
    <w:p>
      <w:pPr>
        <w:spacing w:after="0" w:line="2"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31,341 shares held by CRMA SPV LP, or CRMA, (ii) 590,894 shares held by Cormorant Global Healthcare Master Fund LP, or Cormorant Master Fund, (iii) 10,000 shares purchase by Cormorant Master Fund in the PIPE Financing and (iv) 2,476,949 held by Cormorant Private Healthcare Fund II, LP, or Cormorant Private Fund. Bihua Chen serves as the portfolio manager of each of CRMA, Cormorant Master Fund and Cormorant Private Fund and is the natural person who exercises voting and dispositive power over the shares. Ms. Chen disclaims any beneficial ownership of the securities held by CRMA, Cormorant Master Fund and Cormorant Private Fund other than to the extent of any pecuniary interest she may have therein, directly or indirectly. The address is c/o Cormorant Asset Management, LP, 200 Clarendon Street, 52nd Floor, Boston, MA 02116.</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63,867 shares of common stock. Ms. Beckman is our Chief Financial Officer.</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57,743 shares held by EcoR1 Capital Fund, L.P. and 442,257 shares held by EcoR1 Capital Fund Qualified, L.P. (together with EcoR1 Capital Fund, L.P, the “EcoR1 Funds”). Oleg Nodelman directly or indirectly controls the EcoR1 Funds and as a result may be deemed to have voting and dispositive power over the securities held directly by the EcoR1 Funds. The address for the EcoR1 Funds is 357 Tehama Street, Suite 3, San Francisco, CA 94103.</w:t>
      </w:r>
    </w:p>
    <w:p>
      <w:pPr>
        <w:spacing w:after="0" w:line="1" w:lineRule="exact"/>
        <w:rPr>
          <w:rFonts w:ascii="Times New Roman" w:cs="Times New Roman" w:eastAsia="Times New Roman" w:hAnsi="Times New Roman"/>
          <w:sz w:val="18"/>
          <w:szCs w:val="18"/>
          <w:color w:val="auto"/>
        </w:rPr>
      </w:pPr>
    </w:p>
    <w:p>
      <w:pPr>
        <w:ind w:left="540" w:right="120" w:hanging="424"/>
        <w:spacing w:after="0" w:line="25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purchased by Farallon Capital (AM) Investors, L.P., 23,700 shares purchased by Farallon Capital F5 Master I, L.P., 15,900 shares purchased by Farallon Capital Institutional Partners II, L.P., 9,500, shares purchased by Farallon Capital Institutional Partners III, L.P., 82,400 shares purchased by Farallon Capital Institutional Partners, L.P., 113,300 shares purchased by Farallon Capital Offshore Investors II, L.P., 39,000 shares purchased by Farallon Capital Partners, L.P. and 11,200 shares purchased by Four Crossings Institutional Partners V, L.P (collectively, the “FPLLC Entities”). Farallon Partners, L.L.C., or FPLLC, as the general partner of each of the FPLLC Entities and may be deemed to beneficially own such shares held by each of the FPLLC Entities. Farallon F5 (GP), L.L.C., or F5MI GP, as the general partner of Farallon Capital F5 Master I, L.P., or F5MI, may be deemed to beneficially own such shares held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by F5MI. Farallon Institutional (GP) V, L.L.C., or FCIP V GP, as the general partner of Four Crossings Institutional Partners V, L.P., or FCIP V, may be deemed to beneficially own such shares held by FCIP V. Each of Philip D. Dreyfuss, Michael B. Fisch, Richard B. Fried, Nicolas Giauque, David T. Kim, Michael G. Linn, Rajiv A. Patel, Thomas G. Roberts, Jr., William Seybold, Andrew J. M. Spokes, John R. Warren and Mark C. Wehrly (collectively, the “Farallon Managing Members”), as a (i) managing member or senior managing member, as the case may be, of FPLLC or (ii) manager or senior manager, as the case may be, of F5MI GP and FCIP V GP, in each case with the power to exercise investment discretion, may be deemed to beneficially own such shares held by the FP LLC Entities, F5MI or FCIP V. Each of FPLLC, F5MI GP, FCIP V GP and the Farallon Managing Members disclaims beneficial ownership of any such shares. The address of each of the entities and individuals referenced in this footnote is c/o Farallon Capital Management, L.L.C., One Maritime Plaza, Suite 2100, San Francisco, CA 94111.</w:t>
      </w:r>
    </w:p>
    <w:p>
      <w:pPr>
        <w:spacing w:after="0" w:line="1" w:lineRule="exact"/>
        <w:rPr>
          <w:sz w:val="20"/>
          <w:szCs w:val="20"/>
          <w:color w:val="auto"/>
        </w:rPr>
      </w:pPr>
    </w:p>
    <w:p>
      <w:pPr>
        <w:ind w:left="540" w:right="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215,400 share purchased by Fidelity Advisor Series VII: Fidelity Advisor Biotechnology Fund, 1,200 by Fidelity Capital Trust: Fidelity Flex Small Cap Fund—Small Cap Growth Subportfolio, 1,059,748 by Fidelity Growth Company Commingled Pool, 1,006,711 by Fidelity Mt. Vernon Street Trust: Fidelity Growth Company Fund, 210,485 by Fidelity Mt. Vernon Street Trust: Fidelity Growth Company K6 Fund, 223,056 by Fidelity Mt. Vernon Street Trust: Fidelity Series Growth Company Fund, 499,400 by Fidelity Securities Fund: Fidelity Small Cap Growth Fund, 113,500 by Fidelity Securities Fund: Fidelity Small Cap Growth K6 Fund and 670,500 by Fidelity Select Portfolios: Biotechnology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6"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Bessemer Trust Company, N.A., or BTNA, as the sole Advisor to Fifth Avenue Private Equity 15 LLC, or PE 15, has the power to dispose of the securities held by PE 15. BTNA’s principal office is located at 1271 Avenue of the Americas, New York, NY 10020. BTNA’s decisions regarding such securities will be made by a consensus of its five private equity team professionals, or the PE Team. PE 15’s board of managers, which consists of five individuals, has power to vote the securities reported in Item 1(a) on behalf of PE 15. The power to vote the securities cannot be exercised by less than a majority of a quorum of the board members consisting of at least three of the members.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Accordingly, neither the individuals comprising the PE Team nor the individuals comprising the board of managers have been listed here.</w:t>
      </w:r>
    </w:p>
    <w:p>
      <w:pPr>
        <w:spacing w:after="0" w:line="3"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owned directly by Foresite Capital Fund V, L.P., or Fund V. Foresite Capital Management V, LLC, or FCM V, is the general partner of Fund V and may be deemed to have sole voting and dispositive power over these shares. James Tananbaum is the sole managing member of FCM V and may be deemed to have sole voting and dispositive power over these shares. Each reporting person disclaims the existence of a “group.” Each of FCM V and Mr. Tananbaum disclaims beneficial ownership of these shares except to the extent of any pecuniary interest therein, and the filing of this report is not an admission that FCM V or Mr. Tananbaum is the beneficial owner of these shares for purposes of Section 16 or any other purpose. The address for Fund V is 900 Larkspur Landing Circle, Suite 150 Larkspur, CA 94930.</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00" w:hanging="424"/>
        <w:spacing w:after="0" w:line="25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Harvard Management Private Equity Corporation is a wholly-owned subsidiary of President and Fellows of Harvard College (Harvard), a Massachusetts corporation. Harvard has delegated investment authority over the securities being registered for resale to Harvard Management Company Inc. Narv Narvekar, Chief Executive Officer of Harvard Management Company Inc., located at 600 Atlantic Ave, Boston, MA 02210, may be deemed to have voting and investment power over the securities held by Harvard Management Private Equity Corporation.</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16,100 shares of common stock purchased in the PIPE Financing by YHG Investment, L.P., or YHG, (ii) 483,900 shares of common stock purchased in the PIPE Financing by HHLR Fund, L.P., or HHLR Fund, and (iii) 3,873,982 shares of common stock held by HH AUT-IV Holdings Limited, or HH AUT. Each of YHG and HHLR Fund is a Cayman Islands exempted limited partnership. HHLR Advisors, Ltd., an exempted Cayman Islands company, acts as the sole general partner of YHG and acts as the sole management company of HHLR Fund, and is deemed to be the beneficial owner of, and to control the voting power of, the shares held by YHG and HHLR Fund. HH AUT is an exempted company with limited liability registered in the Cayman Islands. HH AUT is ultimately managed and controlled by Hillhouse Investment Management, Ltd. Only shares held by HH AUT are subject to a contractual lockup for 180 days following the Closing Date. The registered address of HH AUT shall be at 89 Nexus Way, Camana Bay, P.O. Box 31106, Grand Cayman, KY1-1205, Cayman Islands.</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3,604,443 shares issued as Merger Consideration and 1,250,000 shares issued in the PIPE Investment. The address for Gilead Sciences, Inc. is 333 Lakeside Drive, Foster City, California 94404.</w:t>
      </w:r>
    </w:p>
    <w:p>
      <w:pPr>
        <w:ind w:left="540" w:right="8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Dr. Christensen is 12780 Via Vieve, San Diego, CA 92130. Dr. Christensen was previously a director of BCTG Acquisition Corp. prior to the Business Combination.</w:t>
      </w:r>
    </w:p>
    <w:p>
      <w:pPr>
        <w:ind w:left="540" w:right="36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by Janus Henderson Biotech Innovation Master Fund Limited, or Janus. Each of Andy Acker and Dan Lyons, acting as portfolio managers as delegated by Janus Capital Management LLC, who acts as investment adviser to Janus has the ability to make decisions with respect to the voting and disposition of the shares held by Janus. The address for Janus is 151 Detroit Street, Denver, CO 80206.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Mr. Hager is 133381 Benchley Road, San Diego, CA 92130.</w:t>
      </w:r>
    </w:p>
    <w:p>
      <w:pPr>
        <w:spacing w:after="0" w:line="9"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Arsani William is the managing partner &amp; Chief Investment Officer who exercises voting and dispositive power over the shares held by Logos Global Master Fund, LP . The address for each of Logos Global Master Fund, LP and Mr. William is 1 Letterman Dr., Ste D-700, San Francisco, CA 94129.</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Mike Varney Advisors is 709 N Granados Ave, Solana Beach, CA 92075.</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Selling Securityholder. The address for the Selling Securityholder is 130 Main St. 2nd Floor, New Canaan, CT 06840.</w:t>
      </w:r>
    </w:p>
    <w:p>
      <w:pPr>
        <w:spacing w:after="0" w:line="2" w:lineRule="exact"/>
        <w:rPr>
          <w:rFonts w:ascii="Times New Roman" w:cs="Times New Roman" w:eastAsia="Times New Roman" w:hAnsi="Times New Roman"/>
          <w:sz w:val="18"/>
          <w:szCs w:val="18"/>
          <w:color w:val="auto"/>
        </w:rPr>
      </w:pPr>
    </w:p>
    <w:p>
      <w:pPr>
        <w:ind w:left="540" w:right="54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L. Bender has the power to vote or dispose of the shares held by NexTx Insights, LLC. The address of NexTx Insights, LLC is 1759 Oceanside Blvd, Ste C, #1267, Oceanside CA, 92054.</w:t>
      </w:r>
    </w:p>
    <w:p>
      <w:pPr>
        <w:ind w:left="540" w:right="320" w:hanging="424"/>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84,929 shares of common stock held directly by Michael Pellini, (ii) 20,000 shares of common stock purchased in the PIPE Financing by Dr. Pellini, and (iii) 67,943 shares held directly by The Pellini Family Trust, of which Dr. Pellini is the trustee and has voting and investment control with respect to these shares. The address for each of Dr. Pellini and The Pellini Family Trust is 33841 Niguel Shores Drive, Dana Point, CA 92629.</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Peter Olson is 4763 Robbins St, San Diego, CA 92122.</w:t>
      </w:r>
    </w:p>
    <w:p>
      <w:pPr>
        <w:spacing w:after="0" w:line="9"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 Investments LLC managed by managing members Amos B. Hostetter, Jr. and Barbara W. Hostetter and managing directors Melinda E. Barber, Benjamin A. Gomez and John W. Vander Vort, The address for PH Investments LLC is Pilot House, Lewis Wharf, Boston MA 02110.</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2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159,386 shares owned by Portland Investment – EP, LLC, or Portland EP, and 194,806 shares owned by Portland Investment – PIA, LLC, or Portland PIA. William Kane, the Corporate Director of each of Portland EP and Portland PIA has the power to vote or dispose of the shares held by Portland EP and Portland PIA. The address for each of Mr. Kane, Portland EP and Portland PIA is 101 Merrimac St Suite 800, Boston, MA 02114.</w:t>
      </w:r>
    </w:p>
    <w:p>
      <w:pPr>
        <w:spacing w:after="0" w:line="2"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 Capital Management, L.P. is the investment manager for RA Capital Healthcare Fund, L.P., or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 The address of the persons and entities listed above is 200 Berkeley Street, 18th Floor, Boston, Massachusetts 02116.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Heyman was previously a director of BCTG Acquisition Corp. prior to the Business Combination.</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registered and held by Samsara BioCapital, L.P. Dr. Srinivas Akkaraju, MD, PhD is the reporting person and the managing member of Samsara BioCapital GP, LLC, the general partner of Samsara BioCapital, L.P. The reporting person disclaims beneficial ownership of this securities except to the extent of the reporting person’s pecuniary interest therein. The address is 628 Middlefield Road, Palo Alto, CA 94301.</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Stevens, as Managing Partner, has the power to vote or dispose of the shares held by SCubed Capital, LLC. The address for each of SCubed Capital, LLC and Mr. Stevens is Apres Ski Way #701, Steamboat Springs, CO 80487.</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Dr. Gujrathi is 1395 Rancho Santa Fe, CA 92067.</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Sobrato Capital, a DBA of Sobrato Family Holdings, LLC, a California limited liability company is 599 Castro Street, Suite 400, Mountain View, CA 94041.</w:t>
      </w: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managing member of both Southpoint Capital Advisors LLC and Southpoint GP, LLC. Each of the Reporting Persons disclaims beneficial ownership of the shares reported herein. The address for Southpoint Master Fund, LP is 1114 Avenue of the Americas, 22nd Floor, New York, NY 10036.</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Reid Huber is a partner at Third Rock Ventures, LLC, and a member of our board of directors. The address of Third Rock Ventures IV, L.P. is 29 Newbury Street, 3rd Floor, Boston MA 02116.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Mr. Wilson is 5 Ponderosa Ln., Rolling Hills Estates, CA 90274.</w:t>
      </w:r>
    </w:p>
    <w:p>
      <w:pPr>
        <w:spacing w:after="0" w:line="9"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Woodline Partners LP serves as the investment manager of Woodline Master Fund LP and may be deemed to be the beneficial owner of the shares of common stock. Woodline Master Fund LP disclaims any beneficial ownership of these shares. The address of Woodline Master Fund LP is 4 Embarcadero Center, Suite 3450, San Francisco, CA 94111.</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registering the possible offer and sale from time to time by the Selling Securityholders, or their permitted transferees, of up to an aggregate of 68,034,602 shares of common stock, consisting of up to an aggregate of 18,610,000 shares of our common stock that were issued to the PIPE Investors in the PIPE Financing and up to an aggregate of 49,424,602 shares of our common stock issued to certain former shareholders of Tango Therapeutics Sub, Inc. at the closing of the Business Combination. We are also registering any additional securities that may become issuable by reason of share splits, share dividends or other similar transactions.</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The Nasdaq Stock Market, or Nasdaq, listing fees and fees and expenses of our counsel and our independent registered public accountants.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Nasdaq;</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securityholders;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securityholders.</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 dealers or other financial institutions may engage in short sales of the securities in the course of hedging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“TNGX”.</w:t>
      </w:r>
    </w:p>
    <w:p>
      <w:pPr>
        <w:spacing w:after="0" w:line="22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4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162"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8"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certain liabilities under the Securities Act, the Exchange Act or other federal or state law. Agents, broker-dealers and underwriters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320" w:top="455" w:right="5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shares of our common stock offered by this prospectus will be passed upon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901, Boston, MA 02215, Attention: Corporate Secretary.</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71"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or the Exchange Act, (in each case, other than those documents or the portions of those documents not deemed to be filed) between the date hereof and the effectiveness of the registration statement and following the effectiveness of the registration statement until the offering of the securities under the registration statement is terminated or completed:</w:t>
      </w:r>
    </w:p>
    <w:p>
      <w:pPr>
        <w:spacing w:after="0" w:line="7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March 28, 2022;</w:t>
      </w:r>
    </w:p>
    <w:p>
      <w:pPr>
        <w:spacing w:after="0" w:line="130" w:lineRule="exact"/>
        <w:rPr>
          <w:rFonts w:ascii="Times New Roman" w:cs="Times New Roman" w:eastAsia="Times New Roman" w:hAnsi="Times New Roman"/>
          <w:sz w:val="18"/>
          <w:szCs w:val="18"/>
          <w:color w:val="auto"/>
        </w:rPr>
      </w:pPr>
    </w:p>
    <w:p>
      <w:pPr>
        <w:ind w:left="1080" w:right="100" w:hanging="424"/>
        <w:spacing w:after="0" w:line="312"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w:t>
      </w:r>
      <w:hyperlink r:id="rId5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from our definitive proxy statement on </w:t>
      </w:r>
      <w:hyperlink r:id="rId54">
        <w:r>
          <w:rPr>
            <w:rFonts w:ascii="Times New Roman" w:cs="Times New Roman" w:eastAsia="Times New Roman" w:hAnsi="Times New Roman"/>
            <w:sz w:val="17"/>
            <w:szCs w:val="17"/>
            <w:u w:val="single" w:color="auto"/>
            <w:color w:val="0000EE"/>
          </w:rPr>
          <w:t>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(other than information furnished rather than filed) filed with the SEC on April 26, 2022;</w:t>
      </w:r>
    </w:p>
    <w:p>
      <w:pPr>
        <w:spacing w:after="0" w:line="45" w:lineRule="exact"/>
        <w:rPr>
          <w:rFonts w:ascii="Times New Roman" w:cs="Times New Roman" w:eastAsia="Times New Roman" w:hAnsi="Times New Roman"/>
          <w:sz w:val="17"/>
          <w:szCs w:val="17"/>
          <w:color w:val="auto"/>
        </w:rPr>
      </w:pPr>
    </w:p>
    <w:p>
      <w:pPr>
        <w:ind w:left="1080" w:right="460" w:hanging="424"/>
        <w:spacing w:after="0" w:line="282" w:lineRule="auto"/>
        <w:tabs>
          <w:tab w:leader="none" w:pos="108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and June 30, 2022, filed with the SEC on </w:t>
      </w:r>
      <w:hyperlink r:id="rId55">
        <w:r>
          <w:rPr>
            <w:rFonts w:ascii="Times New Roman" w:cs="Times New Roman" w:eastAsia="Times New Roman" w:hAnsi="Times New Roman"/>
            <w:sz w:val="18"/>
            <w:szCs w:val="18"/>
            <w:u w:val="single" w:color="auto"/>
            <w:color w:val="0000EE"/>
          </w:rPr>
          <w:t>May 11,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6">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filed with the SEC on </w:t>
      </w:r>
      <w:hyperlink r:id="rId57">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September 2, 2020,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hereof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76"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 Brookline Avenue, Suite 901</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Boston, MA 02215</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320-4900</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961390</wp:posOffset>
            </wp:positionV>
            <wp:extent cx="2682875" cy="822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682875" cy="8229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5"/>
          <w:szCs w:val="25"/>
          <w:b w:val="1"/>
          <w:bCs w:val="1"/>
          <w:color w:val="auto"/>
        </w:rPr>
        <w:t>Up to 68,034,602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890270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414020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Other Expenses of Issuance and Distribution.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fees and expenses, other than underwriting discounts and commissions, payable by us in connection with the sale and distribution of the securities being registered hereby. In addition, we may incur additional expenses in the future in connection with the offering of our securities pursuant to this prospectus. If required, any such additional expenses will be disclosed in a prospectus supplement. All amounts are estimates, except for the SEC registration fee.</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32,500</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367,135</w:t>
            </w:r>
          </w:p>
        </w:tc>
        <w:tc>
          <w:tcPr>
            <w:tcW w:w="6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pay the expenses, other than underwriting discounts and commissions and certain expenses incurred by the Selling Securityholders in disposing of the securities, associated with the sale of securities pursuant to this prospectus. The Selling Securityholders will bear all underwriting commissions and discounts, if any, attributable to their sale of the securities.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purchases, redemptions or other distributions;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sz w:val="20"/>
          <w:szCs w:val="20"/>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67"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 Exhibits</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4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40" w:type="dxa"/>
            <w:vAlign w:val="bottom"/>
            <w:gridSpan w:val="10"/>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Agreement and Plan of Merger, dated as of April 13, 2021, by and among BCTG Acquisition Corp., BCTG Merger Sub Inc. and Tango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Therapeutics, Inc. (incorporated by reference to Annex A to the Proxy Statement/ Prospectus).</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Second Amended and Restated Certificate of Incorporation of Tango Therapeutics, Inc. (incorporated by reference to Exhibit 3.1 to the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Registrant’s registration statement on Form S-1 filed with the SEC on September 10,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Bylaws of Tango Therapeutics, Inc. (incorporated by reference to Exhibit 4.2 to the Registrant’s registration</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Registration and Stockholder Rights Agreement, dated August 10, 2021, by and among Tango Therapeutics, Inc.</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and the stockholders party thereto (incorporated by reference to Exhibit 10.2 to the Current Report on Form 8-K filed by the Registrant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on August 13, 2021).</w:t>
              </w:r>
            </w:hyperlink>
          </w:p>
        </w:tc>
        <w:tc>
          <w:tcPr>
            <w:tcW w:w="8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Specimen Common Stock Certificate of the Registrant (incorporated by reference to Exhibit 4.5 to the Registration Statement on Form</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S-4/A filed by the Registrant on July 15, 2021).</w:t>
              </w:r>
            </w:hyperlink>
          </w:p>
        </w:tc>
        <w:tc>
          <w:tcPr>
            <w:tcW w:w="6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Opinion of Goodwin Procter LLP (incorporated by reference to Exhibit 5.1 to the Registrant’s registration statement on Form S-1 filed</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with the SEC on September 10, 2021).</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06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60" w:type="dxa"/>
            <w:vAlign w:val="bottom"/>
          </w:tcPr>
          <w:p>
            <w:pPr>
              <w:jc w:val="center"/>
              <w:ind w:right="517"/>
              <w:spacing w:after="0"/>
              <w:rPr>
                <w:sz w:val="20"/>
                <w:szCs w:val="20"/>
                <w:color w:val="auto"/>
              </w:rPr>
            </w:pPr>
            <w:r>
              <w:rPr>
                <w:rFonts w:ascii="Times New Roman" w:cs="Times New Roman" w:eastAsia="Times New Roman" w:hAnsi="Times New Roman"/>
                <w:sz w:val="14"/>
                <w:szCs w:val="14"/>
                <w:b w:val="1"/>
                <w:bCs w:val="1"/>
                <w:color w:val="auto"/>
              </w:rPr>
              <w:t>No.</w:t>
            </w:r>
          </w:p>
        </w:tc>
        <w:tc>
          <w:tcPr>
            <w:tcW w:w="17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6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 accounting firm.</w:t>
            </w:r>
          </w:p>
        </w:tc>
        <w:tc>
          <w:tcPr>
            <w:tcW w:w="3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42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Consent of Goodwin Procter LLP (included in Exhibit 5.1)</w:t>
              </w:r>
            </w:hyperlink>
          </w:p>
        </w:tc>
        <w:tc>
          <w:tcPr>
            <w:tcW w:w="5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9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Power of Attorney (incorporated by reference to Exhibit 24.1 to the Registrant’s registration statement on Form S-1 filed with the SEC</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on September 10, 2021).</w:t>
              </w:r>
            </w:hyperlink>
          </w:p>
        </w:tc>
        <w:tc>
          <w:tcPr>
            <w:tcW w:w="79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40" w:right="840" w:hanging="424"/>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540" w:right="80" w:hanging="439"/>
        <w:spacing w:after="0" w:line="266" w:lineRule="auto"/>
        <w:tabs>
          <w:tab w:leader="none" w:pos="15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7" w:lineRule="exact"/>
        <w:rPr>
          <w:sz w:val="20"/>
          <w:szCs w:val="20"/>
          <w:color w:val="auto"/>
        </w:rPr>
      </w:pPr>
    </w:p>
    <w:p>
      <w:pPr>
        <w:ind w:left="1540" w:right="160" w:hanging="439"/>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(ii), and (iii)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w:t>
      </w:r>
    </w:p>
    <w:p>
      <w:pPr>
        <w:spacing w:after="0" w:line="209" w:lineRule="exact"/>
        <w:rPr>
          <w:sz w:val="20"/>
          <w:szCs w:val="20"/>
          <w:color w:val="auto"/>
        </w:rPr>
      </w:pPr>
    </w:p>
    <w:p>
      <w:pPr>
        <w:ind w:left="1080" w:hanging="532"/>
        <w:spacing w:after="0" w:line="266"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20" w:right="360" w:hanging="4"/>
        <w:spacing w:after="0" w:line="282" w:lineRule="auto"/>
        <w:tabs>
          <w:tab w:leader="none" w:pos="4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3" w:lineRule="auto"/>
        <w:tabs>
          <w:tab w:leader="none" w:pos="4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18"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20" w:hanging="439"/>
        <w:spacing w:after="0" w:line="282" w:lineRule="auto"/>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540" w:right="40" w:hanging="424"/>
        <w:spacing w:after="0" w:line="258"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Boston, State of Massachusetts, on September 21,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Barbara Weber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Barbara Weber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jc w:val="center"/>
              <w:ind w:right="53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9"/>
              </w:rPr>
              <w:t>/s/ Barbara Weber</w:t>
            </w:r>
          </w:p>
        </w:tc>
        <w:tc>
          <w:tcPr>
            <w:tcW w:w="120" w:type="dxa"/>
            <w:vAlign w:val="bottom"/>
          </w:tcPr>
          <w:p>
            <w:pPr>
              <w:spacing w:after="0"/>
              <w:rPr>
                <w:sz w:val="24"/>
                <w:szCs w:val="24"/>
                <w:color w:val="auto"/>
              </w:rPr>
            </w:pP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Director, President and Chief Executive Officer (Principal Executive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Barbara Weber</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6"/>
              </w:rPr>
              <w:t>Officer)</w:t>
            </w:r>
          </w:p>
        </w:tc>
        <w:tc>
          <w:tcPr>
            <w:tcW w:w="20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color w:val="auto"/>
                <w:w w:val="99"/>
              </w:rPr>
              <w:t>/s/ Daniella Beckman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Daniella Beckman</w:t>
            </w:r>
          </w:p>
        </w:tc>
        <w:tc>
          <w:tcPr>
            <w:tcW w:w="120" w:type="dxa"/>
            <w:vAlign w:val="bottom"/>
          </w:tcPr>
          <w:p>
            <w:pPr>
              <w:spacing w:after="0"/>
              <w:rPr>
                <w:sz w:val="19"/>
                <w:szCs w:val="19"/>
                <w:color w:val="auto"/>
              </w:rPr>
            </w:pPr>
          </w:p>
        </w:tc>
        <w:tc>
          <w:tcPr>
            <w:tcW w:w="5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Alexis Borisy</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rPr>
              <w:t>Lesley Calhoun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Aaron Davis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8"/>
              </w:rPr>
              <w:t>Reid Huber</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31"/>
              <w:spacing w:after="0"/>
              <w:rPr>
                <w:sz w:val="20"/>
                <w:szCs w:val="20"/>
                <w:color w:val="auto"/>
              </w:rPr>
            </w:pPr>
            <w:r>
              <w:rPr>
                <w:rFonts w:ascii="Times New Roman" w:cs="Times New Roman" w:eastAsia="Times New Roman" w:hAnsi="Times New Roman"/>
                <w:sz w:val="18"/>
                <w:szCs w:val="18"/>
                <w:color w:val="auto"/>
                <w:w w:val="99"/>
              </w:rPr>
              <w:t>Malte Peters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2022</w:t>
            </w:r>
          </w:p>
        </w:tc>
      </w:tr>
      <w:tr>
        <w:trPr>
          <w:trHeight w:val="228"/>
        </w:trPr>
        <w:tc>
          <w:tcPr>
            <w:tcW w:w="420" w:type="dxa"/>
            <w:vAlign w:val="bottom"/>
          </w:tcPr>
          <w:p>
            <w:pPr>
              <w:spacing w:after="0"/>
              <w:rPr>
                <w:sz w:val="19"/>
                <w:szCs w:val="19"/>
                <w:color w:val="auto"/>
              </w:rPr>
            </w:pPr>
          </w:p>
        </w:tc>
        <w:tc>
          <w:tcPr>
            <w:tcW w:w="324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9"/>
              </w:rPr>
              <w:t>Mace Rothenberg</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Barbara Weber</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2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Barbara Weber</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Attorney-in-Fact</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Tango Therapeutics, Inc. of our report dated March 28, 2022 relating to the financial statements, which appears in Tango Therapeutics, Inc.’s Annual Report on Form 10-K for the year ended December 31, 2021. We also consent to the reference to us under the heading “Experts” in such Registration Statement.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21,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2"/>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8"/>
    </w:lvl>
  </w:abstractNum>
  <w:abstractNum w:abstractNumId="12">
    <w:nsid w:val="628C895D"/>
    <w:multiLevelType w:val="hybridMultilevel"/>
    <w:lvl w:ilvl="0">
      <w:lvlJc w:val="left"/>
      <w:lvlText w:val="(%1)"/>
      <w:numFmt w:val="decimal"/>
      <w:start w:val="21"/>
    </w:lvl>
  </w:abstractNum>
  <w:abstractNum w:abstractNumId="13">
    <w:nsid w:val="333AB105"/>
    <w:multiLevelType w:val="hybridMultilevel"/>
    <w:lvl w:ilvl="0">
      <w:lvlJc w:val="left"/>
      <w:lvlText w:val="(%1)"/>
      <w:numFmt w:val="decimal"/>
      <w:start w:val="34"/>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857"/>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54E49EB4"/>
    <w:multiLevelType w:val="hybridMultilevel"/>
    <w:lvl w:ilvl="0">
      <w:lvlJc w:val="left"/>
      <w:lvlText w:val="(%1)"/>
      <w:numFmt w:val="lowerRoman"/>
      <w:start w:val="3"/>
    </w:lvl>
  </w:abstractNum>
  <w:abstractNum w:abstractNumId="25">
    <w:nsid w:val="71F32454"/>
    <w:multiLevelType w:val="hybridMultilevel"/>
    <w:lvl w:ilvl="0">
      <w:lvlJc w:val="left"/>
      <w:lvlText w:val="%1"/>
      <w:numFmt w:val="upperLetter"/>
      <w:start w:val="1"/>
    </w:lvl>
    <w:lvl w:ilvl="1">
      <w:lvlJc w:val="left"/>
      <w:lvlText w:val="(%2)"/>
      <w:numFmt w:val="decimal"/>
      <w:start w:val="2"/>
    </w:lvl>
  </w:abstractNum>
  <w:abstractNum w:abstractNumId="26">
    <w:nsid w:val="2CA88611"/>
    <w:multiLevelType w:val="hybridMultilevel"/>
    <w:lvl w:ilvl="0">
      <w:lvlJc w:val="left"/>
      <w:lvlText w:val="(%1)"/>
      <w:numFmt w:val="upperLetter"/>
      <w:start w:val="1"/>
    </w:lvl>
    <w:lvl w:ilvl="1">
      <w:lvlJc w:val="left"/>
      <w:lvlText w:val="%2"/>
      <w:numFmt w:val="decimal"/>
      <w:start w:val="1"/>
    </w:lvl>
  </w:abstractNum>
  <w:abstractNum w:abstractNumId="27">
    <w:nsid w:val="836C40E"/>
    <w:multiLevelType w:val="hybridMultilevel"/>
    <w:lvl w:ilvl="0">
      <w:lvlJc w:val="left"/>
      <w:lvlText w:val="(%1)"/>
      <w:numFmt w:val="upperLetter"/>
      <w:start w:val="2"/>
    </w:lvl>
    <w:lvl w:ilvl="1">
      <w:lvlJc w:val="left"/>
      <w:lvlText w:val="(%2)"/>
      <w:numFmt w:val="decimal"/>
      <w:start w:val="5"/>
    </w:lvl>
    <w:lvl w:ilvl="2">
      <w:lvlJc w:val="left"/>
      <w:lvlText w:val="(%3)"/>
      <w:numFmt w:val="lowerRoman"/>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jpe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75"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53" Type="http://schemas.openxmlformats.org/officeDocument/2006/relationships/hyperlink" Target="http://www.sec.gov/ix?doc=/Archives/edgar/data/1819133/000095017022004721/tngx-20211231.htm" TargetMode="External"/><Relationship Id="rId54" Type="http://schemas.openxmlformats.org/officeDocument/2006/relationships/hyperlink" Target="http://www.sec.gov/Archives/edgar/data/1819133/000095017022006137/def_14a_proxy_-_tngx_apr.htm" TargetMode="External"/><Relationship Id="rId55" Type="http://schemas.openxmlformats.org/officeDocument/2006/relationships/hyperlink" Target="http://www.sec.gov/ix?doc=/Archives/edgar/data/1819133/000095017022009139/tngx-20220331.htm" TargetMode="External"/><Relationship Id="rId56" Type="http://schemas.openxmlformats.org/officeDocument/2006/relationships/hyperlink" Target="http://www.sec.gov/ix?doc=/Archives/edgar/data/1819133/000095017022016257/tngx-20220630.htm" TargetMode="External"/><Relationship Id="rId57" Type="http://schemas.openxmlformats.org/officeDocument/2006/relationships/hyperlink" Target="http://www.sec.gov/ix?doc=/Archives/edgar/data/1819133/000095017022011475/tngx-20220608.htm" TargetMode="External"/><Relationship Id="rId58" Type="http://schemas.openxmlformats.org/officeDocument/2006/relationships/hyperlink" Target="http://www.sec.gov/Archives/edgar/data/1819133/000121390020024994/ea126358-8a12b_bctgacquis.htm" TargetMode="External"/><Relationship Id="rId69" Type="http://schemas.openxmlformats.org/officeDocument/2006/relationships/hyperlink" Target="http://www.sec.gov/Archives/edgar/data/1819133/000121390021022195/fs42021_bctgacquisition.htm#T112" TargetMode="External"/><Relationship Id="rId70" Type="http://schemas.openxmlformats.org/officeDocument/2006/relationships/hyperlink" Target="http://www.sec.gov/Archives/edgar/data/1819133/000119312521269987/d118907dex31.htm" TargetMode="External"/><Relationship Id="rId71" Type="http://schemas.openxmlformats.org/officeDocument/2006/relationships/hyperlink" Target="http://www.sec.gov/Archives/edgar/data/1819133/000119312521298942/d211731dex42.htm" TargetMode="External"/><Relationship Id="rId72" Type="http://schemas.openxmlformats.org/officeDocument/2006/relationships/hyperlink" Target="http://www.sec.gov/Archives/edgar/data/1819133/000119312521246234/d203347dex102.htm" TargetMode="External"/><Relationship Id="rId73" Type="http://schemas.openxmlformats.org/officeDocument/2006/relationships/hyperlink" Target="http://www.sec.gov/Archives/edgar/data/1819133/000121390021037131/ea144230ex4-5_bctgacq.htm" TargetMode="External"/><Relationship Id="rId74" Type="http://schemas.openxmlformats.org/officeDocument/2006/relationships/hyperlink" Target="http://www.sec.gov/Archives/edgar/data/1819133/000119312521269987/d118907dex51.htm" TargetMode="External"/><Relationship Id="rId76" Type="http://schemas.openxmlformats.org/officeDocument/2006/relationships/hyperlink" Target="http://www.sec.gov/ix?doc=/Archives/edgar/data/1819133/000119312521269987/d118907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2022-09-21T07:12:58Z</dcterms:created>
  <dcterms:modified xsi:type="dcterms:W3CDTF">2022-09-21T07:12:58Z</dcterms:modified>
</cp:coreProperties>
</file>