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333-259448</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133350</wp:posOffset>
            </wp:positionV>
            <wp:extent cx="3094355"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Up to 68,175,412 Shares of Common Stock</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This prospectus supplement updates and supplements the prospectus dated March 28, 2022 (the “Prospectus”), which forms a part of our Registration Statement on Form S-1, as amended (Registration No. 333-259448). This prospectus supplement is being filed to update and supplement the information in the Prospectus with the information contained in our Quarterly Report on Form 10-Q, filed with the Securities and Exchange Commission on August 10, 2022 (the “Quarterly Report on Form 10-Q”). Accordingly, we have attached the Quarterly Report on Form 10-Q to this prospectus supplement.</w:t>
      </w:r>
    </w:p>
    <w:p>
      <w:pPr>
        <w:spacing w:after="0" w:line="285" w:lineRule="exact"/>
        <w:rPr>
          <w:sz w:val="24"/>
          <w:szCs w:val="24"/>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securityholders named in the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49,565,412 shares of our common stock that were issued to certain former shareholders of Tango Therapeutics Sub, Inc. at the closing of the Business Combination.</w:t>
      </w:r>
    </w:p>
    <w:p>
      <w:pPr>
        <w:spacing w:after="0" w:line="276" w:lineRule="exact"/>
        <w:rPr>
          <w:sz w:val="24"/>
          <w:szCs w:val="24"/>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This prospectus supplement updates and supplements the information in the Prospectus and is not complete without, and may not be delivered or utilized except in combination with, the Prospectus, including any amendments or supplements thereto. If there is any inconsistency between the information in the Prospectus and this prospectus supplement, you should rely on the information in this prospectus supplement.</w:t>
      </w:r>
    </w:p>
    <w:p>
      <w:pPr>
        <w:spacing w:after="0" w:line="285"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“TNGX”. On August 9, 2022, the closing price of our common stock was $4.06 per share.</w:t>
      </w:r>
    </w:p>
    <w:p>
      <w:pPr>
        <w:spacing w:after="0" w:line="266"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12 of the Prospectus and under similar headings in any further amendments or supplements to the Prospectus.</w:t>
      </w:r>
    </w:p>
    <w:p>
      <w:pPr>
        <w:spacing w:after="0" w:line="262" w:lineRule="exact"/>
        <w:rPr>
          <w:sz w:val="24"/>
          <w:szCs w:val="24"/>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0"/>
          <w:szCs w:val="20"/>
          <w:color w:val="auto"/>
        </w:rPr>
      </w:pPr>
    </w:p>
    <w:p>
      <w:pPr>
        <w:ind w:left="3880" w:right="1620" w:hanging="3859"/>
        <w:spacing w:after="0" w:line="35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0"/>
          <w:szCs w:val="20"/>
          <w:color w:val="auto"/>
        </w:rPr>
      </w:pPr>
    </w:p>
    <w:p>
      <w:pPr>
        <w:ind w:left="3140" w:right="1600" w:hanging="311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0"/>
          <w:szCs w:val="20"/>
          <w:color w:val="auto"/>
        </w:rPr>
      </w:pPr>
    </w:p>
    <w:p>
      <w:pPr>
        <w:sectPr>
          <w:pgSz w:w="11900" w:h="16838" w:orient="portrait"/>
          <w:cols w:equalWidth="0" w:num="2">
            <w:col w:w="7220" w:space="720"/>
            <w:col w:w="3300"/>
          </w:cols>
          <w:pgMar w:left="320" w:top="403"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jc w:val="center"/>
              <w:ind w:left="1058"/>
              <w:spacing w:after="0" w:line="195" w:lineRule="exact"/>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vMerge w:val="restart"/>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218"/>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(857) 320-4900</w:t>
            </w: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257"/>
        </w:trPr>
        <w:tc>
          <w:tcPr>
            <w:tcW w:w="45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46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0"/>
          <w:szCs w:val="20"/>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0"/>
          <w:szCs w:val="20"/>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0"/>
          <w:szCs w:val="20"/>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0"/>
          <w:szCs w:val="20"/>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2022, the registrant had 88,041,404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80" w:type="dxa"/>
            <w:vAlign w:val="bottom"/>
            <w:gridSpan w:val="9"/>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260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7"/>
              </w:rPr>
              <w:t>Operations and Comprehensive Loss</w:t>
            </w:r>
          </w:p>
        </w:tc>
        <w:tc>
          <w:tcPr>
            <w:tcW w:w="378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4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tcPr>
          <w:p>
            <w:pPr>
              <w:spacing w:after="0"/>
              <w:rPr>
                <w:sz w:val="15"/>
                <w:szCs w:val="15"/>
                <w:color w:val="auto"/>
              </w:rPr>
            </w:pPr>
          </w:p>
        </w:tc>
        <w:tc>
          <w:tcPr>
            <w:tcW w:w="2020" w:type="dxa"/>
            <w:vAlign w:val="bottom"/>
            <w:gridSpan w:val="4"/>
          </w:tcPr>
          <w:p>
            <w:pPr>
              <w:spacing w:after="0"/>
              <w:rPr>
                <w:sz w:val="15"/>
                <w:szCs w:val="15"/>
                <w:color w:val="auto"/>
              </w:rPr>
            </w:pPr>
          </w:p>
        </w:tc>
        <w:tc>
          <w:tcPr>
            <w:tcW w:w="4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400" w:type="dxa"/>
            <w:vAlign w:val="bottom"/>
            <w:gridSpan w:val="16"/>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83"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the section of this Quarterly Report on Form 10-Q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among others, the following:</w:t>
      </w:r>
    </w:p>
    <w:p>
      <w:pPr>
        <w:spacing w:after="0" w:line="41" w:lineRule="exact"/>
        <w:rPr>
          <w:sz w:val="20"/>
          <w:szCs w:val="20"/>
          <w:color w:val="auto"/>
        </w:rPr>
      </w:pPr>
    </w:p>
    <w:p>
      <w:pPr>
        <w:ind w:left="1040" w:right="60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76"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98"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62" w:lineRule="exact"/>
        <w:rPr>
          <w:rFonts w:ascii="Times New Roman" w:cs="Times New Roman" w:eastAsia="Times New Roman" w:hAnsi="Times New Roman"/>
          <w:sz w:val="18"/>
          <w:szCs w:val="18"/>
          <w:color w:val="auto"/>
        </w:rPr>
      </w:pPr>
    </w:p>
    <w:p>
      <w:pPr>
        <w:ind w:left="1040" w:right="16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5" w:lineRule="exact"/>
        <w:rPr>
          <w:rFonts w:ascii="Times New Roman" w:cs="Times New Roman" w:eastAsia="Times New Roman" w:hAnsi="Times New Roman"/>
          <w:sz w:val="18"/>
          <w:szCs w:val="18"/>
          <w:color w:val="auto"/>
        </w:rPr>
      </w:pPr>
    </w:p>
    <w:p>
      <w:pPr>
        <w:ind w:left="1040" w:right="16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72" w:lineRule="exact"/>
        <w:rPr>
          <w:rFonts w:ascii="Times New Roman" w:cs="Times New Roman" w:eastAsia="Times New Roman" w:hAnsi="Times New Roman"/>
          <w:sz w:val="18"/>
          <w:szCs w:val="18"/>
          <w:color w:val="auto"/>
        </w:rPr>
      </w:pPr>
    </w:p>
    <w:p>
      <w:pPr>
        <w:ind w:left="104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2" w:lineRule="exact"/>
        <w:rPr>
          <w:rFonts w:ascii="Times New Roman" w:cs="Times New Roman" w:eastAsia="Times New Roman" w:hAnsi="Times New Roman"/>
          <w:sz w:val="18"/>
          <w:szCs w:val="18"/>
          <w:color w:val="auto"/>
        </w:rPr>
      </w:pPr>
    </w:p>
    <w:p>
      <w:pPr>
        <w:ind w:left="1040" w:right="280" w:hanging="452"/>
        <w:spacing w:after="0" w:line="279"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3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1" w:lineRule="exact"/>
        <w:rPr>
          <w:rFonts w:ascii="Times New Roman" w:cs="Times New Roman" w:eastAsia="Times New Roman" w:hAnsi="Times New Roman"/>
          <w:sz w:val="18"/>
          <w:szCs w:val="18"/>
          <w:color w:val="auto"/>
        </w:rPr>
      </w:pPr>
    </w:p>
    <w:p>
      <w:pPr>
        <w:ind w:left="1040" w:right="22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2" w:lineRule="exact"/>
        <w:rPr>
          <w:rFonts w:ascii="Times New Roman" w:cs="Times New Roman" w:eastAsia="Times New Roman" w:hAnsi="Times New Roman"/>
          <w:sz w:val="18"/>
          <w:szCs w:val="18"/>
          <w:color w:val="auto"/>
        </w:rPr>
      </w:pPr>
    </w:p>
    <w:p>
      <w:pPr>
        <w:ind w:left="1040" w:right="50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5" w:lineRule="exact"/>
        <w:rPr>
          <w:rFonts w:ascii="Times New Roman" w:cs="Times New Roman" w:eastAsia="Times New Roman" w:hAnsi="Times New Roman"/>
          <w:sz w:val="18"/>
          <w:szCs w:val="18"/>
          <w:color w:val="auto"/>
        </w:rPr>
      </w:pPr>
    </w:p>
    <w:p>
      <w:pPr>
        <w:ind w:left="1040" w:right="4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72" w:lineRule="exact"/>
        <w:rPr>
          <w:rFonts w:ascii="Times New Roman" w:cs="Times New Roman" w:eastAsia="Times New Roman" w:hAnsi="Times New Roman"/>
          <w:sz w:val="18"/>
          <w:szCs w:val="18"/>
          <w:color w:val="auto"/>
        </w:rPr>
      </w:pPr>
    </w:p>
    <w:p>
      <w:pPr>
        <w:ind w:left="1040" w:right="1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4" w:name="page5"/>
    <w:bookmarkEnd w:id="4"/>
    <w:p>
      <w:pPr>
        <w:ind w:left="1040" w:right="320" w:hanging="465"/>
        <w:spacing w:after="0" w:line="23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85" w:lineRule="exact"/>
        <w:rPr>
          <w:rFonts w:ascii="Times New Roman" w:cs="Times New Roman" w:eastAsia="Times New Roman" w:hAnsi="Times New Roman"/>
          <w:sz w:val="18"/>
          <w:szCs w:val="18"/>
          <w:color w:val="auto"/>
        </w:rPr>
      </w:pPr>
    </w:p>
    <w:p>
      <w:pPr>
        <w:ind w:left="1040" w:right="18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1" w:lineRule="exact"/>
        <w:rPr>
          <w:rFonts w:ascii="Times New Roman" w:cs="Times New Roman" w:eastAsia="Times New Roman" w:hAnsi="Times New Roman"/>
          <w:sz w:val="18"/>
          <w:szCs w:val="18"/>
          <w:color w:val="auto"/>
        </w:rPr>
      </w:pPr>
    </w:p>
    <w:p>
      <w:pPr>
        <w:ind w:left="1040" w:right="10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1" w:lineRule="exact"/>
        <w:rPr>
          <w:rFonts w:ascii="Times New Roman" w:cs="Times New Roman" w:eastAsia="Times New Roman" w:hAnsi="Times New Roman"/>
          <w:sz w:val="18"/>
          <w:szCs w:val="18"/>
          <w:color w:val="auto"/>
        </w:rPr>
      </w:pPr>
    </w:p>
    <w:p>
      <w:pPr>
        <w:ind w:left="1040" w:right="44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76" w:lineRule="exact"/>
        <w:rPr>
          <w:rFonts w:ascii="Times New Roman" w:cs="Times New Roman" w:eastAsia="Times New Roman" w:hAnsi="Times New Roman"/>
          <w:sz w:val="18"/>
          <w:szCs w:val="18"/>
          <w:color w:val="auto"/>
        </w:rPr>
      </w:pPr>
    </w:p>
    <w:p>
      <w:pPr>
        <w:ind w:left="1040" w:right="80" w:hanging="452"/>
        <w:spacing w:after="0" w:line="23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rFonts w:ascii="Times New Roman" w:cs="Times New Roman" w:eastAsia="Times New Roman" w:hAnsi="Times New Roman"/>
          <w:sz w:val="18"/>
          <w:szCs w:val="18"/>
          <w:color w:val="auto"/>
        </w:rPr>
      </w:pPr>
    </w:p>
    <w:p>
      <w:pPr>
        <w:ind w:left="1040" w:right="36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or settlement costs resulting from claims that we or our employees have violated the intellectual property rights of third parties, or are in breach of our agreements.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78" w:lineRule="exact"/>
        <w:rPr>
          <w:sz w:val="20"/>
          <w:szCs w:val="20"/>
          <w:color w:val="auto"/>
        </w:rPr>
      </w:pPr>
    </w:p>
    <w:p>
      <w:pPr>
        <w:ind w:left="1040" w:right="60" w:hanging="452"/>
        <w:spacing w:after="0" w:line="23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171" w:lineRule="exact"/>
        <w:rPr>
          <w:rFonts w:ascii="Times New Roman" w:cs="Times New Roman" w:eastAsia="Times New Roman" w:hAnsi="Times New Roman"/>
          <w:sz w:val="18"/>
          <w:szCs w:val="18"/>
          <w:color w:val="auto"/>
        </w:rPr>
      </w:pPr>
    </w:p>
    <w:p>
      <w:pPr>
        <w:ind w:left="1040" w:right="30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w:t>
      </w:r>
    </w:p>
    <w:p>
      <w:pPr>
        <w:spacing w:after="0" w:line="162"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76"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62" w:lineRule="exact"/>
        <w:rPr>
          <w:rFonts w:ascii="Times New Roman" w:cs="Times New Roman" w:eastAsia="Times New Roman" w:hAnsi="Times New Roman"/>
          <w:sz w:val="18"/>
          <w:szCs w:val="18"/>
          <w:color w:val="auto"/>
        </w:rPr>
      </w:pPr>
    </w:p>
    <w:p>
      <w:pPr>
        <w:ind w:left="1040" w:right="220" w:hanging="452"/>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172"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5" w:name="page6"/>
    <w:bookmarkEnd w:id="5"/>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98"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2" w:lineRule="exact"/>
        <w:rPr>
          <w:rFonts w:ascii="Times New Roman" w:cs="Times New Roman" w:eastAsia="Times New Roman" w:hAnsi="Times New Roman"/>
          <w:sz w:val="18"/>
          <w:szCs w:val="18"/>
          <w:color w:val="auto"/>
        </w:rPr>
      </w:pPr>
    </w:p>
    <w:p>
      <w:pPr>
        <w:ind w:left="1040" w:right="1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6"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11" w:lineRule="exact"/>
        <w:rPr>
          <w:rFonts w:ascii="Times New Roman" w:cs="Times New Roman" w:eastAsia="Times New Roman" w:hAnsi="Times New Roman"/>
          <w:sz w:val="18"/>
          <w:szCs w:val="18"/>
          <w:color w:val="auto"/>
        </w:rPr>
      </w:pPr>
    </w:p>
    <w:p>
      <w:pPr>
        <w:ind w:left="1040" w:right="100" w:hanging="452"/>
        <w:spacing w:after="0" w:line="279"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39" w:lineRule="exact"/>
        <w:rPr>
          <w:rFonts w:ascii="Times New Roman" w:cs="Times New Roman" w:eastAsia="Times New Roman" w:hAnsi="Times New Roman"/>
          <w:sz w:val="17"/>
          <w:szCs w:val="17"/>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Quarterly Report on Form 10-Q under the section titled “Risk Factors.”</w:t>
      </w:r>
    </w:p>
    <w:p>
      <w:pPr>
        <w:spacing w:after="0" w:line="21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of this Quarterly Report on Form 10-Q.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all such risks. We do not undertake any obligation to update or revise any forward-looking statements, whether as a result of new information, future events or otherwise, except as may be required under applicable securities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Corporate Website</w:t>
      </w:r>
    </w:p>
    <w:p>
      <w:pPr>
        <w:spacing w:after="0" w:line="21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104,582</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311,774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436,085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448,399</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149,695</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as of June 30, 2022 and December 31, 2021, respectively</w:t>
            </w: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Common stock, $0.001 par value; 200,000,000 shares</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9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authorized at June 30, 2022 and December 31, 2021;</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87,997,949 and 87,598,184 shares issued and outstanding as of</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June 30, 2022 and December 31, 2021, respectively</w:t>
            </w:r>
          </w:p>
        </w:tc>
        <w:tc>
          <w:tcPr>
            <w:tcW w:w="2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514,365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506,760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(4,347 )</w:t>
            </w:r>
          </w:p>
        </w:tc>
        <w:tc>
          <w:tcPr>
            <w:tcW w:w="1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(765 )</w:t>
            </w: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(211,402 )</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(161,336 )</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298,704</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448,399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-3316605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-3316605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-2270760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-2270760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-1756410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-1756410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-299720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0" w:right="899" w:bottom="1440" w:gutter="0" w:footer="0" w:header="0"/>
        </w:sectPr>
      </w:pPr>
    </w:p>
    <w:bookmarkStart w:id="8" w:name="page9"/>
    <w:bookmarkEnd w:id="8"/>
    <w:p>
      <w:pPr>
        <w:ind w:left="37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20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5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09"/>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8"/>
                <w:szCs w:val="18"/>
                <w:color w:val="auto"/>
              </w:rPr>
            </w:pPr>
          </w:p>
        </w:tc>
      </w:tr>
      <w:tr>
        <w:trPr>
          <w:trHeight w:val="209"/>
        </w:trPr>
        <w:tc>
          <w:tcPr>
            <w:tcW w:w="5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(25,202 )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(4,556 )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(50,581 )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(16,637 )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0"/>
        </w:trPr>
        <w:tc>
          <w:tcPr>
            <w:tcW w:w="51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FF0FC"/>
            </w:tcBorders>
          </w:tcPr>
          <w:p>
            <w:pPr>
              <w:spacing w:after="0"/>
              <w:rPr>
                <w:sz w:val="18"/>
                <w:szCs w:val="18"/>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(0.09 )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(0.57 )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(0.37 )</w:t>
            </w:r>
          </w:p>
        </w:tc>
      </w:tr>
      <w:tr>
        <w:trPr>
          <w:trHeight w:val="171"/>
        </w:trPr>
        <w:tc>
          <w:tcPr>
            <w:tcW w:w="51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87,839,804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48,524,511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87,775,440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45,088,434</w:t>
            </w:r>
          </w:p>
        </w:tc>
        <w:tc>
          <w:tcPr>
            <w:tcW w:w="100" w:type="dxa"/>
            <w:vAlign w:val="bottom"/>
          </w:tcPr>
          <w:p>
            <w:pPr>
              <w:spacing w:after="0"/>
              <w:rPr>
                <w:sz w:val="20"/>
                <w:szCs w:val="20"/>
                <w:color w:val="auto"/>
              </w:rPr>
            </w:pPr>
          </w:p>
        </w:tc>
      </w:tr>
      <w:tr>
        <w:trPr>
          <w:trHeight w:val="216"/>
        </w:trPr>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(24,858 )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(4,493 )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(50,066 )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(16,599 )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(937 )</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(3,582 )</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-2957195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-2957195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-2957195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-2957195</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-2391410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-2391410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-2391410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-2391410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-1833880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-1833880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-1833880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-1833880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-1259205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-1259205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-1259205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-1259205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9" w:name="page10"/>
    <w:bookmarkEnd w:id="9"/>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STOCK AND STOCKHOLDERS’ EQUITY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920" w:type="dxa"/>
            <w:vAlign w:val="bottom"/>
            <w:gridSpan w:val="2"/>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left="198"/>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3"/>
                <w:szCs w:val="13"/>
                <w:color w:val="auto"/>
              </w:rPr>
            </w:pPr>
          </w:p>
        </w:tc>
        <w:tc>
          <w:tcPr>
            <w:tcW w:w="1380" w:type="dxa"/>
            <w:vAlign w:val="bottom"/>
            <w:gridSpan w:val="5"/>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5"/>
          </w:tcPr>
          <w:p>
            <w:pPr>
              <w:jc w:val="right"/>
              <w:ind w:right="473"/>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920" w:type="dxa"/>
            <w:vAlign w:val="bottom"/>
            <w:gridSpan w:val="2"/>
          </w:tcPr>
          <w:p>
            <w:pPr>
              <w:jc w:val="center"/>
              <w:ind w:left="198"/>
              <w:spacing w:after="0" w:line="136"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80"/>
              <w:spacing w:after="0" w:line="136"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87,598,184</w:t>
            </w:r>
          </w:p>
        </w:tc>
        <w:tc>
          <w:tcPr>
            <w:tcW w:w="2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506,760</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center"/>
              <w:ind w:right="1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(161,336</w:t>
            </w:r>
          </w:p>
        </w:tc>
        <w:tc>
          <w:tcPr>
            <w:tcW w:w="200" w:type="dxa"/>
            <w:vAlign w:val="bottom"/>
            <w:tcBorders>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344,747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111,315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Business combination and PIPE financing,</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(2,645 )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(2,645 )</w:t>
            </w:r>
          </w:p>
        </w:tc>
        <w:tc>
          <w:tcPr>
            <w:tcW w:w="0" w:type="dxa"/>
            <w:vAlign w:val="bottom"/>
          </w:tcPr>
          <w:p>
            <w:pPr>
              <w:spacing w:after="0"/>
              <w:rPr>
                <w:sz w:val="1"/>
                <w:szCs w:val="1"/>
                <w:color w:val="auto"/>
              </w:rPr>
            </w:pPr>
          </w:p>
        </w:tc>
      </w:tr>
      <w:tr>
        <w:trPr>
          <w:trHeight w:val="17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color w:val="auto"/>
              </w:rPr>
              <w:t>(25,208 )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(25,208 )</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87,709,499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510,222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center"/>
              <w:ind w:right="1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(186,544</w:t>
            </w:r>
          </w:p>
        </w:tc>
        <w:tc>
          <w:tcPr>
            <w:tcW w:w="200" w:type="dxa"/>
            <w:vAlign w:val="bottom"/>
            <w:tcBorders>
              <w:bottom w:val="single" w:sz="8" w:color="CFF0FC"/>
              <w:righ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from exercise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288,450</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(937 )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(937 )</w:t>
            </w:r>
          </w:p>
        </w:tc>
        <w:tc>
          <w:tcPr>
            <w:tcW w:w="0" w:type="dxa"/>
            <w:vAlign w:val="bottom"/>
          </w:tcPr>
          <w:p>
            <w:pPr>
              <w:spacing w:after="0"/>
              <w:rPr>
                <w:sz w:val="1"/>
                <w:szCs w:val="1"/>
                <w:color w:val="auto"/>
              </w:rPr>
            </w:pPr>
          </w:p>
        </w:tc>
      </w:tr>
      <w:tr>
        <w:trPr>
          <w:trHeight w:val="175"/>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w w:val="76"/>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(24,858 )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(24,858 )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2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87,997,949</w:t>
            </w:r>
          </w:p>
        </w:tc>
        <w:tc>
          <w:tcPr>
            <w:tcW w:w="2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514,365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(4,347 )</w:t>
            </w:r>
          </w:p>
        </w:tc>
        <w:tc>
          <w:tcPr>
            <w:tcW w:w="42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73"/>
              <w:spacing w:after="0"/>
              <w:rPr>
                <w:sz w:val="20"/>
                <w:szCs w:val="20"/>
                <w:color w:val="auto"/>
              </w:rPr>
            </w:pPr>
            <w:r>
              <w:rPr>
                <w:rFonts w:ascii="Times New Roman" w:cs="Times New Roman" w:eastAsia="Times New Roman" w:hAnsi="Times New Roman"/>
                <w:sz w:val="13"/>
                <w:szCs w:val="13"/>
                <w:color w:val="auto"/>
              </w:rPr>
              <w:t>(211,402 )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6"/>
            <w:vMerge w:val="restart"/>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12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3"/>
                <w:szCs w:val="13"/>
                <w:color w:val="auto"/>
              </w:rPr>
            </w:pPr>
          </w:p>
        </w:tc>
        <w:tc>
          <w:tcPr>
            <w:tcW w:w="920" w:type="dxa"/>
            <w:vAlign w:val="bottom"/>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53"/>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40,372,133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141,644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(103,101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B redeemable</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4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3"/>
                <w:szCs w:val="13"/>
                <w:color w:val="auto"/>
              </w:rPr>
              <w:t>convertible preferred stock, net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issuance costs of $0.1 million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22,686,025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6"/>
        </w:trPr>
        <w:tc>
          <w:tcPr>
            <w:tcW w:w="2420" w:type="dxa"/>
            <w:vAlign w:val="bottom"/>
            <w:gridSpan w:val="2"/>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64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(22,686,02</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5 )</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3"/>
            <w:shd w:val="clear" w:color="auto" w:fill="CFF0FC"/>
          </w:tcPr>
          <w:p>
            <w:pPr>
              <w:jc w:val="right"/>
              <w:ind w:right="122"/>
              <w:spacing w:after="0"/>
              <w:rPr>
                <w:sz w:val="20"/>
                <w:szCs w:val="20"/>
                <w:color w:val="auto"/>
              </w:rPr>
            </w:pPr>
            <w:r>
              <w:rPr>
                <w:rFonts w:ascii="Times New Roman" w:cs="Times New Roman" w:eastAsia="Times New Roman" w:hAnsi="Times New Roman"/>
                <w:sz w:val="13"/>
                <w:szCs w:val="13"/>
                <w:color w:val="auto"/>
              </w:rPr>
              <w:t>(29,990 )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7,706,861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0"/>
                <w:szCs w:val="10"/>
                <w:color w:val="auto"/>
                <w:w w:val="79"/>
              </w:rPr>
              <w:t>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304,080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ind w:left="800"/>
              <w:spacing w:after="0"/>
              <w:rPr>
                <w:sz w:val="20"/>
                <w:szCs w:val="20"/>
                <w:color w:val="auto"/>
              </w:rPr>
            </w:pPr>
            <w:r>
              <w:rPr>
                <w:rFonts w:ascii="Times New Roman" w:cs="Times New Roman" w:eastAsia="Times New Roman" w:hAnsi="Times New Roman"/>
                <w:sz w:val="10"/>
                <w:szCs w:val="10"/>
                <w:color w:val="auto"/>
                <w:w w:val="79"/>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(12,106 )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(12,106 )</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48,383,074</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173,017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Exercise of stock options</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82"/>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2"/>
                <w:szCs w:val="12"/>
                <w:color w:val="auto"/>
              </w:rPr>
            </w:pPr>
          </w:p>
        </w:tc>
        <w:tc>
          <w:tcPr>
            <w:tcW w:w="64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color w:val="auto"/>
              </w:rPr>
              <w:t>210,748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7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gridSpan w:val="2"/>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2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tcBorders>
              <w:right w:val="single" w:sz="8" w:color="auto"/>
            </w:tcBorders>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right w:val="single" w:sz="8" w:color="auto"/>
            </w:tcBorders>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(4,493 )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(4,493 )</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48,593,822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right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w w:val="91"/>
              </w:rPr>
              <w:t>49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174,540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(119,700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-3282315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-3265170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-3282315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-3265170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-3282315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-3265170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-3282315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-3265170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-3282315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-3265170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-2725420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-2725420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-2725420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-2725420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-2725420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-745490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-745490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-762000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-745490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-745490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-745490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-745490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-745490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(50,066 )</w:t>
            </w: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(16,599 )</w:t>
            </w: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16"/>
        </w:trPr>
        <w:tc>
          <w:tcPr>
            <w:tcW w:w="7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16"/>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(7,529 )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(9,539 )</w:t>
            </w:r>
          </w:p>
        </w:tc>
      </w:tr>
      <w:tr>
        <w:trPr>
          <w:trHeight w:val="209"/>
        </w:trPr>
        <w:tc>
          <w:tcPr>
            <w:tcW w:w="7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100,471</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(70,492 )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(86,117 )</w:t>
            </w:r>
          </w:p>
        </w:tc>
      </w:tr>
      <w:tr>
        <w:trPr>
          <w:trHeight w:val="209"/>
        </w:trPr>
        <w:tc>
          <w:tcPr>
            <w:tcW w:w="7720" w:type="dxa"/>
            <w:vAlign w:val="bottom"/>
            <w:tcBorders>
              <w:top w:val="single" w:sz="8" w:color="CFF0FC"/>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tcPr>
          <w:p>
            <w:pPr>
              <w:spacing w:after="0"/>
              <w:rPr>
                <w:sz w:val="18"/>
                <w:szCs w:val="18"/>
                <w:color w:val="auto"/>
              </w:rPr>
            </w:pPr>
          </w:p>
        </w:tc>
      </w:tr>
      <w:tr>
        <w:trPr>
          <w:trHeight w:val="171"/>
        </w:trPr>
        <w:tc>
          <w:tcPr>
            <w:tcW w:w="7720" w:type="dxa"/>
            <w:vAlign w:val="bottom"/>
            <w:gridSpan w:val="2"/>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under ESPP</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 of Business Combination and PIPE Financing transaction costs</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(1,089 )</w:t>
            </w:r>
          </w:p>
        </w:tc>
      </w:tr>
      <w:tr>
        <w:trPr>
          <w:trHeight w:val="210"/>
        </w:trPr>
        <w:tc>
          <w:tcPr>
            <w:tcW w:w="772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(36,452 )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145,024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108,572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100" w:type="dxa"/>
            <w:vAlign w:val="bottom"/>
          </w:tcPr>
          <w:p>
            <w:pPr>
              <w:spacing w:after="0"/>
              <w:rPr>
                <w:sz w:val="24"/>
                <w:szCs w:val="24"/>
                <w:color w:val="auto"/>
              </w:rPr>
            </w:pPr>
          </w:p>
        </w:tc>
      </w:tr>
      <w:tr>
        <w:trPr>
          <w:trHeight w:val="210"/>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171"/>
        </w:trPr>
        <w:tc>
          <w:tcPr>
            <w:tcW w:w="75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Merger with BCTG and PIPE financing deferred offering costs included in accounts payable and</w:t>
            </w:r>
          </w:p>
        </w:tc>
        <w:tc>
          <w:tcPr>
            <w:tcW w:w="180" w:type="dxa"/>
            <w:vAlign w:val="bottom"/>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-2468245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-1233805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54"/>
        <w:spacing w:after="0" w:line="247"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was incorporated in Delaware on May 21, 2020. On April 13, 2021, the Company, BCTG Merger Sub Inc., a Delaware corporation, and Tango Therapeutics, Inc. (now known as Tango Therapeutics Sub, Inc. or “Old Tango”) signed a definitive merger agreement (the "Merger Agreement").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BCTG was renamed Tango Therapeutics, Inc.</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9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2022 and 2021 are not necessarily indicative of the results for the year ending December 31, 2022, any other interim periods, or any future year or period. The unaudited condensed consolidated financial statements for the three and six months ended June 30, 2022 and 2021 have been prepared on the same basis as and should be read in conjunction with the audited consolidated financial statements and notes included in the Company’s Annual Report on Form 10-K for the year ended December 31, 2021 as filed with the SEC on March 28, 2022.</w:t>
      </w:r>
    </w:p>
    <w:p>
      <w:pPr>
        <w:spacing w:after="0" w:line="19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2021.</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(as noted above) BCTG changed its name to “Tango Therapeutics, Inc.”, or New Tango.</w:t>
      </w:r>
    </w:p>
    <w:p>
      <w:pPr>
        <w:spacing w:after="0" w:line="19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and PIPE Financing transaction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paid</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(15,844 )</w:t>
            </w:r>
          </w:p>
        </w:tc>
      </w:tr>
      <w:tr>
        <w:trPr>
          <w:trHeight w:val="210"/>
        </w:trPr>
        <w:tc>
          <w:tcPr>
            <w:tcW w:w="7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proceeds from the Business Combination and PIPE Financing</w:t>
            </w: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326,269</w:t>
            </w:r>
          </w:p>
        </w:tc>
        <w:tc>
          <w:tcPr>
            <w:tcW w:w="100" w:type="dxa"/>
            <w:vAlign w:val="bottom"/>
            <w:tcBorders>
              <w:top w:val="single" w:sz="8" w:color="CCEEFF"/>
            </w:tcBorders>
          </w:tcPr>
          <w:p>
            <w:pPr>
              <w:spacing w:after="0"/>
              <w:rPr>
                <w:sz w:val="18"/>
                <w:szCs w:val="18"/>
                <w:color w:val="auto"/>
              </w:rPr>
            </w:pPr>
          </w:p>
        </w:tc>
      </w:tr>
      <w:tr>
        <w:trPr>
          <w:trHeight w:val="216"/>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326,272</w:t>
            </w:r>
          </w:p>
        </w:tc>
        <w:tc>
          <w:tcPr>
            <w:tcW w:w="100" w:type="dxa"/>
            <w:vAlign w:val="bottom"/>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 and PIPE Financing transaction: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BCTG common shares outstanding prior to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21,377,250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BCTG shares</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(1,106,814 )</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BCTG outstanding as of the Business Combination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18,610,000</w:t>
            </w:r>
          </w:p>
        </w:tc>
        <w:tc>
          <w:tcPr>
            <w:tcW w:w="100" w:type="dxa"/>
            <w:vAlign w:val="bottom"/>
          </w:tcPr>
          <w:p>
            <w:pPr>
              <w:spacing w:after="0"/>
              <w:rPr>
                <w:sz w:val="18"/>
                <w:szCs w:val="18"/>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38,880,436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Tango common shares (after preferred shares were converted 1-for-1 for common shares)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48,593,803</w:t>
            </w:r>
          </w:p>
        </w:tc>
        <w:tc>
          <w:tcPr>
            <w:tcW w:w="100" w:type="dxa"/>
            <w:vAlign w:val="bottom"/>
          </w:tcPr>
          <w:p>
            <w:pPr>
              <w:spacing w:after="0"/>
              <w:rPr>
                <w:sz w:val="18"/>
                <w:szCs w:val="18"/>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 consummation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87,474,239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merger consideration of 55,000,000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Retroactive Application of Recapitalization</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combined company comprises all of the ongoing operations of Old Tango, the combined company comprises a majority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governing body of Old Tango, and the combined company’s senior management comprises all of the senior management of Old Tango.</w:t>
      </w:r>
    </w:p>
    <w:p>
      <w:pPr>
        <w:spacing w:after="0" w:line="225"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6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w:t>
      </w:r>
    </w:p>
    <w:p>
      <w:pPr>
        <w:spacing w:after="0" w:line="169"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and/or in the related notes are presented on an as-converted basis, converted at the ratio of 0.34. The basic and diluted weighted-average shares of common stock outstanding for the three and six months ended June 30, 2021 has been retroactively converted using the exchange ratio of 0.34. The historical proceeds from the issuance of preferred stock, less the par value of the historical preferred shares that were converted into common shares using the 0.34 ratio at the Effective Time, have been reclassified to additional paid in capital for the three and six months ended June 30, 2021.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to</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21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22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Exchange</w:t>
            </w:r>
          </w:p>
        </w:tc>
        <w:tc>
          <w:tcPr>
            <w:tcW w:w="22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2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(tranche 2)</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common shares, basic and diluted, for the three months ended June 30,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2"/>
                <w:szCs w:val="12"/>
                <w:color w:val="auto"/>
              </w:rPr>
            </w:pPr>
          </w:p>
        </w:tc>
        <w:tc>
          <w:tcPr>
            <w:tcW w:w="1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2"/>
                <w:szCs w:val="12"/>
                <w:color w:val="auto"/>
              </w:rPr>
            </w:pP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Recapitalized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Outstanding</w:t>
            </w:r>
          </w:p>
        </w:tc>
        <w:tc>
          <w:tcPr>
            <w:tcW w:w="120" w:type="dxa"/>
            <w:vAlign w:val="bottom"/>
          </w:tcPr>
          <w:p>
            <w:pPr>
              <w:spacing w:after="0"/>
              <w:rPr>
                <w:sz w:val="12"/>
                <w:szCs w:val="12"/>
                <w:color w:val="auto"/>
              </w:rPr>
            </w:pPr>
          </w:p>
        </w:tc>
        <w:tc>
          <w:tcPr>
            <w:tcW w:w="8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common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Q2 2021</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20" w:type="dxa"/>
            <w:vAlign w:val="bottom"/>
            <w:shd w:val="clear" w:color="auto" w:fill="CFF0FC"/>
          </w:tcPr>
          <w:p>
            <w:pPr>
              <w:spacing w:after="0"/>
              <w:rPr>
                <w:sz w:val="12"/>
                <w:szCs w:val="12"/>
                <w:color w:val="auto"/>
              </w:rPr>
            </w:pPr>
          </w:p>
        </w:tc>
        <w:tc>
          <w:tcPr>
            <w:tcW w:w="1640" w:type="dxa"/>
            <w:vAlign w:val="bottom"/>
            <w:shd w:val="clear" w:color="auto" w:fill="CFF0FC"/>
          </w:tcPr>
          <w:p>
            <w:pPr>
              <w:ind w:left="20"/>
              <w:spacing w:after="0" w:line="147" w:lineRule="exact"/>
              <w:rPr>
                <w:sz w:val="20"/>
                <w:szCs w:val="20"/>
                <w:color w:val="auto"/>
              </w:rPr>
            </w:pPr>
            <w:r>
              <w:rPr>
                <w:rFonts w:ascii="Times New Roman" w:cs="Times New Roman" w:eastAsia="Times New Roman" w:hAnsi="Times New Roman"/>
                <w:sz w:val="14"/>
                <w:szCs w:val="14"/>
                <w:color w:val="auto"/>
              </w:rPr>
              <w:t>Weighted-average shares,</w:t>
            </w:r>
          </w:p>
        </w:tc>
        <w:tc>
          <w:tcPr>
            <w:tcW w:w="17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14,485,746</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4,965,270</w:t>
            </w:r>
          </w:p>
        </w:tc>
        <w:tc>
          <w:tcPr>
            <w:tcW w:w="134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4,965,270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780" w:type="dxa"/>
            <w:vAlign w:val="bottom"/>
            <w:gridSpan w:val="3"/>
            <w:vMerge w:val="continue"/>
            <w:shd w:val="clear" w:color="auto" w:fill="CFF0FC"/>
          </w:tcPr>
          <w:p>
            <w:pPr>
              <w:spacing w:after="0"/>
              <w:rPr>
                <w:sz w:val="14"/>
                <w:szCs w:val="14"/>
                <w:color w:val="auto"/>
              </w:rPr>
            </w:pPr>
          </w:p>
        </w:tc>
        <w:tc>
          <w:tcPr>
            <w:tcW w:w="1460" w:type="dxa"/>
            <w:vAlign w:val="bottom"/>
            <w:gridSpan w:val="2"/>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shares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shares</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34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2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B-1 shares</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3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shares (tranche 2)</w:t>
            </w:r>
          </w:p>
        </w:tc>
        <w:tc>
          <w:tcPr>
            <w:tcW w:w="178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340" w:type="dxa"/>
            <w:vAlign w:val="bottom"/>
            <w:tcBorders>
              <w:bottom w:val="single" w:sz="8" w:color="CFF0FC"/>
            </w:tcBorders>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940" w:type="dxa"/>
            <w:vAlign w:val="bottom"/>
            <w:gridSpan w:val="11"/>
          </w:tcPr>
          <w:p>
            <w:pPr>
              <w:ind w:left="100"/>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 and diluted for the three months ended June 30, 2021</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48,524,511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common shares, basic and diluted, for the six months ended June 30, 2021:</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40" w:type="dxa"/>
            <w:vAlign w:val="bottom"/>
          </w:tcPr>
          <w:p>
            <w:pPr>
              <w:spacing w:after="0"/>
              <w:rPr>
                <w:sz w:val="13"/>
                <w:szCs w:val="13"/>
                <w:color w:val="auto"/>
              </w:rPr>
            </w:pPr>
          </w:p>
        </w:tc>
        <w:tc>
          <w:tcPr>
            <w:tcW w:w="122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3"/>
                <w:szCs w:val="13"/>
                <w:color w:val="auto"/>
              </w:rPr>
            </w:pPr>
          </w:p>
        </w:tc>
        <w:tc>
          <w:tcPr>
            <w:tcW w:w="120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Recapitalized</w:t>
            </w:r>
          </w:p>
        </w:tc>
        <w:tc>
          <w:tcPr>
            <w:tcW w:w="220" w:type="dxa"/>
            <w:vAlign w:val="bottom"/>
          </w:tcPr>
          <w:p>
            <w:pPr>
              <w:spacing w:after="0"/>
              <w:rPr>
                <w:sz w:val="13"/>
                <w:szCs w:val="13"/>
                <w:color w:val="auto"/>
              </w:rPr>
            </w:pPr>
          </w:p>
        </w:tc>
        <w:tc>
          <w:tcPr>
            <w:tcW w:w="112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in</w:t>
            </w:r>
          </w:p>
        </w:tc>
        <w:tc>
          <w:tcPr>
            <w:tcW w:w="1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average common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2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Weighted-average shares,</w:t>
            </w:r>
          </w:p>
        </w:tc>
        <w:tc>
          <w:tcPr>
            <w:tcW w:w="17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14,214,543</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4,807,132</w:t>
            </w:r>
          </w:p>
        </w:tc>
        <w:tc>
          <w:tcPr>
            <w:tcW w:w="134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vMerge w:val="restart"/>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4,807,132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2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700" w:type="dxa"/>
            <w:vAlign w:val="bottom"/>
            <w:gridSpan w:val="3"/>
            <w:vMerge w:val="continue"/>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1420" w:type="dxa"/>
            <w:vAlign w:val="bottom"/>
            <w:gridSpan w:val="2"/>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3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w:t>
            </w:r>
          </w:p>
        </w:tc>
        <w:tc>
          <w:tcPr>
            <w:tcW w:w="1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34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Series B-1 shares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3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181</w:t>
            </w:r>
          </w:p>
        </w:tc>
        <w:tc>
          <w:tcPr>
            <w:tcW w:w="9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 (tranche 2)</w:t>
            </w:r>
          </w:p>
        </w:tc>
        <w:tc>
          <w:tcPr>
            <w:tcW w:w="17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340" w:type="dxa"/>
            <w:vAlign w:val="bottom"/>
            <w:tcBorders>
              <w:bottom w:val="single" w:sz="8" w:color="CFF0FC"/>
            </w:tcBorders>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105</w:t>
            </w:r>
          </w:p>
        </w:tc>
        <w:tc>
          <w:tcPr>
            <w:tcW w:w="900" w:type="dxa"/>
            <w:vAlign w:val="bottom"/>
            <w:tcBorders>
              <w:bottom w:val="single" w:sz="8" w:color="CFF0FC"/>
            </w:tcBorders>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4,428,922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gridSpan w:val="11"/>
          </w:tcPr>
          <w:p>
            <w:pPr>
              <w:ind w:left="80"/>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 and diluted for the six months ended June 30, 2021</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45,088,434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-145415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ind w:left="520" w:right="8700" w:hanging="512"/>
        <w:spacing w:after="0" w:line="524" w:lineRule="auto"/>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Agreements </w:t>
      </w:r>
      <w:r>
        <w:rPr>
          <w:rFonts w:ascii="Times New Roman" w:cs="Times New Roman" w:eastAsia="Times New Roman" w:hAnsi="Times New Roman"/>
          <w:sz w:val="17"/>
          <w:szCs w:val="17"/>
          <w:b w:val="1"/>
          <w:bCs w:val="1"/>
          <w:i w:val="1"/>
          <w:iCs w:val="1"/>
          <w:color w:val="auto"/>
        </w:rPr>
        <w:t>2018 Gilead Agreement</w:t>
      </w:r>
    </w:p>
    <w:p>
      <w:pPr>
        <w:spacing w:after="0" w:line="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9"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Gilead Agreement</w:t>
      </w:r>
    </w:p>
    <w:p>
      <w:pPr>
        <w:spacing w:after="0" w:line="229"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August 2020, Gilead made an equity investment of $20.0 million into the Company as a participant in the Company’s Series B-1 preferred stock offering. At the time of the original investment, as well as of the June 30, 2022 balance sheet date, Gilead maintains an ownership of less than 10% of the Company's common stock and is thus not considered to be a related party to the Company.</w:t>
      </w:r>
    </w:p>
    <w:p>
      <w:pPr>
        <w:spacing w:after="0" w:line="19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2"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67" w:lineRule="exact"/>
        <w:rPr>
          <w:rFonts w:ascii="Times New Roman" w:cs="Times New Roman" w:eastAsia="Times New Roman" w:hAnsi="Times New Roman"/>
          <w:sz w:val="18"/>
          <w:szCs w:val="18"/>
          <w:color w:val="auto"/>
        </w:rPr>
      </w:pPr>
    </w:p>
    <w:p>
      <w:pPr>
        <w:ind w:left="1020" w:right="7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4" w:lineRule="exact"/>
        <w:rPr>
          <w:rFonts w:ascii="Times New Roman" w:cs="Times New Roman" w:eastAsia="Times New Roman" w:hAnsi="Times New Roman"/>
          <w:sz w:val="18"/>
          <w:szCs w:val="18"/>
          <w:color w:val="auto"/>
        </w:rPr>
      </w:pPr>
    </w:p>
    <w:p>
      <w:pPr>
        <w:jc w:val="both"/>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40"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48"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extension, and clinical, regulatory, and commercial milestones and royalties on future sales of commercialized products, if any.</w:t>
      </w:r>
    </w:p>
    <w:p>
      <w:pPr>
        <w:spacing w:after="0" w:line="17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8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June 30, 2022.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six months ended June 30, 2022 and 2021, the Company recognized $11.5 million and $13.5 million, respectively, of collaboration revenue associated with the Gilead agreements based on performance completed during each period.</w:t>
      </w:r>
    </w:p>
    <w:p>
      <w:pPr>
        <w:spacing w:after="0" w:line="181"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2022 and December 31, 2021, the Company had short-term deferred revenue of $28.2 million and $26.0 million, respectively, and long-term deferred revenue of $105.0 million and $114.7 million, respectively, related to the Gilead collaboration. The remaining long-term revenue is expected to be recognized proportionally to the completed obligations over an expected remaining contractual term of approximately 5.1 years.</w:t>
      </w:r>
    </w:p>
    <w:p>
      <w:pPr>
        <w:spacing w:after="0" w:line="180" w:lineRule="exact"/>
        <w:rPr>
          <w:sz w:val="20"/>
          <w:szCs w:val="20"/>
          <w:color w:val="auto"/>
        </w:rPr>
      </w:pPr>
    </w:p>
    <w:p>
      <w:pPr>
        <w:ind w:right="320" w:firstLine="509"/>
        <w:spacing w:after="0" w:line="246"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 As of June 30, 2022, $6.0 million of the ongoing research extension fee total of $12.0 million had been received, $2.0 million had been recorded as accounts receivable and the remaining $4.0 million was determined to be conditional upon the satisfaction of additional research obligations, and thus a contract asset. The contract asset balance is presented net of the deferred revenue contract liability.</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20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324,667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363,970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-513715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-496570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-513715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-496570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-513715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six months ended June 30, 2022.</w:t>
      </w:r>
    </w:p>
    <w:p>
      <w:pPr>
        <w:spacing w:after="0" w:line="2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2022</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6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960" w:type="dxa"/>
            <w:vAlign w:val="bottom"/>
          </w:tcPr>
          <w:p>
            <w:pPr>
              <w:jc w:val="center"/>
              <w:ind w:left="165"/>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840" w:type="dxa"/>
            <w:vAlign w:val="bottom"/>
          </w:tcPr>
          <w:p>
            <w:pPr>
              <w:jc w:val="center"/>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9"/>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239,660</w:t>
            </w:r>
          </w:p>
        </w:tc>
        <w:tc>
          <w:tcPr>
            <w:tcW w:w="1200" w:type="dxa"/>
            <w:vAlign w:val="bottom"/>
            <w:gridSpan w:val="2"/>
          </w:tcPr>
          <w:p>
            <w:pPr>
              <w:jc w:val="right"/>
              <w:ind w:right="78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236,359</w:t>
            </w:r>
          </w:p>
        </w:tc>
        <w:tc>
          <w:tcPr>
            <w:tcW w:w="100" w:type="dxa"/>
            <w:vAlign w:val="bottom"/>
          </w:tcPr>
          <w:p>
            <w:pPr>
              <w:spacing w:after="0"/>
              <w:rPr>
                <w:sz w:val="18"/>
                <w:szCs w:val="18"/>
                <w:color w:val="auto"/>
              </w:rPr>
            </w:pP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76,461</w:t>
            </w: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(1,052 )</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100" w:type="dxa"/>
            <w:vAlign w:val="bottom"/>
            <w:shd w:val="clear" w:color="auto" w:fill="CFF0FC"/>
          </w:tcPr>
          <w:p>
            <w:pPr>
              <w:spacing w:after="0"/>
              <w:rPr>
                <w:sz w:val="18"/>
                <w:szCs w:val="18"/>
                <w:color w:val="auto"/>
              </w:rPr>
            </w:pPr>
          </w:p>
        </w:tc>
      </w:tr>
      <w:tr>
        <w:trPr>
          <w:trHeight w:val="20"/>
        </w:trPr>
        <w:tc>
          <w:tcPr>
            <w:tcW w:w="50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316,121</w:t>
            </w:r>
          </w:p>
        </w:tc>
        <w:tc>
          <w:tcPr>
            <w:tcW w:w="240" w:type="dxa"/>
            <w:vAlign w:val="bottom"/>
          </w:tcPr>
          <w:p>
            <w:pPr>
              <w:spacing w:after="0"/>
              <w:rPr>
                <w:sz w:val="18"/>
                <w:szCs w:val="18"/>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311,774</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ind w:left="12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960" w:type="dxa"/>
            <w:vAlign w:val="bottom"/>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8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r>
      <w:tr>
        <w:trPr>
          <w:trHeight w:val="187"/>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c>
          <w:tcPr>
            <w:tcW w:w="120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center"/>
              <w:ind w:lef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tcPr>
          <w:p>
            <w:pPr>
              <w:spacing w:after="0"/>
              <w:rPr>
                <w:sz w:val="18"/>
                <w:szCs w:val="18"/>
                <w:color w:val="auto"/>
              </w:rPr>
            </w:pP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0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24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(189 )</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shd w:val="clear" w:color="auto" w:fill="CFF0FC"/>
          </w:tcPr>
          <w:p>
            <w:pPr>
              <w:spacing w:after="0"/>
              <w:rPr>
                <w:sz w:val="18"/>
                <w:szCs w:val="18"/>
                <w:color w:val="auto"/>
              </w:rPr>
            </w:pPr>
          </w:p>
        </w:tc>
      </w:tr>
      <w:tr>
        <w:trPr>
          <w:trHeight w:val="20"/>
        </w:trPr>
        <w:tc>
          <w:tcPr>
            <w:tcW w:w="50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240" w:type="dxa"/>
            <w:vAlign w:val="bottom"/>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342,510</w:t>
            </w:r>
          </w:p>
        </w:tc>
        <w:tc>
          <w:tcPr>
            <w:tcW w:w="10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-1431290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-1431290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-1431290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-1431290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$89.4 million as of June 30, 2022 with contractual maturity dates greater than one year.</w:t>
      </w:r>
    </w:p>
    <w:p>
      <w:pPr>
        <w:spacing w:after="0" w:line="17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holds investment grade marketable securities, with $4.4 million of U.S. Treasury bills and U.S. government agency bonds considered to be in an unrealized loss position as of June 30, 2022 and $0.8 million considered to be in an unrealized loss position as of December 31, 2021. Although these marketable securities are held at an unrealized loss position at June 30, 2022,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$0.3 million in accrued interest at June 30, 2022 and $0.2 million in accrued interest at December 31, 2021.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7" w:name="page18"/>
    <w:bookmarkEnd w:id="17"/>
    <w:p>
      <w:pPr>
        <w:ind w:left="520" w:right="7480" w:hanging="512"/>
        <w:spacing w:after="0" w:line="495" w:lineRule="auto"/>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June 30, 2022 and December 31, 2021 consists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r>
      <w:tr>
        <w:trPr>
          <w:trHeight w:val="210"/>
        </w:trPr>
        <w:tc>
          <w:tcPr>
            <w:tcW w:w="5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(3,143 )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(2,529 )</w:t>
            </w:r>
          </w:p>
        </w:tc>
      </w:tr>
      <w:tr>
        <w:trPr>
          <w:trHeight w:val="249"/>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$0.6 million and $0.4 million for the six months ended June 30, 2022 and 2021, respectively.</w:t>
      </w:r>
    </w:p>
    <w:p>
      <w:pPr>
        <w:spacing w:after="0" w:line="21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At June 30, 2022, the balance of construction in process includes construction costs for lessee-owned improvements and costs associated with laboratory equipment under installation at the leased office and laboratory premises at 201 Brookline Avenue. The in-progress construction projects are expected to be completed and the 201 Brookline Avenue lease is expected to commence in the third quarter of 2022.</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June 30, 2022 and December 31, 2021 include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340" w:type="dxa"/>
            <w:vAlign w:val="bottom"/>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34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2021, the Company maintained a restricted cash balance of $4.0 million and $2.3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tcBorders>
              <w:bottom w:val="single" w:sz="8" w:color="auto"/>
            </w:tcBorders>
            <w:gridSpan w:val="3"/>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42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50,902</w:t>
            </w: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6" w:lineRule="exact"/>
        <w:rPr>
          <w:sz w:val="20"/>
          <w:szCs w:val="20"/>
          <w:color w:val="auto"/>
        </w:rPr>
      </w:pPr>
    </w:p>
    <w:p>
      <w:pPr>
        <w:ind w:left="520" w:right="8100" w:hanging="512"/>
        <w:spacing w:after="0" w:line="524" w:lineRule="auto"/>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Other Funding Commitments</w:t>
      </w:r>
    </w:p>
    <w:p>
      <w:pPr>
        <w:spacing w:after="0" w:line="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ongoing preclinical and clinical studies. The Company enters into contracts in the normal course of business with contract research organizations in connection with the operation and preparation for clinical trials,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t>professional consultants for expert advice and other vendors for clinical supply manufacturing or other preclinical services. These contracts are generally cancellable, with notice, at the Company's option and do not have significant cancellation penalties.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1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The Company, from time to time, may be party to litigation arising in the ordinary course of business. The Company was not subject to any material legal proceedings as of June 30,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8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March 2021, Old Tango sold 22,686,025 additional shares of Series B stock at a price of $1.32 per share upon the achievement of specified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in connection with the second tranche of the Series B stock purchase agreement. Proceeds from this issuance totaled $30.0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issuance costs associated with the March 2021 issuance of Series B preferred stock was less than $0.1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Redeemable Convertible Preferred Stock</w:t>
      </w:r>
    </w:p>
    <w:p>
      <w:pPr>
        <w:spacing w:after="0" w:line="216"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June 30, 2022 and 2021. Refer to Note 3 for additional discussion.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June 30, 2022. The shares of preferred stock are currently undesignated.</w:t>
      </w:r>
    </w:p>
    <w:p>
      <w:pPr>
        <w:spacing w:after="0" w:line="186" w:lineRule="exact"/>
        <w:rPr>
          <w:sz w:val="20"/>
          <w:szCs w:val="20"/>
          <w:color w:val="auto"/>
        </w:rPr>
      </w:pPr>
    </w:p>
    <w:p>
      <w:pPr>
        <w:ind w:left="520" w:right="8600" w:hanging="512"/>
        <w:spacing w:after="0" w:line="516" w:lineRule="auto"/>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jc w:val="both"/>
        <w:ind w:right="440" w:firstLine="509"/>
        <w:spacing w:after="0" w:line="258" w:lineRule="auto"/>
        <w:rPr>
          <w:sz w:val="20"/>
          <w:szCs w:val="20"/>
          <w:color w:val="auto"/>
        </w:rPr>
      </w:pPr>
      <w:r>
        <w:rPr>
          <w:rFonts w:ascii="Times New Roman" w:cs="Times New Roman" w:eastAsia="Times New Roman" w:hAnsi="Times New Roman"/>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16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right="520"/>
        <w:spacing w:after="0" w:line="282" w:lineRule="auto"/>
        <w:rPr>
          <w:sz w:val="20"/>
          <w:szCs w:val="20"/>
          <w:color w:val="auto"/>
        </w:rPr>
      </w:pPr>
      <w:r>
        <w:rPr>
          <w:rFonts w:ascii="Times New Roman" w:cs="Times New Roman" w:eastAsia="Times New Roman" w:hAnsi="Times New Roman"/>
          <w:sz w:val="18"/>
          <w:szCs w:val="18"/>
          <w:color w:val="auto"/>
        </w:rPr>
        <w:t>awards to officers, employees, non-employee directors and consultants. As of June 30, 2022, the Company had 7,049,248 shares available for future issuance under the 2021 Plan.</w:t>
      </w:r>
    </w:p>
    <w:p>
      <w:pPr>
        <w:spacing w:after="0" w:line="14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ectPr>
          <w:pgSz w:w="11900" w:h="16838" w:orient="portrait"/>
          <w:cols w:equalWidth="0" w:num="1">
            <w:col w:w="11200"/>
          </w:cols>
          <w:pgMar w:left="320" w:top="540" w:right="379" w:bottom="1440" w:gutter="0" w:footer="0" w:header="0"/>
        </w:sectPr>
      </w:pPr>
    </w:p>
    <w:p>
      <w:pPr>
        <w:spacing w:after="0" w:line="1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6" w:lineRule="exact"/>
        <w:rPr>
          <w:sz w:val="20"/>
          <w:szCs w:val="20"/>
          <w:color w:val="auto"/>
        </w:rPr>
      </w:pPr>
    </w:p>
    <w:tbl>
      <w:tblPr>
        <w:tblLayout w:type="fixed"/>
        <w:tblInd w:w="4840" w:type="dxa"/>
        <w:tblCellMar>
          <w:top w:w="0" w:type="dxa"/>
          <w:left w:w="0" w:type="dxa"/>
          <w:bottom w:w="0" w:type="dxa"/>
          <w:right w:w="0" w:type="dxa"/>
        </w:tblCellMar>
      </w:tblPr>
      <w:tr>
        <w:trPr>
          <w:trHeight w:val="169"/>
        </w:trPr>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86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w w:val="91"/>
              </w:rPr>
              <w:t>thousands)</w:t>
            </w: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16510</wp:posOffset>
            </wp:positionV>
            <wp:extent cx="1714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15875</wp:posOffset>
            </wp:positionV>
            <wp:extent cx="1714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p>
      <w:pPr>
        <w:sectPr>
          <w:pgSz w:w="11900" w:h="16838" w:orient="portrait"/>
          <w:cols w:equalWidth="0" w:num="2">
            <w:col w:w="7640" w:space="660"/>
            <w:col w:w="2900"/>
          </w:cols>
          <w:pgMar w:left="320" w:top="540" w:right="37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780" w:type="dxa"/>
            <w:vAlign w:val="bottom"/>
            <w:tcBorders>
              <w:top w:val="single" w:sz="8" w:color="auto"/>
            </w:tcBorders>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740" w:type="dxa"/>
            <w:vAlign w:val="bottom"/>
            <w:tcBorders>
              <w:top w:val="single" w:sz="8" w:color="auto"/>
            </w:tcBorders>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2022:</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90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51,415,394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4,132,175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(357,212 )</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(713,745 )</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June 30,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as of June 30,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3,096,025</w:t>
            </w:r>
          </w:p>
        </w:tc>
        <w:tc>
          <w:tcPr>
            <w:tcW w:w="260" w:type="dxa"/>
            <w:vAlign w:val="bottom"/>
          </w:tcPr>
          <w:p>
            <w:pPr>
              <w:spacing w:after="0"/>
              <w:rPr>
                <w:sz w:val="20"/>
                <w:szCs w:val="20"/>
                <w:color w:val="auto"/>
              </w:rPr>
            </w:pPr>
          </w:p>
        </w:tc>
        <w:tc>
          <w:tcPr>
            <w:tcW w:w="900" w:type="dxa"/>
            <w:vAlign w:val="bottom"/>
          </w:tcPr>
          <w:p>
            <w:pPr>
              <w:jc w:val="right"/>
              <w:ind w:right="7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total unrecognized compensation expense related to stock options was $42.5 million, which the Company expects to recognize over a remaining weighted-average period of 2.9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six months ended June 30, 2022, the Company issued 42,553 shares of common stock under the 2021 ESPP.</w:t>
      </w:r>
    </w:p>
    <w:p>
      <w:pPr>
        <w:spacing w:after="0" w:line="16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64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540" w:type="dxa"/>
            <w:vAlign w:val="bottom"/>
            <w:tcBorders>
              <w:top w:val="single" w:sz="8" w:color="auto"/>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(24,858 )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(4,493 )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(50,066 )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(16,599 )</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Weighted-average common stock outstanding – basic</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87,839,804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48,524,511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87,775,440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45,088,434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have been excluded from the computation of diluted net loss per share as the effect would be to reduce the net loss per share. Therefore, the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type w:val="continuous"/>
        </w:sectPr>
      </w:pPr>
    </w:p>
    <w:bookmarkStart w:id="20" w:name="page21"/>
    <w:bookmarkEnd w:id="20"/>
    <w:p>
      <w:pPr>
        <w:ind w:right="40"/>
        <w:spacing w:after="0" w:line="250" w:lineRule="auto"/>
        <w:rPr>
          <w:sz w:val="20"/>
          <w:szCs w:val="20"/>
          <w:color w:val="auto"/>
        </w:rPr>
      </w:pPr>
      <w:r>
        <w:rPr>
          <w:rFonts w:ascii="Times New Roman" w:cs="Times New Roman" w:eastAsia="Times New Roman" w:hAnsi="Times New Roman"/>
          <w:sz w:val="18"/>
          <w:szCs w:val="18"/>
          <w:color w:val="auto"/>
        </w:rPr>
        <w:t>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9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6,494,737</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9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12,434,211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6,500,261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Company’s effective income tax rate was 0.0% and -0.3% for the three months ended June 30, 2022 and 2021, respectively, and 0.0% and -0.3% for the six months ended June 30, 2022 and 2021, respectively. The income tax provision was $3 thousand and the income tax benefit was $21 thousand for the three months ended June 30, 2022 and 2021, respectively, and the income tax provision was $3 thousand and $53 thousand for the six months ended June 30, 2022 and 2021, respectively. The change in the provision for income taxes for the three and six months ended June 30, 2022 compared to the three and six months ended June 30, 2021 was primarily due to taxable deferred revenue in 2021 partially offset by the utilization of federal and state net operating losses and federal and state tax credits. For 2022, the Company assessed the new requirement to capitalize and amortize research and experimentation expenditures for U.S. tax purposes, which became effective as of January 1, 2022. The Company is forecasting a taxable loss position in 2022 for which no tax benefit is recorded due to the valuation allowance maintained against the Company’s deferred tax assets.</w:t>
      </w:r>
    </w:p>
    <w:p>
      <w:pPr>
        <w:spacing w:after="0" w:line="20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2022 and 2021 differed from the federal statutory rate primarily due to the valuation allowance maintained against the Company’s deferred tax assets.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495"/>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2021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Additionally, in the third quarter of 2022, the FDA granted Orphan Drug Designation to TNG908 for the treatment of malignant peripheral nerve sheath tumors (MPNST). Patients are actively being enrolled in the Phase 1/2 clinical trial which will evaluate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20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clinical trial as TNG462 does not cross the blood-brain barrier in preclinical non-human primate models.</w:t>
      </w:r>
    </w:p>
    <w:p>
      <w:pPr>
        <w:spacing w:after="0" w:line="195"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PD1 antibody resulted in sustained complete tumor regressions and the induction of immune memory against re-implantation of tumors. We expect to file an IND for TNG260 in the first half 2023.</w:t>
      </w:r>
    </w:p>
    <w:p>
      <w:pPr>
        <w:spacing w:after="0" w:line="193"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We are also developing a ubiquitin-specific protease 1, or USP1, inhibitor that is synthetic lethal with BRCA1 and BRCA2-mutant tumors.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8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7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Since the Company's (Old Tango's)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above) and another $216.1 million through our collaboration with Gilead.</w:t>
      </w:r>
    </w:p>
    <w:p>
      <w:pPr>
        <w:spacing w:after="0" w:line="18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June 30, 2022 of $416.4 million will enable us to fund our operating expenses and capital expenditure requirements at least into the second half of 2024. Since inception, we have incurred significant operating losses. For the six months ended June 30, 2022 and 2021, our net losses were $50.1 million and $16.6 million, respectively. We had an accumulated deficit of $211.4 million as of June 30, 2022.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8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1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December 2020 and September 2021, Gilead elected to extend two programs for research extension fees totaling $24.0 million, which was added to our estimate of the transaction price to total $199.0 million. A total of $6.0 million of fees related to the research extensions have not been received as of June 30,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$61.8 million has been recognized as collaboration revenue related to the upfront and research extension payments from the Gilead agreements.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and 2021, we recognized $5.8 million and $7.2 million, respectively, and during the six months ended June 30, 2022 and 2021 we recognized $11.5 million and $13.5 million, respectively, of collaboration revenue associated with the Gilead agreements based on performance completed during each period.</w:t>
      </w:r>
    </w:p>
    <w:p>
      <w:pPr>
        <w:spacing w:after="0" w:line="169"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Refer to Note 4 to our unaudited condensed consolidated financial statements and related notes appearing elsewhere in this Quarterly Report on Form 10-Q and our audited consolidated financial statements and related notes for the year ended December 31, 2021 included in our Annual Report on Form 10-K for additional information regarding our revenue recognition accounting policy and our collaboration agreement with Gilead.</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8" w:lineRule="exact"/>
        <w:rPr>
          <w:sz w:val="20"/>
          <w:szCs w:val="20"/>
          <w:color w:val="auto"/>
        </w:rPr>
      </w:pPr>
    </w:p>
    <w:p>
      <w:pPr>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4"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12"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69"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59"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6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USP1 direct program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shd w:val="clear" w:color="auto" w:fill="CFF0FC"/>
          </w:tcPr>
          <w:p>
            <w:pPr>
              <w:spacing w:after="0"/>
              <w:rPr>
                <w:sz w:val="18"/>
                <w:szCs w:val="18"/>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5" w:name="page26"/>
    <w:bookmarkEnd w:id="25"/>
    <w:p>
      <w:pPr>
        <w:ind w:right="40"/>
        <w:spacing w:after="0" w:line="250" w:lineRule="auto"/>
        <w:rPr>
          <w:sz w:val="20"/>
          <w:szCs w:val="20"/>
          <w:color w:val="auto"/>
        </w:rPr>
      </w:pPr>
      <w:r>
        <w:rPr>
          <w:rFonts w:ascii="Times New Roman" w:cs="Times New Roman" w:eastAsia="Times New Roman" w:hAnsi="Times New Roman"/>
          <w:sz w:val="18"/>
          <w:szCs w:val="18"/>
          <w:color w:val="auto"/>
        </w:rPr>
        <w:t>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69" w:lineRule="exact"/>
        <w:rPr>
          <w:sz w:val="20"/>
          <w:szCs w:val="20"/>
          <w:color w:val="auto"/>
        </w:rPr>
      </w:pPr>
    </w:p>
    <w:p>
      <w:pPr>
        <w:ind w:left="1140" w:right="58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12"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miscellaneous expense unrelated to our core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(provision for) benefit from income tax consists of an estimate for U.S. federal and state income taxes based on enacted rates, as adjusted for allowable credits, deductions, uncertain tax positions, changes in deferred tax assets and liabilities and changes in tax law. We recorded an insignificant (provision for) benefit from income taxes for both the three and six months ended June 30, 2022 and for the three and six months ended June 30, 2021.</w:t>
      </w:r>
    </w:p>
    <w:p>
      <w:pPr>
        <w:spacing w:after="0" w:line="1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36" w:right="5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3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(25,202 )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(4,556 )</w:t>
            </w: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(20,646 )</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(62 )</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-1704975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-1704975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-1139190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-582295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Collaboration revenue of $5.8 million and $7.2 million for the three months ended June 30, 2022 and 2021, respectively, was derived from the Gilead collaboration. The decrease of $1.4 million was due to lower research costs incurred under the collaboration during the three months ended June 30, 2022 resulting in lower collaboration revenue recognized.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14" w:lineRule="exact"/>
        <w:rPr>
          <w:sz w:val="20"/>
          <w:szCs w:val="20"/>
          <w:color w:val="auto"/>
        </w:rPr>
      </w:pPr>
    </w:p>
    <w:p>
      <w:pPr>
        <w:ind w:right="700" w:firstLine="509"/>
        <w:spacing w:after="0" w:line="250" w:lineRule="auto"/>
        <w:rPr>
          <w:sz w:val="20"/>
          <w:szCs w:val="20"/>
          <w:color w:val="auto"/>
        </w:rPr>
      </w:pPr>
      <w:r>
        <w:rPr>
          <w:rFonts w:ascii="Times New Roman" w:cs="Times New Roman" w:eastAsia="Times New Roman" w:hAnsi="Times New Roman"/>
          <w:sz w:val="18"/>
          <w:szCs w:val="18"/>
          <w:color w:val="auto"/>
        </w:rPr>
        <w:t>License revenue of $0 and $11.0 million for the three months ended June 30, 2022 and 2021, respectively, was derived from the Gilead collaboration. The decrease of $11.0 million is primarily due to Gilead licensing a program for $11.0 million during the second quarter of 2021 as compared to no programs being licensed during the three months ended June 30, 2022.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$23.7 million for the three months ended June 30, 2022 compared to $19.1 million for the three months ended June 30, 2021. The increase of $4.7 million was primarily due to increased spend relating to the advancement of our TNG462 and TNG260 programs. Additionally, personnel-related costs increased $2.5 million primarily due to an increase of share-based compensation expense and additional headcount to support our research and development activities.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$7.2 million for the three months ended June 30, 2022 compared to $3.6 million for the three months ended June 30, 2021. The increase of $3.6 million was primarily due to a $2.3 million increase in personnel-related costs due to an increase in share-based compensation expense and additional headcount.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$0.3 million for the three months ended June 30, 2022 compared to interest income of $0.1 million for the three months ended June 30, 2021. Interest income and expense were not significant for each of the three months ended June 30, 2022 and 2021.</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less than $0.1 million for the three months ended June 30, 2022 compared to other expense, net of less than $0.1 million for the three months ended June 30, 2021. Other income and other expense were not significant for both the three months ended June 30, 2022 and 2021.</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2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three months ended June 30, 2022 compared to the benefit from income taxes of less than $0.1 million for the three months ended June 30, 2021. The tax provision in the period ended June 30, 2022 is primarily attributable to taxable deferred revenue partially offset by the utilization of federal and state net operating losses and federal and state tax credits.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3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(2,010 )</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(50,581 )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(16,637 )</w:t>
            </w: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(33,944 )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(117 )</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(53 )</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-1704975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-1704975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-1139190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-1139190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-582295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-582295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-582295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of $11.5 million and $13.5 million for the six months ended June 30, 2022 and 2021, respectively, was derived from the Gilead collaboration. The decrease of $2.0 million was due to lower research costs incurred under the collaboration during the six months ended June 30, 2022 resulting in lower collaboration revenue recognized.</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License revenue of $0 and $11.0 million for the six months ended June 30, 2022 and 2021, respectively, was derived from the Gilead collaboration. The decrease of $11.0 million is primarily due to Gilead licensing a program for $11.0 million during the second quarter of 2021 as compared to no programs being licensed during the six months ended June 30, 2022.</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$48.1 million for the six months ended June 30, 2022 compared to $34.1 million for the six months ended June 30, 2021. The increase of $14.0 million was primarily due to increased spend relating to the advancement of our TNG462 and TNG260 programs. Additionally, personnel-related costs increased $4.8 million primarily due to an increase of share-based compensation expense and additional headcount to support our research and development activities.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8" w:right="4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was $14.0 million for the six months ended June 30, 2022 compared to $7.1 million for the six months ended June 30, 2021. The increase of $6.9 million was primarily due to a $4.3 million increase in personnel-related costs due to an increase in share-based compensation expense and additional headcount.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$0.5 million for the six months ended June 30, 2022 compared to interest income of $0.2 million for the six months ended June 30, 2021. Interest income was not significant for each of the six months ended June 30, 2022 and 2021.</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less than $0.1 million for the six months ended June 30, 2022 compared to other expense, net of $0.1 million for the six months ended June 30, 2021. Other income and other expense were not significant for both the six months ended June 30, 2022 and 2021.</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less than $0.1 million for both the six months ended June 30, 2022 and 2021. The tax provision recorded in each period is primarily attributable to taxable deferred revenue partially offset by the utilization of federal and state net operating losses and federal and state tax credits.</w:t>
      </w:r>
    </w:p>
    <w:p>
      <w:pPr>
        <w:spacing w:after="0" w:line="186"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$216.1 million through the collaboration with Gilead. As of June 30, 2022, we had cash and cash equivalents and marketable securities of $416.4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June 30, 2022 of $416.4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six month periods presented:</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(61,203 )</w:t>
            </w:r>
          </w:p>
        </w:tc>
        <w:tc>
          <w:tcPr>
            <w:tcW w:w="42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(21,131 )</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(40,072 )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(28,690 )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(36,452 )</w:t>
            </w:r>
          </w:p>
        </w:tc>
        <w:tc>
          <w:tcPr>
            <w:tcW w:w="4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(58,973 )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8" w:right="419" w:bottom="1440" w:gutter="0" w:footer="0" w:header="0"/>
        </w:sectPr>
      </w:pPr>
    </w:p>
    <w:bookmarkStart w:id="30" w:name="page31"/>
    <w:bookmarkEnd w:id="30"/>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4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$61.2 million for the six months ended June 30, 2022 compared to net cash used in operating activities of $21.1 million for the six months ended June 30, 2021. The increase in net cash used in operating activities for the six months ended June 30, 2022 was primarily due to an increase to the net loss as a direct result of higher operating expenses related to the advancement of our programs and personnel-related costs. The increase was partially offset by higher non-cash expenses, including stock compensation.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Net cash provided by investing activities was $23.8 million for the six months ended June 30, 2022 compared to net cash provided by investing activities of $14.0 million for the six months ended June 30, 2021. The increase in net cash provided by investing activities was primarily due to a decrease in purchases of marketable securities partially offset by decreased sales and maturities of marketable securities as compared to the six months ended June 30, 2021.</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$1.0 million for the six months ended June 30, 2022 compared to net cash provided by financing activities of $29.7 million for the six months ended June 30, 2021. The decrease in net cash provided by financing activities was a result of $30.0 million in net proceeds related to the issuance of shares of redeemable convertible Series B preferred stock in March 2021. The cash provided by financing activities for the six months ended June 30, 2022 was the result of cash provided from the exercises of stock options and ESPP purchases.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June 30, 2022 and the effects that such obligations are expected to have on our liquidity and cash flows in future periods: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241"/>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-153670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-153670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-153670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commitment amounts in the table above reflect the minimum payments due under our operating lease for office and laboratory space at our 100 Binney Street, Cambridge, Massachusetts location. These commitments are also recognized as operating lease liabilities in our balance sheet at June 30, 2022. In November 2021, we entered into a lease termination agreement for the leased office and laboratory space at 100 Binney Street in Cambridge, Massachusetts. The lease termination agreement, as amended in July of 2022, is a modification of the lease agreement for these premises that provides, among other things, the acceleration of the expiration of the original term of the lease from June 30, 2026 to an earlier lease termination date, which earlier date shall be no earlier than August 31, 2022.</w:t>
      </w:r>
    </w:p>
    <w:p>
      <w:pPr>
        <w:spacing w:after="0" w:line="18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table does not include the minimum payments due under our new operating lease for office and laboratory space at 201 Brookline Avenue, Boston, Massachusetts as we have not occupied the premises and the lease payments in connection with this lease are yet to commence as of June 30, 2022. Commitments pertaining to the 201 Brookline Avenue lease will be added to the table above, and also recognized as operating lease liabilities on our balance sheet upon achievement of the new lease commencement date. The fixed annual rent payable under the lease is $5.1 million, increasing by 3% annually from the rent commencement date.</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1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June 30, 2022.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2022 and December 31, 2021, we were unable to estimate the timing or likelihood of achieving these milestones or generating future product sales. Refer to Note 9 of our audited consolidated financial statements and related notes for the year ended December 31, 2021 included in our Annual Report on Form 10-K for a description of our license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201"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2021, we believe that the following accounting policies are those most critical to the judgments and estimates used in the preparation of our financial statements.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4" w:lineRule="exact"/>
        <w:rPr>
          <w:sz w:val="20"/>
          <w:szCs w:val="20"/>
          <w:color w:val="auto"/>
        </w:rPr>
      </w:pPr>
    </w:p>
    <w:p>
      <w:pPr>
        <w:ind w:right="140"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2" w:name="page33"/>
    <w:bookmarkEnd w:id="32"/>
    <w:p>
      <w:pPr>
        <w:ind w:firstLine="509"/>
        <w:spacing w:after="0" w:line="242"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202" w:lineRule="exact"/>
        <w:rPr>
          <w:sz w:val="20"/>
          <w:szCs w:val="20"/>
          <w:color w:val="auto"/>
        </w:rPr>
      </w:pPr>
    </w:p>
    <w:p>
      <w:pPr>
        <w:ind w:right="320" w:firstLine="509"/>
        <w:spacing w:after="0" w:line="244"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9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77"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69"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20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spacing w:after="0" w:line="246" w:lineRule="auto"/>
        <w:rPr>
          <w:sz w:val="20"/>
          <w:szCs w:val="20"/>
          <w:color w:val="auto"/>
        </w:rPr>
      </w:pPr>
      <w:r>
        <w:rPr>
          <w:rFonts w:ascii="Times New Roman" w:cs="Times New Roman" w:eastAsia="Times New Roman" w:hAnsi="Times New Roman"/>
          <w:sz w:val="18"/>
          <w:szCs w:val="18"/>
          <w:color w:val="auto"/>
        </w:rPr>
        <w:t>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95"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9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4" w:name="page35"/>
    <w:bookmarkEnd w:id="34"/>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87" w:lineRule="exact"/>
        <w:rPr>
          <w:sz w:val="20"/>
          <w:szCs w:val="20"/>
          <w:color w:val="auto"/>
        </w:rPr>
      </w:pPr>
    </w:p>
    <w:p>
      <w:pPr>
        <w:ind w:left="1020" w:right="4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95"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$416.4 million and $485.3 million as of June 30, 2022 and December 31, 2021,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80" w:firstLine="509"/>
        <w:spacing w:after="0" w:line="250"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1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340" w:firstLine="8"/>
        <w:spacing w:after="0" w:line="24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June 30, 2022 that materially affected, or were reasonably likely to materially affect, the Company’s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36" w:name="page37"/>
    <w:bookmarkEnd w:id="3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08"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08"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six months ended June 30, 2022, our net loss was $50.1 million. As of June 30, 2022, we had an accumulated deficit of $211.4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1" w:lineRule="exact"/>
        <w:rPr>
          <w:sz w:val="20"/>
          <w:szCs w:val="20"/>
          <w:color w:val="auto"/>
        </w:rPr>
      </w:pPr>
    </w:p>
    <w:p>
      <w:pPr>
        <w:ind w:right="120" w:firstLine="576"/>
        <w:spacing w:after="0" w:line="250"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7" w:lineRule="exact"/>
        <w:rPr>
          <w:sz w:val="20"/>
          <w:szCs w:val="20"/>
          <w:color w:val="auto"/>
        </w:rPr>
      </w:pPr>
    </w:p>
    <w:p>
      <w:pPr>
        <w:ind w:right="2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8" w:name="page39"/>
    <w:bookmarkEnd w:id="38"/>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234" w:lineRule="auto"/>
        <w:rPr>
          <w:sz w:val="20"/>
          <w:szCs w:val="20"/>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00" w:firstLine="230"/>
        <w:spacing w:after="0" w:line="241"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auto"/>
        <w:rPr>
          <w:sz w:val="20"/>
          <w:szCs w:val="20"/>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ind w:right="800" w:firstLine="230"/>
        <w:spacing w:after="0" w:line="242"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40" w:right="2240"/>
        <w:spacing w:after="0" w:line="243"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and future accounting pronouncements or changes in our accounting policies.</w:t>
      </w:r>
    </w:p>
    <w:p>
      <w:pPr>
        <w:spacing w:after="0" w:line="195"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08"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development programs;</w:t>
      </w:r>
    </w:p>
    <w:p>
      <w:pPr>
        <w:spacing w:after="0" w:line="15" w:lineRule="exact"/>
        <w:rPr>
          <w:sz w:val="20"/>
          <w:szCs w:val="20"/>
          <w:color w:val="auto"/>
        </w:rPr>
      </w:pPr>
    </w:p>
    <w:p>
      <w:pPr>
        <w:ind w:left="240" w:right="2240"/>
        <w:spacing w:after="0" w:line="242" w:lineRule="auto"/>
        <w:rPr>
          <w:sz w:val="20"/>
          <w:szCs w:val="20"/>
          <w:color w:val="auto"/>
        </w:rPr>
      </w:pPr>
      <w:r>
        <w:rPr>
          <w:rFonts w:ascii="Times New Roman" w:cs="Times New Roman" w:eastAsia="Times New Roman" w:hAnsi="Times New Roman"/>
          <w:sz w:val="18"/>
          <w:szCs w:val="18"/>
          <w:color w:val="auto"/>
        </w:rPr>
        <w:t>timely file INDs for our programs, and clearance of these INDs to allow for commencement of such future clinical trials; timely patient enrollment and patient dosing in our TNG908 clinical trial;</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successfully complete our TNG908 clinical trial and any future clinical trials;</w:t>
      </w:r>
    </w:p>
    <w:p>
      <w:pPr>
        <w:ind w:left="240" w:right="340"/>
        <w:spacing w:after="0" w:line="242"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7" w:lineRule="exact"/>
        <w:rPr>
          <w:sz w:val="20"/>
          <w:szCs w:val="20"/>
          <w:color w:val="auto"/>
        </w:rPr>
      </w:pPr>
    </w:p>
    <w:p>
      <w:pPr>
        <w:ind w:left="240" w:right="1520"/>
        <w:spacing w:after="0" w:line="235"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 position our products to effectively compete with other therapies;</w:t>
      </w:r>
    </w:p>
    <w:p>
      <w:pPr>
        <w:spacing w:after="0" w:line="1" w:lineRule="exact"/>
        <w:rPr>
          <w:sz w:val="20"/>
          <w:szCs w:val="20"/>
          <w:color w:val="auto"/>
        </w:rPr>
      </w:pPr>
    </w:p>
    <w:p>
      <w:pPr>
        <w:ind w:left="240" w:right="3020"/>
        <w:spacing w:after="0" w:line="242"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enforce and defend intellectual property rights and claims;</w:t>
      </w:r>
    </w:p>
    <w:p>
      <w:pPr>
        <w:spacing w:after="0" w:line="1" w:lineRule="exact"/>
        <w:rPr>
          <w:sz w:val="20"/>
          <w:szCs w:val="20"/>
          <w:color w:val="auto"/>
        </w:rPr>
      </w:pPr>
    </w:p>
    <w:p>
      <w:pPr>
        <w:ind w:right="420" w:firstLine="230"/>
        <w:spacing w:after="0" w:line="241" w:lineRule="auto"/>
        <w:rPr>
          <w:sz w:val="20"/>
          <w:szCs w:val="20"/>
          <w:color w:val="auto"/>
        </w:rPr>
      </w:pPr>
      <w:r>
        <w:rPr>
          <w:rFonts w:ascii="Times New Roman" w:cs="Times New Roman" w:eastAsia="Times New Roman" w:hAnsi="Times New Roman"/>
          <w:sz w:val="18"/>
          <w:szCs w:val="18"/>
          <w:color w:val="auto"/>
        </w:rPr>
        <w:t>implement measures to help minimize the risk and disruption of COVID-19 to our employees as well as patients and subjects to be enrolled in our clinical trials;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93"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9" w:name="page40"/>
    <w:bookmarkEnd w:id="39"/>
    <w:p>
      <w:pPr>
        <w:ind w:firstLine="576"/>
        <w:spacing w:after="0" w:line="243"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we are investing in our PRMT5 franchise beyond TNG908 with the goal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Phase 1/2 clinical trial. Glioblastoma will be excluded from the clinical trial as TNG462 does not cross the blood-brain barrier in preclinical non-human primate models. If additional preclinical or clinical evaluation of our next-generation compounds supports this hypothesis, we may elect to promote TNG462 as our lead PRMT5 inhibitor, which may result in a delay to our development timeline for the lead PRMT5 program of approximately 12 to 18 months (in this case, we would continue clinical development of TNG908, however, the focus would be on glioblastoma, which constitutes only a subset of the larger MTAP-deleted cancer patient population). If we elect to promote this next-generation compound, it may result in the delay in receiving potential revenue from product sales, if approved by regulatory authorities.</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3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we are actively enrolling patients in the Phase 1/2 clinical trial. We plan to file an IND for TNG462, our next generation PRMT5 inhibitor, in the first half of 2023. Additionally, we plan to file INDs for TNG260, our inhibitor of an undisclosed target for STK11-mutant cancers (Target 3) in the first half of 2023 and for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72" w:lineRule="exact"/>
        <w:rPr>
          <w:sz w:val="20"/>
          <w:szCs w:val="20"/>
          <w:color w:val="auto"/>
        </w:rPr>
      </w:pPr>
    </w:p>
    <w:p>
      <w:pPr>
        <w:ind w:right="400" w:firstLine="576"/>
        <w:spacing w:after="0" w:line="245" w:lineRule="auto"/>
        <w:rPr>
          <w:sz w:val="20"/>
          <w:szCs w:val="20"/>
          <w:color w:val="auto"/>
        </w:rPr>
      </w:pPr>
      <w:r>
        <w:rPr>
          <w:rFonts w:ascii="Times New Roman" w:cs="Times New Roman" w:eastAsia="Times New Roman" w:hAnsi="Times New Roman"/>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1"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15" w:lineRule="exact"/>
        <w:rPr>
          <w:sz w:val="20"/>
          <w:szCs w:val="20"/>
          <w:color w:val="auto"/>
        </w:rPr>
      </w:pPr>
    </w:p>
    <w:p>
      <w:pPr>
        <w:ind w:left="240" w:right="320"/>
        <w:spacing w:after="0" w:line="242"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the COVID-19 pandemic; the scope, prioritization and number of our research and development programs;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7" w:lineRule="exact"/>
        <w:rPr>
          <w:sz w:val="20"/>
          <w:szCs w:val="20"/>
          <w:color w:val="auto"/>
        </w:rPr>
      </w:pPr>
    </w:p>
    <w:p>
      <w:pPr>
        <w:ind w:right="80" w:firstLine="230"/>
        <w:spacing w:after="0" w:line="235"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spacing w:after="0" w:line="1" w:lineRule="exact"/>
        <w:rPr>
          <w:sz w:val="20"/>
          <w:szCs w:val="20"/>
          <w:color w:val="auto"/>
        </w:rPr>
      </w:pPr>
    </w:p>
    <w:p>
      <w:pPr>
        <w:ind w:right="240" w:firstLine="230"/>
        <w:spacing w:after="0"/>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 property-related claims;</w:t>
      </w:r>
    </w:p>
    <w:p>
      <w:pPr>
        <w:ind w:left="240" w:right="4520"/>
        <w:spacing w:after="0" w:line="256" w:lineRule="auto"/>
        <w:rPr>
          <w:sz w:val="20"/>
          <w:szCs w:val="20"/>
          <w:color w:val="auto"/>
        </w:rPr>
      </w:pPr>
      <w:r>
        <w:rPr>
          <w:rFonts w:ascii="Times New Roman" w:cs="Times New Roman" w:eastAsia="Times New Roman" w:hAnsi="Times New Roman"/>
          <w:sz w:val="17"/>
          <w:szCs w:val="17"/>
          <w:color w:val="auto"/>
        </w:rPr>
        <w:t>the extent to which we acquire or in-license other product candidates and technologies; the costs of securing manufacturing arrangements for clinical and commercial production;</w:t>
      </w:r>
    </w:p>
    <w:p>
      <w:pPr>
        <w:spacing w:after="0" w:line="1" w:lineRule="exact"/>
        <w:rPr>
          <w:sz w:val="20"/>
          <w:szCs w:val="20"/>
          <w:color w:val="auto"/>
        </w:rPr>
      </w:pPr>
    </w:p>
    <w:p>
      <w:pPr>
        <w:ind w:left="240" w:right="1380"/>
        <w:spacing w:after="0" w:line="243"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25"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As a result of disruptions in the financial markets in general, and the recent decrease in biopharmaceutical stock prices and market capitalizations in particular, as well as the ongoing COVID-19 pandemic,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95"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8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140" w:firstLine="576"/>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92"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37"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and are actively enrolling patients in the trial. Other than TNG908, our programs are still in preclinical development and may never advance to clinical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spacing w:after="0" w:line="242" w:lineRule="auto"/>
        <w:rPr>
          <w:sz w:val="20"/>
          <w:szCs w:val="20"/>
          <w:color w:val="auto"/>
        </w:rPr>
      </w:pPr>
      <w:r>
        <w:rPr>
          <w:rFonts w:ascii="Times New Roman" w:cs="Times New Roman" w:eastAsia="Times New Roman" w:hAnsi="Times New Roman"/>
          <w:sz w:val="18"/>
          <w:szCs w:val="18"/>
          <w:color w:val="auto"/>
        </w:rPr>
        <w:t>development. We plan to file an IND for TNG462, our next generation PRMT5 inhibitor, in the first half of 2023. Additionally, we plan to file an IND for TNG260, our inhibitor of an undisclosed target for STK11-mutant cancers (Target 3), in the first half of 2023, and an IND for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 for our lead program, TNG908, was cleared by the FDA, it is possible that an adequate number of patients may not be enrolled on a timely basis, or at all, and the study may not be completed (and preliminary, initial or final trial results may not be available) on time. Similarly, future clinical trials may not begin on time or be completed on schedule, if at all.</w:t>
      </w:r>
    </w:p>
    <w:p>
      <w:pPr>
        <w:spacing w:after="0" w:line="143" w:lineRule="exact"/>
        <w:rPr>
          <w:sz w:val="20"/>
          <w:szCs w:val="20"/>
          <w:color w:val="auto"/>
        </w:rPr>
      </w:pPr>
    </w:p>
    <w:p>
      <w:pPr>
        <w:ind w:firstLine="585"/>
        <w:spacing w:after="0" w:line="250"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82" w:lineRule="exact"/>
        <w:rPr>
          <w:sz w:val="20"/>
          <w:szCs w:val="20"/>
          <w:color w:val="auto"/>
        </w:rPr>
      </w:pPr>
    </w:p>
    <w:p>
      <w:pPr>
        <w:ind w:left="240" w:right="5860"/>
        <w:spacing w:after="0" w:line="246" w:lineRule="auto"/>
        <w:rPr>
          <w:sz w:val="20"/>
          <w:szCs w:val="20"/>
          <w:color w:val="auto"/>
        </w:rPr>
      </w:pPr>
      <w:r>
        <w:rPr>
          <w:rFonts w:ascii="Times New Roman" w:cs="Times New Roman" w:eastAsia="Times New Roman" w:hAnsi="Times New Roman"/>
          <w:sz w:val="18"/>
          <w:szCs w:val="18"/>
          <w:color w:val="auto"/>
        </w:rPr>
        <w:t>be delayed in obtaining regulatory approval for our product candidates; not obtain regulatory approval at all;</w:t>
      </w:r>
    </w:p>
    <w:p>
      <w:pPr>
        <w:ind w:left="240" w:right="3200"/>
        <w:spacing w:after="0" w:line="242"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9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08"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2" w:name="page43"/>
    <w:bookmarkEnd w:id="42"/>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2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0"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7"/>
          <w:szCs w:val="17"/>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9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initial data from our current and future clinical trials, which is based on a preliminary analysis of then-available data, and the results and related findings and conclusions are subject to change following a more comprehensive review of the data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the interim, top-line or initial results that we report may differ from future results of the same trials, or different conclusions or considerations may qualify such results, once additional data have been received and fully evaluated. Initial, interim or top-line data also remain subject to audit and verification procedures that may result in the final data being materially different from the interim data we previously published. As a result, initial, interim and top-line data should be viewed with caution until the final data are available. In addition, we may report interim analyses of only certain endpoints rather than all endpoints. Interim data from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w:t>
      </w:r>
    </w:p>
    <w:p>
      <w:pPr>
        <w:spacing w:after="0" w:line="169"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7"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4"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72" w:lineRule="exact"/>
        <w:rPr>
          <w:sz w:val="20"/>
          <w:szCs w:val="20"/>
          <w:color w:val="auto"/>
        </w:rPr>
      </w:pPr>
    </w:p>
    <w:p>
      <w:pPr>
        <w:ind w:firstLine="230"/>
        <w:spacing w:after="0" w:line="254"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180" w:firstLine="230"/>
        <w:spacing w:after="0" w:line="241"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40" w:firstLine="230"/>
        <w:spacing w:after="0" w:line="235"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 w:lineRule="exact"/>
        <w:rPr>
          <w:sz w:val="20"/>
          <w:szCs w:val="20"/>
          <w:color w:val="auto"/>
        </w:rPr>
      </w:pPr>
    </w:p>
    <w:p>
      <w:pPr>
        <w:jc w:val="both"/>
        <w:ind w:right="140" w:firstLine="230"/>
        <w:spacing w:after="0"/>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right="540" w:firstLine="230"/>
        <w:spacing w:after="0" w:line="241"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00" w:firstLine="230"/>
        <w:spacing w:after="0"/>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ind w:right="20" w:firstLine="230"/>
        <w:spacing w:after="0"/>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ind w:right="20" w:firstLine="185"/>
        <w:spacing w:after="0" w:line="235"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230"/>
        <w:spacing w:after="0"/>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34" w:lineRule="auto"/>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rPr>
          <w:sz w:val="20"/>
          <w:szCs w:val="20"/>
          <w:color w:val="auto"/>
        </w:rPr>
      </w:pPr>
      <w:r>
        <w:rPr>
          <w:rFonts w:ascii="Times New Roman" w:cs="Times New Roman" w:eastAsia="Times New Roman" w:hAnsi="Times New Roman"/>
          <w:sz w:val="18"/>
          <w:szCs w:val="18"/>
          <w:color w:val="auto"/>
        </w:rPr>
        <w:t>clinical trials of our product candidates may be delayed due to complications associated with the evolving COVID-19 pandemic;</w:t>
      </w:r>
    </w:p>
    <w:p>
      <w:pPr>
        <w:spacing w:after="0" w:line="7" w:lineRule="exact"/>
        <w:rPr>
          <w:sz w:val="20"/>
          <w:szCs w:val="20"/>
          <w:color w:val="auto"/>
        </w:rPr>
      </w:pPr>
    </w:p>
    <w:p>
      <w:pPr>
        <w:ind w:right="280" w:firstLine="230"/>
        <w:spacing w:after="0" w:line="245"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4" w:name="page45"/>
    <w:bookmarkEnd w:id="44"/>
    <w:p>
      <w:pPr>
        <w:ind w:right="340" w:firstLine="230"/>
        <w:spacing w:after="0" w:line="247"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7" w:lineRule="exact"/>
        <w:rPr>
          <w:sz w:val="20"/>
          <w:szCs w:val="20"/>
          <w:color w:val="auto"/>
        </w:rPr>
      </w:pPr>
    </w:p>
    <w:p>
      <w:pPr>
        <w:ind w:right="300" w:firstLine="230"/>
        <w:spacing w:after="0" w:line="245"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80"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8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we are actively enrolling patients in the trial. While we expect to continue to enroll patients in our TNG908 clinical trial, we may experience slower than expected enrollment, due to limited site resources resulting from COVID-19, limited trial populations due to competitive trials or other factors beyond our control. Delays in enrollment may effect the timing of results from the TNG908 Phase 1/2 trials (as well as the timing for dose escalation and dose expansion) and therefore the regulatory approval (if any) for TNG908 may extend beyond the period we have targeted or beyond the timeline expected by investors.</w:t>
      </w:r>
    </w:p>
    <w:p>
      <w:pPr>
        <w:spacing w:after="0" w:line="186" w:lineRule="exact"/>
        <w:rPr>
          <w:sz w:val="20"/>
          <w:szCs w:val="20"/>
          <w:color w:val="auto"/>
        </w:rPr>
      </w:pPr>
    </w:p>
    <w:p>
      <w:pPr>
        <w:ind w:right="40" w:firstLine="584"/>
        <w:spacing w:after="0" w:line="250"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firstLine="576"/>
        <w:spacing w:after="0" w:line="247"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 such trials have already enrolled patients and those trials are using some of the same clinical trial sites that we use). Furthermore, as noted above,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0"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initial and final trial results and obtaining regulatory approval of potential products may be delayed.</w:t>
      </w:r>
    </w:p>
    <w:p>
      <w:pPr>
        <w:spacing w:after="0" w:line="181"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900"/>
        <w:spacing w:after="0" w:line="235"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40" w:right="4000"/>
        <w:spacing w:after="0" w:line="242"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spacing w:after="0" w:line="1" w:lineRule="exact"/>
        <w:rPr>
          <w:sz w:val="20"/>
          <w:szCs w:val="20"/>
          <w:color w:val="auto"/>
        </w:rPr>
      </w:pPr>
    </w:p>
    <w:p>
      <w:pPr>
        <w:ind w:right="480" w:firstLine="230"/>
        <w:spacing w:after="0" w:line="243"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the COVID-19 pandemic, that may limit patients, principal investigators or staff or clinical site availability.</w:t>
      </w:r>
    </w:p>
    <w:p>
      <w:pPr>
        <w:spacing w:after="0" w:line="28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6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0"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9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Even if successful, such trials may cause delays in the time to obtain regulatory approval, thereby limiting any exclusive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ind w:right="40"/>
        <w:spacing w:after="0" w:line="247" w:lineRule="auto"/>
        <w:rPr>
          <w:sz w:val="20"/>
          <w:szCs w:val="20"/>
          <w:color w:val="auto"/>
        </w:rPr>
      </w:pPr>
      <w:r>
        <w:rPr>
          <w:rFonts w:ascii="Times New Roman" w:cs="Times New Roman" w:eastAsia="Times New Roman" w:hAnsi="Times New Roman"/>
          <w:sz w:val="18"/>
          <w:szCs w:val="18"/>
          <w:color w:val="auto"/>
        </w:rPr>
        <w:t>periods we have to market the product candidate.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66"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0"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9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50"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We received clearance of our IND application for TNG908 in the first quarter of 2022 and we are actively enrolling patients in our Phase 1/2 clinical trial. We also plan to file an IND for TNG462, our next generation PRMT5 inhibitor, in the first half of 2023. Additionally, we plan to file INDs for TNG260, our inhibitor of an undisclosed target for STK11-mutant cancers (Target 3) in the first half of 2023, and for our USP1 inhibitor program in 2023. However, we may not be able to file such INDs or INDs for future product candidates for our precision oncology or other programs on the timelines we expect. We have in the past, for example, extended the timeline for filing an IND for our USP1 inhibitor program as we continue to work on a development candidate that has improved pharmacologic properties.</w:t>
      </w:r>
    </w:p>
    <w:p>
      <w:pPr>
        <w:spacing w:after="0" w:line="72" w:lineRule="exact"/>
        <w:rPr>
          <w:sz w:val="20"/>
          <w:szCs w:val="20"/>
          <w:color w:val="auto"/>
        </w:rPr>
      </w:pPr>
    </w:p>
    <w:p>
      <w:pPr>
        <w:ind w:right="80" w:firstLine="576"/>
        <w:spacing w:after="0" w:line="247" w:lineRule="auto"/>
        <w:rPr>
          <w:sz w:val="20"/>
          <w:szCs w:val="20"/>
          <w:color w:val="auto"/>
        </w:rPr>
      </w:pPr>
      <w:r>
        <w:rPr>
          <w:rFonts w:ascii="Times New Roman" w:cs="Times New Roman" w:eastAsia="Times New Roman" w:hAnsi="Times New Roman"/>
          <w:sz w:val="18"/>
          <w:szCs w:val="18"/>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8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ind w:firstLine="576"/>
        <w:spacing w:after="0" w:line="24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128"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14"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38"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0" w:lineRule="exact"/>
        <w:rPr>
          <w:sz w:val="20"/>
          <w:szCs w:val="20"/>
          <w:color w:val="auto"/>
        </w:rPr>
      </w:pPr>
    </w:p>
    <w:p>
      <w:pPr>
        <w:ind w:right="240" w:firstLine="576"/>
        <w:spacing w:after="0" w:line="250"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8" w:name="page49"/>
    <w:bookmarkEnd w:id="48"/>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2"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8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9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right="200" w:firstLine="230"/>
        <w:spacing w:after="0" w:line="282"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firstLine="230"/>
        <w:spacing w:after="0" w:line="246" w:lineRule="auto"/>
        <w:rPr>
          <w:sz w:val="20"/>
          <w:szCs w:val="20"/>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1"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7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3" w:lineRule="exact"/>
        <w:rPr>
          <w:sz w:val="20"/>
          <w:szCs w:val="20"/>
          <w:color w:val="auto"/>
        </w:rPr>
      </w:pPr>
    </w:p>
    <w:p>
      <w:pPr>
        <w:jc w:val="both"/>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3"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we are actively enrolling patients in our Phase 1/2 clinical trial,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9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8" w:lineRule="exact"/>
        <w:rPr>
          <w:sz w:val="20"/>
          <w:szCs w:val="20"/>
          <w:color w:val="auto"/>
        </w:rPr>
      </w:pPr>
    </w:p>
    <w:p>
      <w:pPr>
        <w:ind w:left="240" w:right="2100"/>
        <w:spacing w:after="0" w:line="254"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we may not be able to enroll a sufficient number of patients in our clinical studies;</w:t>
      </w:r>
    </w:p>
    <w:p>
      <w:pPr>
        <w:ind w:right="580" w:firstLine="230"/>
        <w:spacing w:after="0" w:line="243"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0" w:name="page51"/>
    <w:bookmarkEnd w:id="50"/>
    <w:p>
      <w:pPr>
        <w:ind w:right="540" w:firstLine="230"/>
        <w:spacing w:after="0" w:line="254"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234" w:lineRule="auto"/>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7" w:lineRule="exact"/>
        <w:rPr>
          <w:sz w:val="20"/>
          <w:szCs w:val="20"/>
          <w:color w:val="auto"/>
        </w:rPr>
      </w:pPr>
    </w:p>
    <w:p>
      <w:pPr>
        <w:ind w:right="300" w:firstLine="230"/>
        <w:spacing w:after="0" w:line="235"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 w:lineRule="exact"/>
        <w:rPr>
          <w:sz w:val="20"/>
          <w:szCs w:val="20"/>
          <w:color w:val="auto"/>
        </w:rPr>
      </w:pPr>
    </w:p>
    <w:p>
      <w:pPr>
        <w:ind w:right="300" w:firstLine="230"/>
        <w:spacing w:after="0" w:line="242"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 w:lineRule="exact"/>
        <w:rPr>
          <w:sz w:val="20"/>
          <w:szCs w:val="20"/>
          <w:color w:val="auto"/>
        </w:rPr>
      </w:pPr>
    </w:p>
    <w:p>
      <w:pPr>
        <w:ind w:right="360" w:firstLine="230"/>
        <w:spacing w:after="0" w:line="243"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182" w:lineRule="exact"/>
        <w:rPr>
          <w:sz w:val="20"/>
          <w:szCs w:val="20"/>
          <w:color w:val="auto"/>
        </w:rPr>
      </w:pPr>
    </w:p>
    <w:p>
      <w:pPr>
        <w:ind w:right="260" w:firstLine="576"/>
        <w:spacing w:after="0" w:line="250"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7" w:lineRule="exact"/>
        <w:rPr>
          <w:sz w:val="20"/>
          <w:szCs w:val="20"/>
          <w:color w:val="auto"/>
        </w:rPr>
      </w:pPr>
    </w:p>
    <w:p>
      <w:pPr>
        <w:ind w:right="760" w:firstLine="57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5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a Phase 1/2 clinical trial in which we are actively enrolling patients in the United States (the impact of the COVID-19 pandemic on the resources at clinical trial sites, among other factors, may impact the enrollment and progression (including dose escalation and dose expansion) of the Phase 1/2 trial for TNG908 and any future clinical trials we may conduct. Some factors from the COVID-19 pandemic that may delay or otherwise adversely affect enrollment in the clinical trials of our product candidates, including TNG908, as well as our business generally, include:</w:t>
      </w:r>
    </w:p>
    <w:p>
      <w:pPr>
        <w:spacing w:after="0" w:line="73"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 limitations on travel that could interrupt key trial and business activities, such as clinical trial site initiations and monitoring, domestic and international travel by employees, contractors or patients to clinical trial sites, including 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ind w:right="340"/>
        <w:spacing w:after="0" w:line="247" w:lineRule="auto"/>
        <w:rPr>
          <w:sz w:val="20"/>
          <w:szCs w:val="20"/>
          <w:color w:val="auto"/>
        </w:rPr>
      </w:pPr>
      <w:r>
        <w:rPr>
          <w:rFonts w:ascii="Times New Roman" w:cs="Times New Roman" w:eastAsia="Times New Roman" w:hAnsi="Times New Roman"/>
          <w:sz w:val="18"/>
          <w:szCs w:val="18"/>
          <w:color w:val="auto"/>
        </w:rPr>
        <w:t>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negative effect on the operations of our third-party manufacturers;</w:t>
      </w:r>
    </w:p>
    <w:p>
      <w:pPr>
        <w:spacing w:after="0" w:line="7" w:lineRule="exact"/>
        <w:rPr>
          <w:sz w:val="20"/>
          <w:szCs w:val="20"/>
          <w:color w:val="auto"/>
        </w:rPr>
      </w:pPr>
    </w:p>
    <w:p>
      <w:pPr>
        <w:ind w:right="200" w:firstLine="230"/>
        <w:spacing w:after="0" w:line="235" w:lineRule="auto"/>
        <w:rPr>
          <w:sz w:val="20"/>
          <w:szCs w:val="20"/>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1" w:lineRule="exact"/>
        <w:rPr>
          <w:sz w:val="20"/>
          <w:szCs w:val="20"/>
          <w:color w:val="auto"/>
        </w:rPr>
      </w:pPr>
    </w:p>
    <w:p>
      <w:pPr>
        <w:ind w:right="120" w:firstLine="185"/>
        <w:spacing w:after="0" w:line="242" w:lineRule="auto"/>
        <w:rPr>
          <w:sz w:val="20"/>
          <w:szCs w:val="20"/>
          <w:color w:val="auto"/>
        </w:rPr>
      </w:pPr>
      <w:r>
        <w:rPr>
          <w:rFonts w:ascii="Times New Roman" w:cs="Times New Roman" w:eastAsia="Times New Roman" w:hAnsi="Times New Roman"/>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spacing w:after="0" w:line="1" w:lineRule="exact"/>
        <w:rPr>
          <w:sz w:val="20"/>
          <w:szCs w:val="20"/>
          <w:color w:val="auto"/>
        </w:rPr>
      </w:pPr>
    </w:p>
    <w:p>
      <w:pPr>
        <w:ind w:right="340" w:firstLine="230"/>
        <w:spacing w:after="0" w:line="234" w:lineRule="auto"/>
        <w:rPr>
          <w:sz w:val="20"/>
          <w:szCs w:val="20"/>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and disruptions to or delays in ongoing laboratory experiments;</w:t>
      </w:r>
    </w:p>
    <w:p>
      <w:pPr>
        <w:spacing w:after="0" w:line="1" w:lineRule="exact"/>
        <w:rPr>
          <w:sz w:val="20"/>
          <w:szCs w:val="20"/>
          <w:color w:val="auto"/>
        </w:rPr>
      </w:pPr>
    </w:p>
    <w:p>
      <w:pPr>
        <w:ind w:right="580" w:firstLine="230"/>
        <w:spacing w:after="0" w:line="242" w:lineRule="auto"/>
        <w:rPr>
          <w:sz w:val="20"/>
          <w:szCs w:val="20"/>
          <w:color w:val="auto"/>
        </w:rPr>
      </w:pPr>
      <w:r>
        <w:rPr>
          <w:rFonts w:ascii="Times New Roman" w:cs="Times New Roman" w:eastAsia="Times New Roman" w:hAnsi="Times New Roman"/>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1" w:lineRule="exact"/>
        <w:rPr>
          <w:sz w:val="20"/>
          <w:szCs w:val="20"/>
          <w:color w:val="auto"/>
        </w:rPr>
      </w:pP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93" w:lineRule="exact"/>
        <w:rPr>
          <w:sz w:val="20"/>
          <w:szCs w:val="20"/>
          <w:color w:val="auto"/>
        </w:rPr>
      </w:pPr>
    </w:p>
    <w:p>
      <w:pPr>
        <w:ind w:firstLine="576"/>
        <w:spacing w:after="0" w:line="264" w:lineRule="auto"/>
        <w:rPr>
          <w:sz w:val="20"/>
          <w:szCs w:val="20"/>
          <w:color w:val="auto"/>
        </w:rPr>
      </w:pPr>
      <w:r>
        <w:rPr>
          <w:rFonts w:ascii="Times New Roman" w:cs="Times New Roman" w:eastAsia="Times New Roman" w:hAnsi="Times New Roman"/>
          <w:sz w:val="17"/>
          <w:szCs w:val="17"/>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w:t>
      </w:r>
      <w:r>
        <w:rPr>
          <w:rFonts w:ascii="Times New Roman" w:cs="Times New Roman" w:eastAsia="Times New Roman" w:hAnsi="Times New Roman"/>
          <w:sz w:val="17"/>
          <w:szCs w:val="17"/>
          <w:color w:val="FF0000"/>
        </w:rPr>
        <w:t>.</w:t>
      </w:r>
      <w:r>
        <w:rPr>
          <w:rFonts w:ascii="Times New Roman" w:cs="Times New Roman" w:eastAsia="Times New Roman" w:hAnsi="Times New Roman"/>
          <w:sz w:val="17"/>
          <w:szCs w:val="17"/>
          <w:color w:val="auto"/>
        </w:rPr>
        <w:t xml:space="preserve"> We cannot presently predict the scope and severity of the planned and potential shutdowns or disruptions of businesses and government agencies, such as the SEC or FDA.</w:t>
      </w:r>
    </w:p>
    <w:p>
      <w:pPr>
        <w:spacing w:after="0" w:line="18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37"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72"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2" w:name="page53"/>
    <w:bookmarkEnd w:id="52"/>
    <w:p>
      <w:pPr>
        <w:ind w:right="140" w:firstLine="576"/>
        <w:spacing w:after="0" w:line="24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14"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19"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203" w:lineRule="exact"/>
        <w:rPr>
          <w:sz w:val="20"/>
          <w:szCs w:val="20"/>
          <w:color w:val="auto"/>
        </w:rPr>
      </w:pPr>
    </w:p>
    <w:p>
      <w:pPr>
        <w:ind w:right="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37"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GMB as TNG462 does not cross the blood-brain barrier in preclinical non-human primate models.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2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8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3"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3" w:name="page54"/>
    <w:bookmarkEnd w:id="53"/>
    <w:p>
      <w:pPr>
        <w:ind w:right="140"/>
        <w:spacing w:after="0" w:line="244" w:lineRule="auto"/>
        <w:rPr>
          <w:sz w:val="20"/>
          <w:szCs w:val="20"/>
          <w:color w:val="auto"/>
        </w:rPr>
      </w:pPr>
      <w:r>
        <w:rPr>
          <w:rFonts w:ascii="Times New Roman" w:cs="Times New Roman" w:eastAsia="Times New Roman" w:hAnsi="Times New Roman"/>
          <w:sz w:val="18"/>
          <w:szCs w:val="18"/>
          <w:color w:val="auto"/>
        </w:rPr>
        <w:t>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8"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69" w:lineRule="exact"/>
        <w:rPr>
          <w:sz w:val="20"/>
          <w:szCs w:val="20"/>
          <w:color w:val="auto"/>
        </w:rPr>
      </w:pPr>
    </w:p>
    <w:p>
      <w:pPr>
        <w:ind w:right="620" w:firstLine="230"/>
        <w:spacing w:after="0" w:line="253" w:lineRule="auto"/>
        <w:rPr>
          <w:sz w:val="20"/>
          <w:szCs w:val="20"/>
          <w:color w:val="auto"/>
        </w:rPr>
      </w:pPr>
      <w:r>
        <w:rPr>
          <w:rFonts w:ascii="Times New Roman" w:cs="Times New Roman" w:eastAsia="Times New Roman" w:hAnsi="Times New Roman"/>
          <w:sz w:val="18"/>
          <w:szCs w:val="18"/>
          <w:color w:val="auto"/>
        </w:rPr>
        <w:t>the efficacy of our current product candidates and any future product candidates as single agents and in combination with marketed combination therapies or other therapies that are also pending regulatory approval;</w:t>
      </w:r>
    </w:p>
    <w:p>
      <w:pPr>
        <w:spacing w:after="0" w:line="236" w:lineRule="auto"/>
        <w:rPr>
          <w:sz w:val="20"/>
          <w:szCs w:val="20"/>
          <w:color w:val="auto"/>
        </w:rPr>
      </w:pPr>
      <w:r>
        <w:rPr>
          <w:rFonts w:ascii="Times New Roman" w:cs="Times New Roman" w:eastAsia="Times New Roman" w:hAnsi="Times New Roman"/>
          <w:sz w:val="18"/>
          <w:szCs w:val="18"/>
          <w:color w:val="auto"/>
        </w:rPr>
        <w:t>the commercial success of the checkpoint blockade drugs with which certain of our products may be co-administered;</w:t>
      </w:r>
    </w:p>
    <w:p>
      <w:pPr>
        <w:ind w:right="220" w:firstLine="230"/>
        <w:spacing w:after="0" w:line="241" w:lineRule="auto"/>
        <w:rPr>
          <w:sz w:val="20"/>
          <w:szCs w:val="20"/>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 or those products with which they may be co-administered;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ind w:right="120" w:firstLine="230"/>
        <w:spacing w:after="0" w:line="238" w:lineRule="auto"/>
        <w:rPr>
          <w:sz w:val="20"/>
          <w:szCs w:val="20"/>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spacing w:after="0" w:line="2" w:lineRule="exact"/>
        <w:rPr>
          <w:sz w:val="20"/>
          <w:szCs w:val="20"/>
          <w:color w:val="auto"/>
        </w:rPr>
      </w:pPr>
    </w:p>
    <w:p>
      <w:pPr>
        <w:ind w:right="120" w:firstLine="230"/>
        <w:spacing w:after="0" w:line="241" w:lineRule="auto"/>
        <w:rPr>
          <w:sz w:val="20"/>
          <w:szCs w:val="20"/>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ind w:right="700" w:firstLine="230"/>
        <w:spacing w:after="0" w:line="241" w:lineRule="auto"/>
        <w:rPr>
          <w:sz w:val="20"/>
          <w:szCs w:val="20"/>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234" w:lineRule="auto"/>
        <w:rPr>
          <w:sz w:val="20"/>
          <w:szCs w:val="20"/>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rPr>
          <w:sz w:val="20"/>
          <w:szCs w:val="20"/>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ind w:firstLine="230"/>
        <w:spacing w:after="0" w:line="241" w:lineRule="auto"/>
        <w:rPr>
          <w:sz w:val="20"/>
          <w:szCs w:val="20"/>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 w:lineRule="exact"/>
        <w:rPr>
          <w:sz w:val="20"/>
          <w:szCs w:val="20"/>
          <w:color w:val="auto"/>
        </w:rPr>
      </w:pPr>
    </w:p>
    <w:p>
      <w:pPr>
        <w:ind w:left="240" w:right="1280"/>
        <w:spacing w:after="0" w:line="235" w:lineRule="auto"/>
        <w:rPr>
          <w:sz w:val="20"/>
          <w:szCs w:val="20"/>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w:t>
      </w:r>
    </w:p>
    <w:p>
      <w:pPr>
        <w:spacing w:after="0" w:line="1" w:lineRule="exact"/>
        <w:rPr>
          <w:sz w:val="20"/>
          <w:szCs w:val="20"/>
          <w:color w:val="auto"/>
        </w:rPr>
      </w:pPr>
    </w:p>
    <w:p>
      <w:pPr>
        <w:ind w:left="240" w:right="2840"/>
        <w:spacing w:after="0" w:line="242" w:lineRule="auto"/>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the extent and strength of our third-party manufacturer and supplier support;</w:t>
      </w:r>
    </w:p>
    <w:p>
      <w:pPr>
        <w:spacing w:after="0" w:line="1" w:lineRule="exact"/>
        <w:rPr>
          <w:sz w:val="20"/>
          <w:szCs w:val="20"/>
          <w:color w:val="auto"/>
        </w:rPr>
      </w:pPr>
    </w:p>
    <w:p>
      <w:pPr>
        <w:ind w:right="980" w:firstLine="230"/>
        <w:spacing w:after="0" w:line="234" w:lineRule="auto"/>
        <w:rPr>
          <w:sz w:val="20"/>
          <w:szCs w:val="20"/>
          <w:color w:val="auto"/>
        </w:rPr>
      </w:pPr>
      <w:r>
        <w:rPr>
          <w:rFonts w:ascii="Times New Roman" w:cs="Times New Roman" w:eastAsia="Times New Roman" w:hAnsi="Times New Roman"/>
          <w:sz w:val="18"/>
          <w:szCs w:val="18"/>
          <w:color w:val="auto"/>
        </w:rPr>
        <w:t>the actions of companies that market any products with which our current product candidates and any future product candidates may be co-administered;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other new products;</w:t>
      </w:r>
    </w:p>
    <w:p>
      <w:pPr>
        <w:spacing w:after="0" w:line="7" w:lineRule="exact"/>
        <w:rPr>
          <w:sz w:val="20"/>
          <w:szCs w:val="20"/>
          <w:color w:val="auto"/>
        </w:rPr>
      </w:pPr>
    </w:p>
    <w:p>
      <w:pPr>
        <w:ind w:right="520" w:firstLine="230"/>
        <w:spacing w:after="0" w:line="235" w:lineRule="auto"/>
        <w:rPr>
          <w:sz w:val="20"/>
          <w:szCs w:val="20"/>
          <w:color w:val="auto"/>
        </w:rPr>
      </w:pPr>
      <w:r>
        <w:rPr>
          <w:rFonts w:ascii="Times New Roman" w:cs="Times New Roman" w:eastAsia="Times New Roman" w:hAnsi="Times New Roman"/>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liability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0"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14"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4"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1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2"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Although we have designed our Phase 1/2 clinical trial of TNG908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5" w:name="page56"/>
    <w:bookmarkEnd w:id="55"/>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investigators (or clinical trial sites) and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30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50" w:lineRule="exact"/>
        <w:rPr>
          <w:sz w:val="20"/>
          <w:szCs w:val="20"/>
          <w:color w:val="auto"/>
        </w:rPr>
      </w:pPr>
    </w:p>
    <w:p>
      <w:pPr>
        <w:ind w:right="500" w:firstLine="576"/>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the existing collaboration that we have with Gilead, are subject to numerous risks, which include the following:</w:t>
      </w:r>
    </w:p>
    <w:p>
      <w:pPr>
        <w:spacing w:after="0" w:line="40" w:lineRule="exact"/>
        <w:rPr>
          <w:sz w:val="20"/>
          <w:szCs w:val="20"/>
          <w:color w:val="auto"/>
        </w:rPr>
      </w:pPr>
    </w:p>
    <w:p>
      <w:pPr>
        <w:ind w:right="260" w:firstLine="230"/>
        <w:spacing w:after="0" w:line="253"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35"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80" w:firstLine="230"/>
        <w:spacing w:after="0"/>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60" w:firstLine="230"/>
        <w:spacing w:after="0" w:line="235"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right="260" w:firstLine="230"/>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ind w:right="620" w:firstLine="230"/>
        <w:spacing w:after="0" w:line="242" w:lineRule="auto"/>
        <w:rPr>
          <w:sz w:val="20"/>
          <w:szCs w:val="20"/>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intellectual property by our collaborators and us and our partners or with those we engage in connection with sponsored research;</w:t>
      </w:r>
    </w:p>
    <w:p>
      <w:pPr>
        <w:spacing w:after="0" w:line="1" w:lineRule="exact"/>
        <w:rPr>
          <w:sz w:val="20"/>
          <w:szCs w:val="20"/>
          <w:color w:val="auto"/>
        </w:rPr>
      </w:pPr>
    </w:p>
    <w:p>
      <w:pPr>
        <w:ind w:right="140" w:firstLine="230"/>
        <w:spacing w:after="0" w:line="241" w:lineRule="auto"/>
        <w:rPr>
          <w:sz w:val="20"/>
          <w:szCs w:val="20"/>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 w:lineRule="exact"/>
        <w:rPr>
          <w:sz w:val="20"/>
          <w:szCs w:val="20"/>
          <w:color w:val="auto"/>
        </w:rPr>
      </w:pPr>
    </w:p>
    <w:p>
      <w:pPr>
        <w:jc w:val="both"/>
        <w:ind w:right="200" w:firstLine="230"/>
        <w:spacing w:after="0"/>
        <w:rPr>
          <w:sz w:val="20"/>
          <w:szCs w:val="20"/>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ind w:right="20" w:firstLine="230"/>
        <w:spacing w:after="0" w:line="245" w:lineRule="auto"/>
        <w:rPr>
          <w:sz w:val="20"/>
          <w:szCs w:val="20"/>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3" w:lineRule="exact"/>
        <w:rPr>
          <w:sz w:val="20"/>
          <w:szCs w:val="20"/>
          <w:color w:val="auto"/>
        </w:rPr>
      </w:pPr>
    </w:p>
    <w:p>
      <w:pPr>
        <w:ind w:right="600" w:firstLine="576"/>
        <w:spacing w:after="0" w:line="250"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6" w:name="page57"/>
    <w:bookmarkEnd w:id="56"/>
    <w:p>
      <w:pPr>
        <w:ind w:right="140" w:firstLine="576"/>
        <w:spacing w:after="0" w:line="247"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0"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1" w:lineRule="exact"/>
        <w:rPr>
          <w:sz w:val="20"/>
          <w:szCs w:val="20"/>
          <w:color w:val="auto"/>
        </w:rPr>
      </w:pPr>
    </w:p>
    <w:p>
      <w:pPr>
        <w:ind w:right="40" w:firstLine="576"/>
        <w:spacing w:after="0" w:line="257" w:lineRule="auto"/>
        <w:rPr>
          <w:sz w:val="20"/>
          <w:szCs w:val="20"/>
          <w:color w:val="auto"/>
        </w:rPr>
      </w:pPr>
      <w:r>
        <w:rPr>
          <w:rFonts w:ascii="Times New Roman" w:cs="Times New Roman" w:eastAsia="Times New Roman" w:hAnsi="Times New Roman"/>
          <w:sz w:val="17"/>
          <w:szCs w:val="17"/>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w:t>
      </w:r>
    </w:p>
    <w:p>
      <w:pPr>
        <w:spacing w:after="0" w:line="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commercialization efforts. For example, we rely on a limited number of CROs to perform certain chemistry-related work on our preclinical product candidates. One such CRO is located in Ukraine, which was invaded by Russia in February 2022 and, as a result, their work on our behalf of was interrupted. Another CRO, with operations in Shanghai, was impacted when lock-down procedures were recently implemented due to COVID-19 and was unable to operate at full capacity. Events such as those in Ukraine and China may delay development of our future product candidates, and such delay may materially impact the timing for moving products into development candidate stage and IND-enabling studies, as well as initiating trials.</w:t>
      </w:r>
    </w:p>
    <w:p>
      <w:pPr>
        <w:spacing w:after="0" w:line="14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201" w:lineRule="exact"/>
        <w:rPr>
          <w:sz w:val="20"/>
          <w:szCs w:val="20"/>
          <w:color w:val="auto"/>
        </w:rPr>
      </w:pPr>
    </w:p>
    <w:p>
      <w:pPr>
        <w:ind w:right="20" w:firstLine="576"/>
        <w:spacing w:after="0" w:line="257" w:lineRule="auto"/>
        <w:rPr>
          <w:sz w:val="20"/>
          <w:szCs w:val="20"/>
          <w:color w:val="auto"/>
        </w:rPr>
      </w:pPr>
      <w:r>
        <w:rPr>
          <w:rFonts w:ascii="Times New Roman" w:cs="Times New Roman" w:eastAsia="Times New Roman" w:hAnsi="Times New Roman"/>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our prior clinical supply used in our clinical trials and that of any new manufacturer. We may be unsuccessful in demonstrating the comparability of clinical supplies which could require the conduct of additional clinical trials.</w:t>
      </w:r>
    </w:p>
    <w:p>
      <w:pPr>
        <w:spacing w:after="0" w:line="148"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77" w:lineRule="exact"/>
        <w:rPr>
          <w:sz w:val="20"/>
          <w:szCs w:val="20"/>
          <w:color w:val="auto"/>
        </w:rPr>
      </w:pPr>
    </w:p>
    <w:p>
      <w:pPr>
        <w:ind w:right="400" w:firstLine="576"/>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third-party manufacturers or do so on acceptable terms. Reliance on third-party manufacturers entails additional risks, including:</w:t>
      </w:r>
    </w:p>
    <w:p>
      <w:pPr>
        <w:spacing w:after="0" w:line="40" w:lineRule="exact"/>
        <w:rPr>
          <w:sz w:val="20"/>
          <w:szCs w:val="20"/>
          <w:color w:val="auto"/>
        </w:rPr>
      </w:pPr>
    </w:p>
    <w:p>
      <w:pPr>
        <w:ind w:left="700" w:right="5080" w:firstLine="8"/>
        <w:spacing w:after="0" w:line="246" w:lineRule="auto"/>
        <w:rPr>
          <w:sz w:val="20"/>
          <w:szCs w:val="20"/>
          <w:color w:val="auto"/>
        </w:rPr>
      </w:pPr>
      <w:r>
        <w:rPr>
          <w:rFonts w:ascii="Times New Roman" w:cs="Times New Roman" w:eastAsia="Times New Roman" w:hAnsi="Times New Roman"/>
          <w:sz w:val="18"/>
          <w:szCs w:val="18"/>
          <w:color w:val="auto"/>
        </w:rPr>
        <w:t>reliance on the third party for regulatory compliance and quality assurance; the possible breach of the manufacturing agreement by the third party;</w:t>
      </w:r>
    </w:p>
    <w:p>
      <w:pPr>
        <w:ind w:left="480"/>
        <w:spacing w:after="0"/>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3"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15"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69"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50"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85"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ind w:firstLine="576"/>
        <w:spacing w:after="0" w:line="270" w:lineRule="auto"/>
        <w:rPr>
          <w:sz w:val="20"/>
          <w:szCs w:val="20"/>
          <w:color w:val="auto"/>
        </w:rPr>
      </w:pPr>
      <w:r>
        <w:rPr>
          <w:rFonts w:ascii="Times New Roman" w:cs="Times New Roman" w:eastAsia="Times New Roman" w:hAnsi="Times New Roman"/>
          <w:sz w:val="17"/>
          <w:szCs w:val="17"/>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8" w:name="page59"/>
    <w:bookmarkEnd w:id="58"/>
    <w:p>
      <w:pPr>
        <w:ind w:right="40"/>
        <w:spacing w:after="0" w:line="282" w:lineRule="auto"/>
        <w:rPr>
          <w:sz w:val="20"/>
          <w:szCs w:val="20"/>
          <w:color w:val="auto"/>
        </w:rPr>
      </w:pPr>
      <w:r>
        <w:rPr>
          <w:rFonts w:ascii="Times New Roman" w:cs="Times New Roman" w:eastAsia="Times New Roman" w:hAnsi="Times New Roman"/>
          <w:sz w:val="18"/>
          <w:szCs w:val="18"/>
          <w:color w:val="auto"/>
        </w:rPr>
        <w:t>at acceptable prices in a timely manner could impede, delay, limit or prevent our development efforts, which could harm our business, results of operations, financial condition and prospects.</w:t>
      </w:r>
    </w:p>
    <w:p>
      <w:pPr>
        <w:spacing w:after="0" w:line="25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200" w:firstLine="576"/>
        <w:spacing w:after="0" w:line="250"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90"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7" w:lineRule="exact"/>
        <w:rPr>
          <w:sz w:val="20"/>
          <w:szCs w:val="20"/>
          <w:color w:val="auto"/>
        </w:rPr>
      </w:pPr>
    </w:p>
    <w:p>
      <w:pPr>
        <w:ind w:right="520" w:firstLine="576"/>
        <w:spacing w:after="0" w:line="258"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9"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8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60"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ind w:right="60"/>
        <w:spacing w:after="0" w:line="245" w:lineRule="auto"/>
        <w:rPr>
          <w:sz w:val="20"/>
          <w:szCs w:val="20"/>
          <w:color w:val="auto"/>
        </w:rPr>
      </w:pPr>
      <w:r>
        <w:rPr>
          <w:rFonts w:ascii="Times New Roman" w:cs="Times New Roman" w:eastAsia="Times New Roman" w:hAnsi="Times New Roman"/>
          <w:sz w:val="18"/>
          <w:szCs w:val="18"/>
          <w:color w:val="auto"/>
        </w:rPr>
        <w:t>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Quarterly Report on Form 10-Q, we have multiple filed patent applications for our product candidates.</w:t>
      </w:r>
    </w:p>
    <w:p>
      <w:pPr>
        <w:spacing w:after="0" w:line="195"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the intellectual property protections we may obtain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20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6"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w:t>
      </w:r>
    </w:p>
    <w:p>
      <w:pPr>
        <w:spacing w:after="0" w:line="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0" w:name="page61"/>
    <w:bookmarkEnd w:id="60"/>
    <w:p>
      <w:pPr>
        <w:ind w:right="140"/>
        <w:spacing w:after="0" w:line="242" w:lineRule="auto"/>
        <w:rPr>
          <w:sz w:val="20"/>
          <w:szCs w:val="20"/>
          <w:color w:val="auto"/>
        </w:rPr>
      </w:pPr>
      <w:r>
        <w:rPr>
          <w:rFonts w:ascii="Times New Roman" w:cs="Times New Roman" w:eastAsia="Times New Roman" w:hAnsi="Times New Roman"/>
          <w:sz w:val="18"/>
          <w:szCs w:val="18"/>
          <w:color w:val="auto"/>
        </w:rPr>
        <w:t xml:space="preserve">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204"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5" w:lineRule="exact"/>
        <w:rPr>
          <w:sz w:val="20"/>
          <w:szCs w:val="20"/>
          <w:color w:val="auto"/>
        </w:rPr>
      </w:pPr>
    </w:p>
    <w:p>
      <w:pPr>
        <w:ind w:right="280" w:firstLine="576"/>
        <w:spacing w:after="0" w:line="261" w:lineRule="auto"/>
        <w:rPr>
          <w:sz w:val="20"/>
          <w:szCs w:val="20"/>
          <w:color w:val="auto"/>
        </w:rPr>
      </w:pPr>
      <w:r>
        <w:rPr>
          <w:rFonts w:ascii="Times New Roman" w:cs="Times New Roman" w:eastAsia="Times New Roman" w:hAnsi="Times New Roman"/>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2"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Even if they are unchallenged,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the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82" w:lineRule="exact"/>
        <w:rPr>
          <w:sz w:val="20"/>
          <w:szCs w:val="20"/>
          <w:color w:val="auto"/>
        </w:rPr>
      </w:pPr>
    </w:p>
    <w:p>
      <w:pPr>
        <w:ind w:right="300" w:firstLine="576"/>
        <w:spacing w:after="0" w:line="250"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14"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81"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61" w:name="page62"/>
    <w:bookmarkEnd w:id="61"/>
    <w:p>
      <w:pPr>
        <w:ind w:right="60"/>
        <w:spacing w:after="0" w:line="282" w:lineRule="auto"/>
        <w:rPr>
          <w:sz w:val="20"/>
          <w:szCs w:val="20"/>
          <w:color w:val="auto"/>
        </w:rPr>
      </w:pPr>
      <w:r>
        <w:rPr>
          <w:rFonts w:ascii="Times New Roman" w:cs="Times New Roman" w:eastAsia="Times New Roman" w:hAnsi="Times New Roman"/>
          <w:sz w:val="18"/>
          <w:szCs w:val="18"/>
          <w:color w:val="auto"/>
        </w:rPr>
        <w:t>such an event, our competitors might be able to enter the market with similar or identical products or platforms, which could have a material adverse effect on our business prospects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08"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08"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20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spacing w:after="0" w:line="250" w:lineRule="auto"/>
        <w:rPr>
          <w:sz w:val="20"/>
          <w:szCs w:val="20"/>
          <w:color w:val="auto"/>
        </w:rPr>
      </w:pPr>
      <w:r>
        <w:rPr>
          <w:rFonts w:ascii="Times New Roman" w:cs="Times New Roman" w:eastAsia="Times New Roman" w:hAnsi="Times New Roman"/>
          <w:sz w:val="18"/>
          <w:szCs w:val="18"/>
          <w:color w:val="auto"/>
        </w:rPr>
        <w:t>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110" w:lineRule="exact"/>
        <w:rPr>
          <w:sz w:val="20"/>
          <w:szCs w:val="20"/>
          <w:color w:val="auto"/>
        </w:rPr>
      </w:pPr>
    </w:p>
    <w:p>
      <w:pPr>
        <w:ind w:right="120" w:firstLine="576"/>
        <w:spacing w:after="0" w:line="24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among other things,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and consultants, the agreements provide that all inventions conceived by the individual, and which are related to our current or planned business or research and development or made during normal working hours (or during the course of performing services in the case of consultants), on our premises or using our equipment or proprietary information, are our exclusive property. Although we require all of our employees and consultants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37"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122"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spacing w:after="0" w:line="243" w:lineRule="auto"/>
        <w:rPr>
          <w:sz w:val="20"/>
          <w:szCs w:val="20"/>
          <w:color w:val="auto"/>
        </w:rPr>
      </w:pPr>
      <w:r>
        <w:rPr>
          <w:rFonts w:ascii="Times New Roman" w:cs="Times New Roman" w:eastAsia="Times New Roman" w:hAnsi="Times New Roman"/>
          <w:sz w:val="18"/>
          <w:szCs w:val="18"/>
          <w:color w:val="auto"/>
        </w:rPr>
        <w:t>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w:t>
      </w:r>
    </w:p>
    <w:p>
      <w:pPr>
        <w:spacing w:after="0" w:line="119"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0"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0"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30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3"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4" w:name="page65"/>
    <w:bookmarkEnd w:id="64"/>
    <w:p>
      <w:pPr>
        <w:ind w:right="20"/>
        <w:spacing w:after="0" w:line="244" w:lineRule="auto"/>
        <w:rPr>
          <w:sz w:val="20"/>
          <w:szCs w:val="20"/>
          <w:color w:val="auto"/>
        </w:rPr>
      </w:pPr>
      <w:r>
        <w:rPr>
          <w:rFonts w:ascii="Times New Roman" w:cs="Times New Roman" w:eastAsia="Times New Roman" w:hAnsi="Times New Roman"/>
          <w:sz w:val="18"/>
          <w:szCs w:val="18"/>
          <w:color w:val="auto"/>
        </w:rPr>
        <w:t>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5"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202" w:lineRule="exact"/>
        <w:rPr>
          <w:sz w:val="20"/>
          <w:szCs w:val="20"/>
          <w:color w:val="auto"/>
        </w:rPr>
      </w:pPr>
    </w:p>
    <w:p>
      <w:pPr>
        <w:ind w:right="640" w:firstLine="576"/>
        <w:spacing w:after="0" w:line="266"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140" w:firstLine="230"/>
        <w:spacing w:after="0" w:line="254" w:lineRule="auto"/>
        <w:rPr>
          <w:sz w:val="20"/>
          <w:szCs w:val="20"/>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20" w:firstLine="230"/>
        <w:spacing w:after="0" w:line="239"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ind w:right="580" w:firstLine="230"/>
        <w:spacing w:after="0"/>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ind w:right="500" w:firstLine="230"/>
        <w:spacing w:after="0"/>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ind w:right="420" w:firstLine="230"/>
        <w:spacing w:after="0" w:line="235"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 w:lineRule="exact"/>
        <w:rPr>
          <w:sz w:val="20"/>
          <w:szCs w:val="20"/>
          <w:color w:val="auto"/>
        </w:rPr>
      </w:pPr>
    </w:p>
    <w:p>
      <w:pPr>
        <w:ind w:firstLine="230"/>
        <w:spacing w:after="0" w:line="244"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5" w:name="page66"/>
    <w:bookmarkEnd w:id="65"/>
    <w:p>
      <w:pPr>
        <w:ind w:firstLine="576"/>
        <w:spacing w:after="0" w:line="24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96"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0"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6" w:name="page67"/>
    <w:bookmarkEnd w:id="66"/>
    <w:p>
      <w:pPr>
        <w:ind w:right="160"/>
        <w:spacing w:after="0" w:line="258" w:lineRule="auto"/>
        <w:rPr>
          <w:sz w:val="20"/>
          <w:szCs w:val="20"/>
          <w:color w:val="auto"/>
        </w:rPr>
      </w:pPr>
      <w:r>
        <w:rPr>
          <w:rFonts w:ascii="Times New Roman" w:cs="Times New Roman" w:eastAsia="Times New Roman" w:hAnsi="Times New Roman"/>
          <w:sz w:val="18"/>
          <w:szCs w:val="18"/>
          <w:color w:val="auto"/>
        </w:rPr>
        <w:t>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69"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0"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Like many companies in the biopharmaceutical industry we have, and may in the future, receive offers to license or acquire certain technologies or intellectual property rights from third parties in connection with the manufacturing and/or commercializing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30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35"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ind w:firstLine="230"/>
        <w:spacing w:after="0" w:line="242"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ind w:right="600" w:firstLine="230"/>
        <w:spacing w:after="0" w:line="258"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115" w:lineRule="exact"/>
        <w:rPr>
          <w:sz w:val="20"/>
          <w:szCs w:val="20"/>
          <w:color w:val="auto"/>
        </w:rPr>
      </w:pPr>
    </w:p>
    <w:p>
      <w:pPr>
        <w:ind w:right="20" w:firstLine="584"/>
        <w:spacing w:after="0" w:line="24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66"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ind w:right="120"/>
        <w:spacing w:after="0" w:line="250" w:lineRule="auto"/>
        <w:rPr>
          <w:sz w:val="20"/>
          <w:szCs w:val="20"/>
          <w:color w:val="auto"/>
        </w:rPr>
      </w:pPr>
      <w:r>
        <w:rPr>
          <w:rFonts w:ascii="Times New Roman" w:cs="Times New Roman" w:eastAsia="Times New Roman" w:hAnsi="Times New Roman"/>
          <w:sz w:val="18"/>
          <w:szCs w:val="18"/>
          <w:color w:val="auto"/>
        </w:rPr>
        <w:t>example, we cannot be certain that there is no invalidating prior art, of which we or our current and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64"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08"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An adverse determination in any such submission or proceeding could reduce the scope or 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100" w:firstLine="576"/>
        <w:spacing w:after="0" w:line="250"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9" w:lineRule="exact"/>
        <w:rPr>
          <w:sz w:val="20"/>
          <w:szCs w:val="20"/>
          <w:color w:val="auto"/>
        </w:rPr>
      </w:pPr>
    </w:p>
    <w:p>
      <w:pPr>
        <w:ind w:right="200" w:firstLine="576"/>
        <w:spacing w:after="0" w:line="247"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37"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9" w:name="page70"/>
    <w:bookmarkEnd w:id="69"/>
    <w:p>
      <w:pPr>
        <w:ind w:right="80"/>
        <w:spacing w:after="0" w:line="258" w:lineRule="auto"/>
        <w:rPr>
          <w:sz w:val="20"/>
          <w:szCs w:val="20"/>
          <w:color w:val="auto"/>
        </w:rPr>
      </w:pPr>
      <w:r>
        <w:rPr>
          <w:rFonts w:ascii="Times New Roman" w:cs="Times New Roman" w:eastAsia="Times New Roman" w:hAnsi="Times New Roman"/>
          <w:sz w:val="17"/>
          <w:szCs w:val="17"/>
          <w:color w:val="auto"/>
        </w:rPr>
        <w:t>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05"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3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challenged and held invalid or unenforceable;</w:t>
      </w:r>
    </w:p>
    <w:p>
      <w:pPr>
        <w:jc w:val="both"/>
        <w:ind w:right="280" w:firstLine="230"/>
        <w:spacing w:after="0"/>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234" w:lineRule="auto"/>
        <w:rPr>
          <w:sz w:val="20"/>
          <w:szCs w:val="20"/>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ind w:right="80" w:firstLine="230"/>
        <w:spacing w:after="0" w:line="242"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520" w:firstLine="230"/>
        <w:spacing w:after="0"/>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34" w:lineRule="auto"/>
        <w:rPr>
          <w:sz w:val="20"/>
          <w:szCs w:val="20"/>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ind w:right="300" w:firstLine="230"/>
        <w:spacing w:after="0" w:line="241" w:lineRule="auto"/>
        <w:rPr>
          <w:sz w:val="20"/>
          <w:szCs w:val="20"/>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right="40" w:firstLine="230"/>
        <w:spacing w:after="0" w:line="235"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40" w:right="3560"/>
        <w:spacing w:after="0" w:line="242"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20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30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4"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In the third quarter of 2022, the FDA granted Orphan Drug Designation to TNG908 for the treatment of malignant peripheral nerve sheath tumors (MPNST).</w:t>
      </w:r>
    </w:p>
    <w:p>
      <w:pPr>
        <w:spacing w:after="0" w:line="17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Similarly, in Europe, the European Commission, upon the recommendation of the EMA’s Committee for Orphan Medicinal Products, grants orphan drug designation to promote the development of drugs that are intended for the diagnosis,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1" w:name="page72"/>
    <w:bookmarkEnd w:id="71"/>
    <w:p>
      <w:pPr>
        <w:ind w:right="100"/>
        <w:spacing w:after="0" w:line="250" w:lineRule="auto"/>
        <w:rPr>
          <w:sz w:val="20"/>
          <w:szCs w:val="20"/>
          <w:color w:val="auto"/>
        </w:rPr>
      </w:pPr>
      <w:r>
        <w:rPr>
          <w:rFonts w:ascii="Times New Roman" w:cs="Times New Roman" w:eastAsia="Times New Roman" w:hAnsi="Times New Roman"/>
          <w:sz w:val="18"/>
          <w:szCs w:val="18"/>
          <w:color w:val="auto"/>
        </w:rPr>
        <w:t>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81"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3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9" w:lineRule="exact"/>
        <w:rPr>
          <w:sz w:val="20"/>
          <w:szCs w:val="20"/>
          <w:color w:val="auto"/>
        </w:rPr>
      </w:pPr>
    </w:p>
    <w:p>
      <w:pPr>
        <w:ind w:right="40" w:firstLine="576"/>
        <w:spacing w:after="0" w:line="244"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ind w:right="540"/>
        <w:spacing w:after="0" w:line="282" w:lineRule="auto"/>
        <w:rPr>
          <w:sz w:val="20"/>
          <w:szCs w:val="20"/>
          <w:color w:val="auto"/>
        </w:rPr>
      </w:pPr>
      <w:r>
        <w:rPr>
          <w:rFonts w:ascii="Times New Roman" w:cs="Times New Roman" w:eastAsia="Times New Roman" w:hAnsi="Times New Roman"/>
          <w:sz w:val="18"/>
          <w:szCs w:val="18"/>
          <w:color w:val="auto"/>
        </w:rPr>
        <w:t>believes that the designation is no longer supported by data from our clinical development program. Fast track designation alone does not guarantee qualification for the FDA’s priority review procedures.</w:t>
      </w:r>
    </w:p>
    <w:p>
      <w:pPr>
        <w:spacing w:after="0" w:line="17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0"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7"/>
          <w:szCs w:val="17"/>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6"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23"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3" w:name="page74"/>
    <w:bookmarkEnd w:id="73"/>
    <w:p>
      <w:pPr>
        <w:ind w:right="120"/>
        <w:spacing w:after="0" w:line="250" w:lineRule="auto"/>
        <w:rPr>
          <w:sz w:val="20"/>
          <w:szCs w:val="20"/>
          <w:color w:val="auto"/>
        </w:rPr>
      </w:pPr>
      <w:r>
        <w:rPr>
          <w:rFonts w:ascii="Times New Roman" w:cs="Times New Roman" w:eastAsia="Times New Roman" w:hAnsi="Times New Roman"/>
          <w:sz w:val="18"/>
          <w:szCs w:val="18"/>
          <w:color w:val="auto"/>
        </w:rPr>
        <w:t>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20" w:lineRule="exact"/>
        <w:rPr>
          <w:sz w:val="20"/>
          <w:szCs w:val="20"/>
          <w:color w:val="auto"/>
        </w:rPr>
      </w:pPr>
    </w:p>
    <w:p>
      <w:pPr>
        <w:ind w:right="580" w:firstLine="576"/>
        <w:spacing w:after="0" w:line="282" w:lineRule="auto"/>
        <w:rPr>
          <w:sz w:val="20"/>
          <w:szCs w:val="20"/>
          <w:color w:val="auto"/>
        </w:rPr>
      </w:pPr>
      <w:r>
        <w:rPr>
          <w:rFonts w:ascii="Times New Roman" w:cs="Times New Roman" w:eastAsia="Times New Roman" w:hAnsi="Times New Roman"/>
          <w:sz w:val="18"/>
          <w:szCs w:val="18"/>
          <w:color w:val="auto"/>
        </w:rPr>
        <w:t>In 2020 and in 2021, a number of companies announced receipt of complete response letters due to the FDA’s inability to complete required inspections for their applications.</w:t>
      </w:r>
    </w:p>
    <w:p>
      <w:pPr>
        <w:spacing w:after="0" w:line="81"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and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08"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additions or modifications to product labeling (if, and when, a product is approved for sale);</w:t>
      </w:r>
    </w:p>
    <w:p>
      <w:pPr>
        <w:spacing w:after="0" w:line="1" w:lineRule="exact"/>
        <w:rPr>
          <w:sz w:val="20"/>
          <w:szCs w:val="20"/>
          <w:color w:val="auto"/>
        </w:rPr>
      </w:pPr>
    </w:p>
    <w:p>
      <w:pPr>
        <w:ind w:right="160" w:firstLine="8"/>
        <w:spacing w:after="0" w:line="24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(if any products are approved by applicable regulatory authorities); or (iv) additional record-keeping requirements. If any such changes were to be imposed, they could adversely affect the operation of our business. For additional information, see section entitled “</w:t>
      </w:r>
      <w:r>
        <w:rPr>
          <w:rFonts w:ascii="Times New Roman" w:cs="Times New Roman" w:eastAsia="Times New Roman" w:hAnsi="Times New Roman"/>
          <w:sz w:val="18"/>
          <w:szCs w:val="18"/>
          <w:i w:val="1"/>
          <w:iCs w:val="1"/>
          <w:color w:val="auto"/>
        </w:rPr>
        <w:t>Business – Current and future healthcare reform legislation</w:t>
      </w:r>
      <w:r>
        <w:rPr>
          <w:rFonts w:ascii="Times New Roman" w:cs="Times New Roman" w:eastAsia="Times New Roman" w:hAnsi="Times New Roman"/>
          <w:sz w:val="18"/>
          <w:szCs w:val="18"/>
          <w:color w:val="auto"/>
        </w:rPr>
        <w:t>” as set forth in the Annual Report on Form 10-K for the fiscal year ended December 31, 2021.</w:t>
      </w:r>
    </w:p>
    <w:p>
      <w:pPr>
        <w:spacing w:after="0" w:line="198" w:lineRule="exact"/>
        <w:rPr>
          <w:sz w:val="20"/>
          <w:szCs w:val="20"/>
          <w:color w:val="auto"/>
        </w:rPr>
      </w:pPr>
    </w:p>
    <w:p>
      <w:pPr>
        <w:ind w:right="60" w:firstLine="584"/>
        <w:spacing w:after="0" w:line="242"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Patient Protection and Affordable Care Act, as amended by the Health Care and Education Reconciliation Act of 2010, or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201"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8"/>
          <w:szCs w:val="18"/>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4" w:name="page75"/>
    <w:bookmarkEnd w:id="74"/>
    <w:p>
      <w:pPr>
        <w:ind w:firstLine="576"/>
        <w:spacing w:after="0" w:line="244"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5"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9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These laws, and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9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Times New Roman" w:cs="Times New Roman" w:eastAsia="Times New Roman" w:hAnsi="Times New Roman"/>
          <w:sz w:val="18"/>
          <w:szCs w:val="18"/>
          <w:i w:val="1"/>
          <w:iCs w:val="1"/>
          <w:color w:val="auto"/>
        </w:rPr>
        <w:t>Business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healthcare laws" </w:t>
      </w:r>
      <w:r>
        <w:rPr>
          <w:rFonts w:ascii="Times New Roman" w:cs="Times New Roman" w:eastAsia="Times New Roman" w:hAnsi="Times New Roman"/>
          <w:sz w:val="18"/>
          <w:szCs w:val="18"/>
          <w:color w:val="auto"/>
        </w:rPr>
        <w:t>as set forth in the Annual Report on Form 10-K for the fiscal year ended December 31, 2021.</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5" w:name="page76"/>
    <w:bookmarkEnd w:id="75"/>
    <w:p>
      <w:pPr>
        <w:ind w:firstLine="576"/>
        <w:spacing w:after="0" w:line="24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30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87"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240" w:right="300"/>
        <w:spacing w:after="0" w:line="266"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ind w:right="320" w:firstLine="230"/>
        <w:spacing w:after="0" w:line="254"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234" w:lineRule="auto"/>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ind w:left="240" w:right="4060"/>
        <w:spacing w:after="0" w:line="242"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ind w:left="240" w:right="460"/>
        <w:spacing w:after="0" w:line="242"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192" w:lineRule="exact"/>
        <w:rPr>
          <w:sz w:val="20"/>
          <w:szCs w:val="20"/>
          <w:color w:val="auto"/>
        </w:rPr>
      </w:pPr>
    </w:p>
    <w:p>
      <w:pPr>
        <w:ind w:firstLine="584"/>
        <w:spacing w:after="0" w:line="250"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3"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jc w:val="both"/>
        <w:ind w:right="20" w:firstLine="576"/>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7" w:name="page78"/>
    <w:bookmarkEnd w:id="77"/>
    <w:p>
      <w:pPr>
        <w:ind w:right="120"/>
        <w:spacing w:after="0" w:line="282" w:lineRule="auto"/>
        <w:rPr>
          <w:sz w:val="20"/>
          <w:szCs w:val="20"/>
          <w:color w:val="auto"/>
        </w:rPr>
      </w:pPr>
      <w:r>
        <w:rPr>
          <w:rFonts w:ascii="Times New Roman" w:cs="Times New Roman" w:eastAsia="Times New Roman" w:hAnsi="Times New Roman"/>
          <w:sz w:val="18"/>
          <w:szCs w:val="18"/>
          <w:color w:val="auto"/>
        </w:rPr>
        <w:t>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48" w:lineRule="exact"/>
        <w:rPr>
          <w:sz w:val="20"/>
          <w:szCs w:val="20"/>
          <w:color w:val="auto"/>
        </w:rPr>
      </w:pPr>
    </w:p>
    <w:p>
      <w:pPr>
        <w:jc w:val="both"/>
        <w:ind w:right="140" w:firstLine="576"/>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7"/>
          <w:szCs w:val="17"/>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or delays experienced in such clinical trials, may make it more challenging to recruit and retain qualified scientific personnel.</w:t>
      </w:r>
    </w:p>
    <w:p>
      <w:pPr>
        <w:spacing w:after="0" w:line="188"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63"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Phase 1/2 clinical trial, we (and our third party processors assisting with the clinical trial) will have access to, and may store, clinical and health information of the patients participating in the trial.</w:t>
      </w:r>
    </w:p>
    <w:p>
      <w:pPr>
        <w:spacing w:after="0" w:line="69"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8" w:name="page79"/>
    <w:bookmarkEnd w:id="78"/>
    <w:p>
      <w:pPr>
        <w:ind w:right="40"/>
        <w:spacing w:after="0" w:line="245" w:lineRule="auto"/>
        <w:rPr>
          <w:sz w:val="20"/>
          <w:szCs w:val="20"/>
          <w:color w:val="auto"/>
        </w:rPr>
      </w:pPr>
      <w:r>
        <w:rPr>
          <w:rFonts w:ascii="Times New Roman" w:cs="Times New Roman" w:eastAsia="Times New Roman" w:hAnsi="Times New Roman"/>
          <w:sz w:val="18"/>
          <w:szCs w:val="18"/>
          <w:color w:val="auto"/>
        </w:rPr>
        <w:t>including the compounds we are developing, our screening platform technology,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95"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87" w:lineRule="exact"/>
        <w:rPr>
          <w:sz w:val="20"/>
          <w:szCs w:val="20"/>
          <w:color w:val="auto"/>
        </w:rPr>
      </w:pPr>
    </w:p>
    <w:p>
      <w:pPr>
        <w:ind w:right="160" w:firstLine="450"/>
        <w:spacing w:after="0" w:line="243" w:lineRule="auto"/>
        <w:rPr>
          <w:sz w:val="20"/>
          <w:szCs w:val="20"/>
          <w:color w:val="auto"/>
        </w:rPr>
      </w:pPr>
      <w:r>
        <w:rPr>
          <w:rFonts w:ascii="Times New Roman" w:cs="Times New Roman" w:eastAsia="Times New Roman" w:hAnsi="Times New Roman"/>
          <w:sz w:val="18"/>
          <w:szCs w:val="18"/>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72" w:lineRule="exact"/>
        <w:rPr>
          <w:sz w:val="20"/>
          <w:szCs w:val="20"/>
          <w:color w:val="auto"/>
        </w:rPr>
      </w:pPr>
    </w:p>
    <w:p>
      <w:pPr>
        <w:ind w:right="320" w:firstLine="450"/>
        <w:spacing w:after="0" w:line="247" w:lineRule="auto"/>
        <w:rPr>
          <w:sz w:val="20"/>
          <w:szCs w:val="20"/>
          <w:color w:val="auto"/>
        </w:rPr>
      </w:pPr>
      <w:r>
        <w:rPr>
          <w:rFonts w:ascii="Times New Roman" w:cs="Times New Roman" w:eastAsia="Times New Roman" w:hAnsi="Times New Roman"/>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0" w:lineRule="exact"/>
        <w:rPr>
          <w:sz w:val="20"/>
          <w:szCs w:val="20"/>
          <w:color w:val="auto"/>
        </w:rPr>
      </w:pPr>
    </w:p>
    <w:p>
      <w:pPr>
        <w:ind w:right="60" w:firstLine="270"/>
        <w:spacing w:after="0" w:line="242" w:lineRule="auto"/>
        <w:rPr>
          <w:sz w:val="20"/>
          <w:szCs w:val="20"/>
          <w:color w:val="auto"/>
        </w:rPr>
      </w:pPr>
      <w:r>
        <w:rPr>
          <w:rFonts w:ascii="Times New Roman" w:cs="Times New Roman" w:eastAsia="Times New Roman" w:hAnsi="Times New Roman"/>
          <w:sz w:val="18"/>
          <w:szCs w:val="18"/>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ind w:right="140"/>
        <w:spacing w:after="0" w:line="258" w:lineRule="auto"/>
        <w:rPr>
          <w:sz w:val="20"/>
          <w:szCs w:val="20"/>
          <w:color w:val="auto"/>
        </w:rPr>
      </w:pPr>
      <w:r>
        <w:rPr>
          <w:rFonts w:ascii="Times New Roman" w:cs="Times New Roman" w:eastAsia="Times New Roman" w:hAnsi="Times New Roman"/>
          <w:sz w:val="18"/>
          <w:szCs w:val="18"/>
          <w:color w:val="auto"/>
        </w:rPr>
        <w:t>protection under the EU GDPR and, therefore, transfers of personal data originating in the EU to the UK remain unrestricted. Like the EU GDPR, the UK GDPR restricts personal data transfers outside the UK to countries not regarded by the UK as providing adequate protection, such as the U.S. The UK government has confirmed that personal data transfers from the UK to the EEA remain free flowing.</w:t>
      </w:r>
    </w:p>
    <w:p>
      <w:pPr>
        <w:spacing w:after="0" w:line="169" w:lineRule="exact"/>
        <w:rPr>
          <w:sz w:val="20"/>
          <w:szCs w:val="20"/>
          <w:color w:val="auto"/>
        </w:rPr>
      </w:pPr>
    </w:p>
    <w:p>
      <w:pPr>
        <w:ind w:right="20" w:firstLine="540"/>
        <w:spacing w:after="0" w:line="242"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Information Commissioner’s Office, or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Implementing these new safeguards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75" w:lineRule="exact"/>
        <w:rPr>
          <w:sz w:val="20"/>
          <w:szCs w:val="20"/>
          <w:color w:val="auto"/>
        </w:rPr>
      </w:pPr>
    </w:p>
    <w:p>
      <w:pPr>
        <w:ind w:firstLine="315"/>
        <w:spacing w:after="0" w:line="258"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69" w:lineRule="exact"/>
        <w:rPr>
          <w:sz w:val="20"/>
          <w:szCs w:val="20"/>
          <w:color w:val="auto"/>
        </w:rPr>
      </w:pPr>
    </w:p>
    <w:p>
      <w:pPr>
        <w:ind w:right="120" w:firstLine="576"/>
        <w:spacing w:after="0" w:line="245"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As of June 30, 2022, we had 103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7"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0" w:name="page81"/>
    <w:bookmarkEnd w:id="80"/>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Based on our common stock outstanding as of June 30,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77"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7" w:lineRule="exact"/>
        <w:rPr>
          <w:sz w:val="20"/>
          <w:szCs w:val="20"/>
          <w:color w:val="auto"/>
        </w:rPr>
      </w:pPr>
    </w:p>
    <w:p>
      <w:pPr>
        <w:ind w:right="300" w:firstLine="58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240" w:right="380"/>
        <w:spacing w:after="0" w:line="261" w:lineRule="auto"/>
        <w:rPr>
          <w:sz w:val="20"/>
          <w:szCs w:val="20"/>
          <w:color w:val="auto"/>
        </w:rPr>
      </w:pPr>
      <w:r>
        <w:rPr>
          <w:rFonts w:ascii="Times New Roman" w:cs="Times New Roman" w:eastAsia="Times New Roman" w:hAnsi="Times New Roman"/>
          <w:sz w:val="17"/>
          <w:szCs w:val="17"/>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w:t>
      </w:r>
    </w:p>
    <w:p>
      <w:pPr>
        <w:spacing w:after="0" w:line="238" w:lineRule="auto"/>
        <w:rPr>
          <w:sz w:val="20"/>
          <w:szCs w:val="20"/>
          <w:color w:val="auto"/>
        </w:rPr>
      </w:pPr>
      <w:r>
        <w:rPr>
          <w:rFonts w:ascii="Times New Roman" w:cs="Times New Roman" w:eastAsia="Times New Roman" w:hAnsi="Times New Roman"/>
          <w:sz w:val="18"/>
          <w:szCs w:val="18"/>
          <w:color w:val="auto"/>
        </w:rPr>
        <w:t>affirmative vote of a majority of the directors then in office, and special meetings of stockholders may not be called by any other person or persons;</w:t>
      </w:r>
    </w:p>
    <w:p>
      <w:pPr>
        <w:spacing w:after="0" w:line="235" w:lineRule="auto"/>
        <w:rPr>
          <w:sz w:val="20"/>
          <w:szCs w:val="20"/>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w:t>
      </w:r>
    </w:p>
    <w:p>
      <w:pPr>
        <w:spacing w:after="0" w:line="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other vote required by law, only upon the approval of not less than 66 2/3% of all outstanding shares of our capital stock then entitled to vote in the election of directors;</w:t>
      </w:r>
    </w:p>
    <w:p>
      <w:pPr>
        <w:spacing w:after="0" w:line="1" w:lineRule="exact"/>
        <w:rPr>
          <w:sz w:val="20"/>
          <w:szCs w:val="20"/>
          <w:color w:val="auto"/>
        </w:rPr>
      </w:pPr>
    </w:p>
    <w:p>
      <w:pPr>
        <w:ind w:right="560" w:firstLine="230"/>
        <w:spacing w:after="0" w:line="242"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560" w:firstLine="230"/>
        <w:spacing w:after="0" w:line="243"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1" w:name="page82"/>
    <w:bookmarkEnd w:id="81"/>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8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9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2" w:name="page83"/>
    <w:bookmarkEnd w:id="82"/>
    <w:p>
      <w:pPr>
        <w:ind w:firstLine="576"/>
        <w:spacing w:after="0" w:line="241"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1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0"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7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37" w:lineRule="exact"/>
        <w:rPr>
          <w:sz w:val="20"/>
          <w:szCs w:val="20"/>
          <w:color w:val="auto"/>
        </w:rPr>
      </w:pPr>
    </w:p>
    <w:p>
      <w:pPr>
        <w:ind w:right="240" w:firstLine="576"/>
        <w:spacing w:after="0" w:line="250"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competitive products or technologies;</w:t>
      </w:r>
    </w:p>
    <w:p>
      <w:pPr>
        <w:spacing w:after="0" w:line="15" w:lineRule="exact"/>
        <w:rPr>
          <w:sz w:val="20"/>
          <w:szCs w:val="20"/>
          <w:color w:val="auto"/>
        </w:rPr>
      </w:pPr>
    </w:p>
    <w:p>
      <w:pPr>
        <w:ind w:left="240" w:right="3560"/>
        <w:spacing w:after="0" w:line="241" w:lineRule="auto"/>
        <w:rPr>
          <w:sz w:val="20"/>
          <w:szCs w:val="20"/>
          <w:color w:val="auto"/>
        </w:rPr>
      </w:pPr>
      <w:r>
        <w:rPr>
          <w:rFonts w:ascii="Times New Roman" w:cs="Times New Roman" w:eastAsia="Times New Roman" w:hAnsi="Times New Roman"/>
          <w:sz w:val="18"/>
          <w:szCs w:val="18"/>
          <w:color w:val="auto"/>
        </w:rPr>
        <w:t>advancement of our preclinical programs, such as our targeted oncology programs, into clinical testing; results of clinical trials of our product candidates or those of our competitors;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regulatory or legal developments in the United States and other countries;</w:t>
      </w:r>
    </w:p>
    <w:p>
      <w:pPr>
        <w:ind w:left="240" w:right="3880"/>
        <w:spacing w:after="0" w:line="241"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40" w:right="1940"/>
        <w:spacing w:after="0" w:line="235"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40" w:right="1580"/>
        <w:spacing w:after="0" w:line="242"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40" w:right="4040"/>
        <w:spacing w:after="0" w:line="241"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limited trading volume;</w:t>
      </w:r>
    </w:p>
    <w:p>
      <w:pPr>
        <w:ind w:left="240" w:right="4940"/>
        <w:spacing w:after="0" w:line="234" w:lineRule="auto"/>
        <w:rPr>
          <w:sz w:val="20"/>
          <w:szCs w:val="20"/>
          <w:color w:val="auto"/>
        </w:rPr>
      </w:pPr>
      <w:r>
        <w:rPr>
          <w:rFonts w:ascii="Times New Roman" w:cs="Times New Roman" w:eastAsia="Times New Roman" w:hAnsi="Times New Roman"/>
          <w:sz w:val="18"/>
          <w:szCs w:val="18"/>
          <w:color w:val="auto"/>
        </w:rPr>
        <w:t>future sales of common stock by our officers, directors and significant stockholders; general economic, industry and market conditions;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3" w:name="page84"/>
    <w:bookmarkEnd w:id="83"/>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37" w:lineRule="exact"/>
        <w:rPr>
          <w:sz w:val="20"/>
          <w:szCs w:val="20"/>
          <w:color w:val="auto"/>
        </w:rPr>
      </w:pPr>
    </w:p>
    <w:p>
      <w:pPr>
        <w:ind w:right="40" w:firstLine="576"/>
        <w:spacing w:after="0" w:line="264"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8"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9" w:lineRule="exact"/>
        <w:rPr>
          <w:sz w:val="20"/>
          <w:szCs w:val="20"/>
          <w:color w:val="auto"/>
        </w:rPr>
      </w:pPr>
    </w:p>
    <w:p>
      <w:pPr>
        <w:ind w:right="20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08" w:lineRule="exact"/>
        <w:rPr>
          <w:sz w:val="20"/>
          <w:szCs w:val="20"/>
          <w:color w:val="auto"/>
        </w:rPr>
      </w:pPr>
    </w:p>
    <w:p>
      <w:pPr>
        <w:ind w:right="180" w:firstLine="576"/>
        <w:spacing w:after="0" w:line="246"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08" w:lineRule="exact"/>
        <w:rPr>
          <w:sz w:val="20"/>
          <w:szCs w:val="20"/>
          <w:color w:val="auto"/>
        </w:rPr>
      </w:pPr>
    </w:p>
    <w:p>
      <w:pPr>
        <w:ind w:right="60" w:firstLine="576"/>
        <w:spacing w:after="0" w:line="243"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08"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a marked increase in interest rates and inflation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08"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Item 701 of Regulation S-K was previously included in our Quarterly Report on Form 10-Q filed on November 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Initial Public Offering</w:t>
      </w:r>
    </w:p>
    <w:p>
      <w:pPr>
        <w:spacing w:after="0" w:line="200" w:lineRule="exact"/>
        <w:rPr>
          <w:sz w:val="20"/>
          <w:szCs w:val="20"/>
          <w:color w:val="auto"/>
        </w:rPr>
      </w:pPr>
    </w:p>
    <w:p>
      <w:pPr>
        <w:spacing w:after="0" w:line="2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580" w:type="dxa"/>
            <w:vAlign w:val="bottom"/>
            <w:gridSpan w:val="6"/>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5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7"/>
          </w:tcPr>
          <w:p>
            <w:pPr>
              <w:spacing w:after="0" w:line="15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Adopted Pursuant to Section 302 of the Sarbanes-Oxley Act of 2002.</w:t>
              </w:r>
            </w:hyperlink>
          </w:p>
        </w:tc>
        <w:tc>
          <w:tcPr>
            <w:tcW w:w="468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7"/>
          </w:tcPr>
          <w:p>
            <w:pPr>
              <w:spacing w:after="0" w:line="182"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Adopted Pursuant to Section 302 of the Sarbanes-Oxley Act of 2002.</w:t>
              </w:r>
            </w:hyperlink>
          </w:p>
        </w:tc>
        <w:tc>
          <w:tcPr>
            <w:tcW w:w="4640" w:type="dxa"/>
            <w:vAlign w:val="bottom"/>
            <w:tcBorders>
              <w:top w:val="single" w:sz="8" w:color="0000FF"/>
            </w:tcBorders>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7"/>
          </w:tcPr>
          <w:p>
            <w:pPr>
              <w:spacing w:after="0" w:line="182"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Oxley Act of 2002.</w:t>
              </w:r>
            </w:hyperlink>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7"/>
          </w:tcPr>
          <w:p>
            <w:pPr>
              <w:spacing w:after="0" w:line="182"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Oxley Act of 2002.</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7"/>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36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13"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520" w:right="80" w:hanging="512"/>
        <w:spacing w:after="0" w:line="246" w:lineRule="auto"/>
        <w:tabs>
          <w:tab w:leader="none" w:pos="4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6" w:name="page87"/>
    <w:bookmarkEnd w:id="8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
      <w:numFmt w:val="bullet"/>
      <w:start w:val="1"/>
    </w:lvl>
  </w:abstractNum>
  <w:abstractNum w:abstractNumId="3">
    <w:nsid w:val="836C40E"/>
    <w:multiLevelType w:val="hybridMultilevel"/>
    <w:lvl w:ilvl="0">
      <w:lvlJc w:val="left"/>
      <w:lvlText w:val="•"/>
      <w:numFmt w:val="bullet"/>
      <w:start w:val="1"/>
    </w:lvl>
    <w:lvl w:ilvl="1">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2"/>
    </w:lvl>
  </w:abstractNum>
  <w:abstractNum w:abstractNumId="8">
    <w:nsid w:val="7C3DBD3D"/>
    <w:multiLevelType w:val="hybridMultilevel"/>
    <w:lvl w:ilvl="0">
      <w:lvlJc w:val="left"/>
      <w:lvlText w:val="%1."/>
      <w:numFmt w:val="decimal"/>
      <w:start w:val="3"/>
    </w:lvl>
  </w:abstractNum>
  <w:abstractNum w:abstractNumId="9">
    <w:nsid w:val="737B8DDC"/>
    <w:multiLevelType w:val="hybridMultilevel"/>
    <w:lvl w:ilvl="0">
      <w:lvlJc w:val="left"/>
      <w:lvlText w:val="%1."/>
      <w:numFmt w:val="decimal"/>
      <w:start w:val="4"/>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5"/>
    </w:lvl>
  </w:abstractNum>
  <w:abstractNum w:abstractNumId="12">
    <w:nsid w:val="4516DDE9"/>
    <w:multiLevelType w:val="hybridMultilevel"/>
    <w:lvl w:ilvl="0">
      <w:lvlJc w:val="left"/>
      <w:lvlText w:val="%1."/>
      <w:numFmt w:val="decimal"/>
      <w:start w:val="6"/>
    </w:lvl>
  </w:abstractNum>
  <w:abstractNum w:abstractNumId="13">
    <w:nsid w:val="3006C83E"/>
    <w:multiLevelType w:val="hybridMultilevel"/>
    <w:lvl w:ilvl="0">
      <w:lvlJc w:val="left"/>
      <w:lvlText w:val="%1."/>
      <w:numFmt w:val="decimal"/>
      <w:start w:val="7"/>
    </w:lvl>
  </w:abstractNum>
  <w:abstractNum w:abstractNumId="14">
    <w:nsid w:val="614FD4A1"/>
    <w:multiLevelType w:val="hybridMultilevel"/>
    <w:lvl w:ilvl="0">
      <w:lvlJc w:val="left"/>
      <w:lvlText w:val="%1."/>
      <w:numFmt w:val="decimal"/>
      <w:start w:val="8"/>
    </w:lvl>
  </w:abstractNum>
  <w:abstractNum w:abstractNumId="15">
    <w:nsid w:val="419AC241"/>
    <w:multiLevelType w:val="hybridMultilevel"/>
    <w:lvl w:ilvl="0">
      <w:lvlJc w:val="left"/>
      <w:lvlText w:val="%1."/>
      <w:numFmt w:val="decimal"/>
      <w:start w:val="9"/>
    </w:lvl>
  </w:abstractNum>
  <w:abstractNum w:abstractNumId="16">
    <w:nsid w:val="5577F8E1"/>
    <w:multiLevelType w:val="hybridMultilevel"/>
    <w:lvl w:ilvl="0">
      <w:lvlJc w:val="left"/>
      <w:lvlText w:val="%1."/>
      <w:numFmt w:val="decimal"/>
      <w:start w:val="10"/>
    </w:lvl>
  </w:abstractNum>
  <w:abstractNum w:abstractNumId="17">
    <w:nsid w:val="440BADFC"/>
    <w:multiLevelType w:val="hybridMultilevel"/>
    <w:lvl w:ilvl="0">
      <w:lvlJc w:val="left"/>
      <w:lvlText w:val="%1."/>
      <w:numFmt w:val="decimal"/>
      <w:start w:val="11"/>
    </w:lvl>
  </w:abstractNum>
  <w:abstractNum w:abstractNumId="18">
    <w:nsid w:val="5072367"/>
    <w:multiLevelType w:val="hybridMultilevel"/>
    <w:lvl w:ilvl="0">
      <w:lvlJc w:val="left"/>
      <w:lvlText w:val="%1."/>
      <w:numFmt w:val="decimal"/>
      <w:start w:val="12"/>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4"/>
    </w:lvl>
  </w:abstractNum>
  <w:abstractNum w:abstractNumId="23">
    <w:nsid w:val="2463B9EA"/>
    <w:multiLevelType w:val="hybridMultilevel"/>
    <w:lvl w:ilvl="0">
      <w:lvlJc w:val="left"/>
      <w:lvlText w:val=" "/>
      <w:numFmt w:val="bullet"/>
      <w:start w:val="1"/>
    </w:lvl>
  </w:abstractNum>
  <w:abstractNum w:abstractNumId="24">
    <w:nsid w:val="5E884ADC"/>
    <w:multiLevelType w:val="hybridMultilevel"/>
    <w:lvl w:ilvl="0">
      <w:lvlJc w:val="left"/>
      <w:lvlText w:val=" "/>
      <w:numFmt w:val="bullet"/>
      <w:start w:val="1"/>
    </w:lvl>
  </w:abstractNum>
  <w:abstractNum w:abstractNumId="25">
    <w:nsid w:val="51EAD36B"/>
    <w:multiLevelType w:val="hybridMultilevel"/>
    <w:lvl w:ilvl="0">
      <w:lvlJc w:val="left"/>
      <w:lvlText w:val=" "/>
      <w:numFmt w:val="bullet"/>
      <w:start w:val="1"/>
    </w:lvl>
  </w:abstractNum>
  <w:abstractNum w:abstractNumId="26">
    <w:nsid w:val="2D517796"/>
    <w:multiLevelType w:val="hybridMultilevel"/>
    <w:lvl w:ilvl="0">
      <w:lvlJc w:val="left"/>
      <w:lvlText w:val=" "/>
      <w:numFmt w:val="bullet"/>
      <w:start w:val="1"/>
    </w:lvl>
  </w:abstractNum>
  <w:abstractNum w:abstractNumId="27">
    <w:nsid w:val="580BD78F"/>
    <w:multiLevelType w:val="hybridMultilevel"/>
    <w:lvl w:ilvl="0">
      <w:lvlJc w:val="left"/>
      <w:lvlText w:val=" "/>
      <w:numFmt w:val="bullet"/>
      <w:start w:val="1"/>
    </w:lvl>
  </w:abstractNum>
  <w:abstractNum w:abstractNumId="28">
    <w:nsid w:val="153EA438"/>
    <w:multiLevelType w:val="hybridMultilevel"/>
    <w:lvl w:ilvl="0">
      <w:lvlJc w:val="left"/>
      <w:lvlText w:val=" "/>
      <w:numFmt w:val="bullet"/>
      <w:start w:val="1"/>
    </w:lvl>
  </w:abstractNum>
  <w:abstractNum w:abstractNumId="29">
    <w:nsid w:val="3855585C"/>
    <w:multiLevelType w:val="hybridMultilevel"/>
    <w:lvl w:ilvl="0">
      <w:lvlJc w:val="left"/>
      <w:lvlText w:val=" "/>
      <w:numFmt w:val="bullet"/>
      <w:start w:val="1"/>
    </w:lvl>
  </w:abstractNum>
  <w:abstractNum w:abstractNumId="30">
    <w:nsid w:val="70A64E2A"/>
    <w:multiLevelType w:val="hybridMultilevel"/>
    <w:lvl w:ilvl="0">
      <w:lvlJc w:val="left"/>
      <w:lvlText w:val=" "/>
      <w:numFmt w:val="bullet"/>
      <w:start w:val="1"/>
    </w:lvl>
  </w:abstractNum>
  <w:abstractNum w:abstractNumId="31">
    <w:nsid w:val="6A2342EC"/>
    <w:multiLevelType w:val="hybridMultilevel"/>
    <w:lvl w:ilvl="0">
      <w:lvlJc w:val="left"/>
      <w:lvlText w:val=" "/>
      <w:numFmt w:val="bullet"/>
      <w:start w:val="1"/>
    </w:lvl>
  </w:abstractNum>
  <w:abstractNum w:abstractNumId="32">
    <w:nsid w:val="2A487CB0"/>
    <w:multiLevelType w:val="hybridMultilevel"/>
    <w:lvl w:ilvl="0">
      <w:lvlJc w:val="left"/>
      <w:lvlText w:val=" "/>
      <w:numFmt w:val="bullet"/>
      <w:start w:val="1"/>
    </w:lvl>
  </w:abstractNum>
  <w:abstractNum w:abstractNumId="33">
    <w:nsid w:val="1D4ED43B"/>
    <w:multiLevelType w:val="hybridMultilevel"/>
    <w:lvl w:ilvl="0">
      <w:lvlJc w:val="left"/>
      <w:lvlText w:val=" "/>
      <w:numFmt w:val="bullet"/>
      <w:start w:val="1"/>
    </w:lvl>
  </w:abstractNum>
  <w:abstractNum w:abstractNumId="34">
    <w:nsid w:val="725A06FB"/>
    <w:multiLevelType w:val="hybridMultilevel"/>
    <w:lvl w:ilvl="0">
      <w:lvlJc w:val="left"/>
      <w:lvlText w:val=" "/>
      <w:numFmt w:val="bullet"/>
      <w:start w:val="1"/>
    </w:lvl>
  </w:abstractNum>
  <w:abstractNum w:abstractNumId="35">
    <w:nsid w:val="2CD89A32"/>
    <w:multiLevelType w:val="hybridMultilevel"/>
    <w:lvl w:ilvl="0">
      <w:lvlJc w:val="left"/>
      <w:lvlText w:val=" "/>
      <w:numFmt w:val="bullet"/>
      <w:start w:val="1"/>
    </w:lvl>
  </w:abstractNum>
  <w:abstractNum w:abstractNumId="36">
    <w:nsid w:val="57E4CCAF"/>
    <w:multiLevelType w:val="hybridMultilevel"/>
    <w:lvl w:ilvl="0">
      <w:lvlJc w:val="left"/>
      <w:lvlText w:val=" "/>
      <w:numFmt w:val="bullet"/>
      <w:start w:val="1"/>
    </w:lvl>
  </w:abstractNum>
  <w:abstractNum w:abstractNumId="37">
    <w:nsid w:val="7A6D8D3C"/>
    <w:multiLevelType w:val="hybridMultilevel"/>
    <w:lvl w:ilvl="0">
      <w:lvlJc w:val="left"/>
      <w:lvlText w:val=" "/>
      <w:numFmt w:val="bullet"/>
      <w:start w:val="1"/>
    </w:lvl>
  </w:abstractNum>
  <w:abstractNum w:abstractNumId="38">
    <w:nsid w:val="4B588F54"/>
    <w:multiLevelType w:val="hybridMultilevel"/>
    <w:lvl w:ilvl="0">
      <w:lvlJc w:val="left"/>
      <w:lvlText w:val=" "/>
      <w:numFmt w:val="bullet"/>
      <w:start w:val="1"/>
    </w:lvl>
  </w:abstractNum>
  <w:abstractNum w:abstractNumId="39">
    <w:nsid w:val="542289EC"/>
    <w:multiLevelType w:val="hybridMultilevel"/>
    <w:lvl w:ilvl="0">
      <w:lvlJc w:val="left"/>
      <w:lvlText w:val=" "/>
      <w:numFmt w:val="bullet"/>
      <w:start w:val="1"/>
    </w:lvl>
  </w:abstractNum>
  <w:abstractNum w:abstractNumId="40">
    <w:nsid w:val="6DE91B18"/>
    <w:multiLevelType w:val="hybridMultilevel"/>
    <w:lvl w:ilvl="0">
      <w:lvlJc w:val="left"/>
      <w:lvlText w:val=" "/>
      <w:numFmt w:val="bullet"/>
      <w:start w:val="1"/>
    </w:lvl>
  </w:abstractNum>
  <w:abstractNum w:abstractNumId="41">
    <w:nsid w:val="38437FDB"/>
    <w:multiLevelType w:val="hybridMultilevel"/>
    <w:lvl w:ilvl="0">
      <w:lvlJc w:val="left"/>
      <w:lvlText w:val=" "/>
      <w:numFmt w:val="bullet"/>
      <w:start w:val="1"/>
    </w:lvl>
  </w:abstractNum>
  <w:abstractNum w:abstractNumId="42">
    <w:nsid w:val="7644A45C"/>
    <w:multiLevelType w:val="hybridMultilevel"/>
    <w:lvl w:ilvl="0">
      <w:lvlJc w:val="left"/>
      <w:lvlText w:val=" "/>
      <w:numFmt w:val="bullet"/>
      <w:start w:val="1"/>
    </w:lvl>
  </w:abstractNum>
  <w:abstractNum w:abstractNumId="43">
    <w:nsid w:val="32FFF902"/>
    <w:multiLevelType w:val="hybridMultilevel"/>
    <w:lvl w:ilvl="0">
      <w:lvlJc w:val="left"/>
      <w:lvlText w:val=" "/>
      <w:numFmt w:val="bullet"/>
      <w:start w:val="1"/>
    </w:lvl>
  </w:abstractNum>
  <w:abstractNum w:abstractNumId="44">
    <w:nsid w:val="684A481A"/>
    <w:multiLevelType w:val="hybridMultilevel"/>
    <w:lvl w:ilvl="0">
      <w:lvlJc w:val="left"/>
      <w:lvlText w:val="(%1)"/>
      <w:numFmt w:val="lowerRoman"/>
      <w:start w:val="3"/>
    </w:lvl>
  </w:abstractNum>
  <w:abstractNum w:abstractNumId="45">
    <w:nsid w:val="579478FE"/>
    <w:multiLevelType w:val="hybridMultilevel"/>
    <w:lvl w:ilvl="0">
      <w:lvlJc w:val="left"/>
      <w:lvlText w:val=" "/>
      <w:numFmt w:val="bullet"/>
      <w:start w:val="1"/>
    </w:lvl>
  </w:abstractNum>
  <w:abstractNum w:abstractNumId="46">
    <w:nsid w:val="749ABB43"/>
    <w:multiLevelType w:val="hybridMultilevel"/>
    <w:lvl w:ilvl="0">
      <w:lvlJc w:val="left"/>
      <w:lvlText w:val=" "/>
      <w:numFmt w:val="bullet"/>
      <w:start w:val="1"/>
    </w:lvl>
  </w:abstractNum>
  <w:abstractNum w:abstractNumId="47">
    <w:nsid w:val="3DC240FB"/>
    <w:multiLevelType w:val="hybridMultilevel"/>
    <w:lvl w:ilvl="0">
      <w:lvlJc w:val="left"/>
      <w:lvlText w:val=" "/>
      <w:numFmt w:val="bullet"/>
      <w:start w:val="1"/>
    </w:lvl>
  </w:abstractNum>
  <w:abstractNum w:abstractNumId="48">
    <w:nsid w:val="1BA026FA"/>
    <w:multiLevelType w:val="hybridMultilevel"/>
    <w:lvl w:ilvl="0">
      <w:lvlJc w:val="left"/>
      <w:lvlText w:val=" "/>
      <w:numFmt w:val="bullet"/>
      <w:start w:val="1"/>
    </w:lvl>
  </w:abstractNum>
  <w:abstractNum w:abstractNumId="49">
    <w:nsid w:val="79A1DEAA"/>
    <w:multiLevelType w:val="hybridMultilevel"/>
    <w:lvl w:ilvl="0">
      <w:lvlJc w:val="left"/>
      <w:lvlText w:val=" "/>
      <w:numFmt w:val="bullet"/>
      <w:start w:val="1"/>
    </w:lvl>
  </w:abstractNum>
  <w:abstractNum w:abstractNumId="50">
    <w:nsid w:val="75C6C33A"/>
    <w:multiLevelType w:val="hybridMultilevel"/>
    <w:lvl w:ilvl="0">
      <w:lvlJc w:val="left"/>
      <w:lvlText w:val=" "/>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89" Type="http://schemas.openxmlformats.org/officeDocument/2006/relationships/hyperlink" Target="https://www.sec.gov/Archives/edgar/data/1819133/000095017022016257/tngx-ex31_1.htm" TargetMode="External"/><Relationship Id="rId290" Type="http://schemas.openxmlformats.org/officeDocument/2006/relationships/hyperlink" Target="https://www.sec.gov/Archives/edgar/data/1819133/000095017022016257/tngx-ex31_2.htm" TargetMode="External"/><Relationship Id="rId291" Type="http://schemas.openxmlformats.org/officeDocument/2006/relationships/hyperlink" Target="https://www.sec.gov/Archives/edgar/data/1819133/000095017022016257/tngx-ex32_1.htm" TargetMode="External"/><Relationship Id="rId292" Type="http://schemas.openxmlformats.org/officeDocument/2006/relationships/hyperlink" Target="https://www.sec.gov/Archives/edgar/data/1819133/000095017022016257/tngx-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2022-08-10T17:05:19Z</dcterms:created>
  <dcterms:modified xsi:type="dcterms:W3CDTF">2022-08-10T17:05:19Z</dcterms:modified>
</cp:coreProperties>
</file>