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U.S. Securities and Exchange Commission on July 30, 2020</w:t>
      </w:r>
    </w:p>
    <w:p>
      <w:pPr>
        <w:spacing w:after="0" w:line="27" w:lineRule="exact"/>
        <w:rPr>
          <w:sz w:val="24"/>
          <w:szCs w:val="24"/>
          <w:color w:val="auto"/>
        </w:rPr>
      </w:pPr>
    </w:p>
    <w:p>
      <w:pPr>
        <w:ind w:left="894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S-1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BCTG ACQUISITION CORP.</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Delaware</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9"/>
              </w:rPr>
              <w:t>6770</w:t>
            </w: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9"/>
              </w:rPr>
              <w:t>85-1195036</w:t>
            </w:r>
          </w:p>
        </w:tc>
      </w:tr>
      <w:tr>
        <w:trPr>
          <w:trHeight w:val="202"/>
        </w:trPr>
        <w:tc>
          <w:tcPr>
            <w:tcW w:w="36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(State or other jurisdiction of</w:t>
            </w: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(Primary Standard Industrial</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38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incorporation or organization)</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Classification Code Number)</w:t>
            </w:r>
          </w:p>
        </w:tc>
        <w:tc>
          <w:tcPr>
            <w:tcW w:w="3600" w:type="dxa"/>
            <w:vAlign w:val="bottom"/>
          </w:tcPr>
          <w:p>
            <w:pPr>
              <w:jc w:val="center"/>
              <w:spacing w:after="0"/>
              <w:rPr>
                <w:sz w:val="20"/>
                <w:szCs w:val="20"/>
                <w:color w:val="auto"/>
              </w:rPr>
            </w:pPr>
            <w:r>
              <w:rPr>
                <w:rFonts w:ascii="Arial" w:cs="Arial" w:eastAsia="Arial" w:hAnsi="Arial"/>
                <w:sz w:val="18"/>
                <w:szCs w:val="18"/>
                <w:color w:val="auto"/>
                <w:w w:val="94"/>
              </w:rPr>
              <w:t>Identification Number)</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11682 El Camino Real, Suite 320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 Diego, CA 92130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(858) 400-3112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Aaron I. Davis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11682 El Camino Real, Suite 320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 Diego, CA 92130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(858) 400-3112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tbl>
      <w:tblPr>
        <w:tblLayout w:type="fixed"/>
        <w:tblInd w:w="1460" w:type="dxa"/>
        <w:tblCellMar>
          <w:top w:w="0" w:type="dxa"/>
          <w:left w:w="0" w:type="dxa"/>
          <w:bottom w:w="0" w:type="dxa"/>
          <w:right w:w="0" w:type="dxa"/>
        </w:tblCellMar>
      </w:tblPr>
      <w:tr>
        <w:trPr>
          <w:trHeight w:val="230"/>
        </w:trPr>
        <w:tc>
          <w:tcPr>
            <w:tcW w:w="2960" w:type="dxa"/>
            <w:vAlign w:val="bottom"/>
            <w:vMerge w:val="restart"/>
          </w:tcPr>
          <w:p>
            <w:pPr>
              <w:jc w:val="center"/>
              <w:ind w:right="750"/>
              <w:spacing w:after="0"/>
              <w:rPr>
                <w:sz w:val="20"/>
                <w:szCs w:val="20"/>
                <w:color w:val="auto"/>
              </w:rPr>
            </w:pPr>
            <w:r>
              <w:rPr>
                <w:rFonts w:ascii="Arial" w:cs="Arial" w:eastAsia="Arial" w:hAnsi="Arial"/>
                <w:sz w:val="18"/>
                <w:szCs w:val="18"/>
                <w:b w:val="1"/>
                <w:bCs w:val="1"/>
                <w:color w:val="auto"/>
                <w:w w:val="90"/>
              </w:rPr>
              <w:t>Mitchell S. Nussbaum</w:t>
            </w:r>
          </w:p>
        </w:tc>
        <w:tc>
          <w:tcPr>
            <w:tcW w:w="5360" w:type="dxa"/>
            <w:vAlign w:val="bottom"/>
          </w:tcPr>
          <w:p>
            <w:pPr>
              <w:ind w:left="840"/>
              <w:spacing w:after="0"/>
              <w:rPr>
                <w:sz w:val="20"/>
                <w:szCs w:val="20"/>
                <w:color w:val="auto"/>
              </w:rPr>
            </w:pPr>
            <w:r>
              <w:rPr>
                <w:rFonts w:ascii="Arial" w:cs="Arial" w:eastAsia="Arial" w:hAnsi="Arial"/>
                <w:sz w:val="18"/>
                <w:szCs w:val="18"/>
                <w:i w:val="1"/>
                <w:iCs w:val="1"/>
                <w:color w:val="auto"/>
              </w:rPr>
              <w:t>Copies to:</w:t>
            </w:r>
          </w:p>
        </w:tc>
        <w:tc>
          <w:tcPr>
            <w:tcW w:w="0" w:type="dxa"/>
            <w:vAlign w:val="bottom"/>
          </w:tcPr>
          <w:p>
            <w:pPr>
              <w:spacing w:after="0"/>
              <w:rPr>
                <w:sz w:val="1"/>
                <w:szCs w:val="1"/>
                <w:color w:val="auto"/>
              </w:rPr>
            </w:pPr>
          </w:p>
        </w:tc>
      </w:tr>
      <w:tr>
        <w:trPr>
          <w:trHeight w:val="198"/>
        </w:trPr>
        <w:tc>
          <w:tcPr>
            <w:tcW w:w="2960" w:type="dxa"/>
            <w:vAlign w:val="bottom"/>
            <w:vMerge w:val="continue"/>
          </w:tcPr>
          <w:p>
            <w:pPr>
              <w:spacing w:after="0"/>
              <w:rPr>
                <w:sz w:val="17"/>
                <w:szCs w:val="17"/>
                <w:color w:val="auto"/>
              </w:rPr>
            </w:pPr>
          </w:p>
        </w:tc>
        <w:tc>
          <w:tcPr>
            <w:tcW w:w="5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60" w:type="dxa"/>
            <w:vAlign w:val="bottom"/>
          </w:tcPr>
          <w:p>
            <w:pPr>
              <w:jc w:val="center"/>
              <w:ind w:right="750"/>
              <w:spacing w:after="0"/>
              <w:rPr>
                <w:sz w:val="20"/>
                <w:szCs w:val="20"/>
                <w:color w:val="auto"/>
              </w:rPr>
            </w:pPr>
            <w:r>
              <w:rPr>
                <w:rFonts w:ascii="Arial" w:cs="Arial" w:eastAsia="Arial" w:hAnsi="Arial"/>
                <w:sz w:val="18"/>
                <w:szCs w:val="18"/>
                <w:b w:val="1"/>
                <w:bCs w:val="1"/>
                <w:color w:val="auto"/>
                <w:w w:val="91"/>
              </w:rPr>
              <w:t>Giovanni Caruso</w:t>
            </w:r>
          </w:p>
        </w:tc>
        <w:tc>
          <w:tcPr>
            <w:tcW w:w="5360" w:type="dxa"/>
            <w:vAlign w:val="bottom"/>
          </w:tcPr>
          <w:p>
            <w:pPr>
              <w:jc w:val="center"/>
              <w:ind w:left="3110"/>
              <w:spacing w:after="0"/>
              <w:rPr>
                <w:sz w:val="20"/>
                <w:szCs w:val="20"/>
                <w:color w:val="auto"/>
              </w:rPr>
            </w:pPr>
            <w:r>
              <w:rPr>
                <w:rFonts w:ascii="Arial" w:cs="Arial" w:eastAsia="Arial" w:hAnsi="Arial"/>
                <w:sz w:val="18"/>
                <w:szCs w:val="18"/>
                <w:b w:val="1"/>
                <w:bCs w:val="1"/>
                <w:color w:val="auto"/>
                <w:w w:val="93"/>
              </w:rPr>
              <w:t>Christian O. Nagler</w:t>
            </w:r>
          </w:p>
        </w:tc>
        <w:tc>
          <w:tcPr>
            <w:tcW w:w="0" w:type="dxa"/>
            <w:vAlign w:val="bottom"/>
          </w:tcPr>
          <w:p>
            <w:pPr>
              <w:spacing w:after="0"/>
              <w:rPr>
                <w:sz w:val="1"/>
                <w:szCs w:val="1"/>
                <w:color w:val="auto"/>
              </w:rPr>
            </w:pPr>
          </w:p>
        </w:tc>
      </w:tr>
      <w:tr>
        <w:trPr>
          <w:trHeight w:val="216"/>
        </w:trPr>
        <w:tc>
          <w:tcPr>
            <w:tcW w:w="2960" w:type="dxa"/>
            <w:vAlign w:val="bottom"/>
          </w:tcPr>
          <w:p>
            <w:pPr>
              <w:jc w:val="center"/>
              <w:ind w:right="770"/>
              <w:spacing w:after="0"/>
              <w:rPr>
                <w:sz w:val="20"/>
                <w:szCs w:val="20"/>
                <w:color w:val="auto"/>
              </w:rPr>
            </w:pPr>
            <w:r>
              <w:rPr>
                <w:rFonts w:ascii="Arial" w:cs="Arial" w:eastAsia="Arial" w:hAnsi="Arial"/>
                <w:sz w:val="18"/>
                <w:szCs w:val="18"/>
                <w:b w:val="1"/>
                <w:bCs w:val="1"/>
                <w:color w:val="auto"/>
                <w:w w:val="95"/>
              </w:rPr>
              <w:t>Loeb &amp; Loeb LLP</w:t>
            </w:r>
          </w:p>
        </w:tc>
        <w:tc>
          <w:tcPr>
            <w:tcW w:w="5360" w:type="dxa"/>
            <w:vAlign w:val="bottom"/>
          </w:tcPr>
          <w:p>
            <w:pPr>
              <w:jc w:val="center"/>
              <w:ind w:left="3110"/>
              <w:spacing w:after="0"/>
              <w:rPr>
                <w:sz w:val="20"/>
                <w:szCs w:val="20"/>
                <w:color w:val="auto"/>
              </w:rPr>
            </w:pPr>
            <w:r>
              <w:rPr>
                <w:rFonts w:ascii="Arial" w:cs="Arial" w:eastAsia="Arial" w:hAnsi="Arial"/>
                <w:sz w:val="18"/>
                <w:szCs w:val="18"/>
                <w:b w:val="1"/>
                <w:bCs w:val="1"/>
                <w:color w:val="auto"/>
                <w:w w:val="98"/>
              </w:rPr>
              <w:t>Kirkland &amp; Ellis LLP</w:t>
            </w:r>
          </w:p>
        </w:tc>
        <w:tc>
          <w:tcPr>
            <w:tcW w:w="0" w:type="dxa"/>
            <w:vAlign w:val="bottom"/>
          </w:tcPr>
          <w:p>
            <w:pPr>
              <w:spacing w:after="0"/>
              <w:rPr>
                <w:sz w:val="1"/>
                <w:szCs w:val="1"/>
                <w:color w:val="auto"/>
              </w:rPr>
            </w:pPr>
          </w:p>
        </w:tc>
      </w:tr>
      <w:tr>
        <w:trPr>
          <w:trHeight w:val="216"/>
        </w:trPr>
        <w:tc>
          <w:tcPr>
            <w:tcW w:w="2960" w:type="dxa"/>
            <w:vAlign w:val="bottom"/>
          </w:tcPr>
          <w:p>
            <w:pPr>
              <w:jc w:val="center"/>
              <w:ind w:right="750"/>
              <w:spacing w:after="0"/>
              <w:rPr>
                <w:sz w:val="20"/>
                <w:szCs w:val="20"/>
                <w:color w:val="auto"/>
              </w:rPr>
            </w:pPr>
            <w:r>
              <w:rPr>
                <w:rFonts w:ascii="Arial" w:cs="Arial" w:eastAsia="Arial" w:hAnsi="Arial"/>
                <w:sz w:val="18"/>
                <w:szCs w:val="18"/>
                <w:b w:val="1"/>
                <w:bCs w:val="1"/>
                <w:color w:val="auto"/>
                <w:w w:val="91"/>
              </w:rPr>
              <w:t>345 Park Avenue</w:t>
            </w:r>
          </w:p>
        </w:tc>
        <w:tc>
          <w:tcPr>
            <w:tcW w:w="5360" w:type="dxa"/>
            <w:vAlign w:val="bottom"/>
          </w:tcPr>
          <w:p>
            <w:pPr>
              <w:jc w:val="center"/>
              <w:ind w:left="3090"/>
              <w:spacing w:after="0"/>
              <w:rPr>
                <w:sz w:val="20"/>
                <w:szCs w:val="20"/>
                <w:color w:val="auto"/>
              </w:rPr>
            </w:pPr>
            <w:r>
              <w:rPr>
                <w:rFonts w:ascii="Arial" w:cs="Arial" w:eastAsia="Arial" w:hAnsi="Arial"/>
                <w:sz w:val="18"/>
                <w:szCs w:val="18"/>
                <w:b w:val="1"/>
                <w:bCs w:val="1"/>
                <w:color w:val="auto"/>
                <w:w w:val="88"/>
              </w:rPr>
              <w:t>601 Lexington Avenue</w:t>
            </w:r>
          </w:p>
        </w:tc>
        <w:tc>
          <w:tcPr>
            <w:tcW w:w="0" w:type="dxa"/>
            <w:vAlign w:val="bottom"/>
          </w:tcPr>
          <w:p>
            <w:pPr>
              <w:spacing w:after="0"/>
              <w:rPr>
                <w:sz w:val="1"/>
                <w:szCs w:val="1"/>
                <w:color w:val="auto"/>
              </w:rPr>
            </w:pPr>
          </w:p>
        </w:tc>
      </w:tr>
      <w:tr>
        <w:trPr>
          <w:trHeight w:val="216"/>
        </w:trPr>
        <w:tc>
          <w:tcPr>
            <w:tcW w:w="2960" w:type="dxa"/>
            <w:vAlign w:val="bottom"/>
          </w:tcPr>
          <w:p>
            <w:pPr>
              <w:jc w:val="center"/>
              <w:ind w:right="750"/>
              <w:spacing w:after="0"/>
              <w:rPr>
                <w:sz w:val="20"/>
                <w:szCs w:val="20"/>
                <w:color w:val="auto"/>
              </w:rPr>
            </w:pPr>
            <w:r>
              <w:rPr>
                <w:rFonts w:ascii="Arial" w:cs="Arial" w:eastAsia="Arial" w:hAnsi="Arial"/>
                <w:sz w:val="18"/>
                <w:szCs w:val="18"/>
                <w:b w:val="1"/>
                <w:bCs w:val="1"/>
                <w:color w:val="auto"/>
                <w:w w:val="92"/>
              </w:rPr>
              <w:t>New York, New York 10154</w:t>
            </w:r>
          </w:p>
        </w:tc>
        <w:tc>
          <w:tcPr>
            <w:tcW w:w="5360" w:type="dxa"/>
            <w:vAlign w:val="bottom"/>
          </w:tcPr>
          <w:p>
            <w:pPr>
              <w:jc w:val="center"/>
              <w:ind w:left="3110"/>
              <w:spacing w:after="0"/>
              <w:rPr>
                <w:sz w:val="20"/>
                <w:szCs w:val="20"/>
                <w:color w:val="auto"/>
              </w:rPr>
            </w:pPr>
            <w:r>
              <w:rPr>
                <w:rFonts w:ascii="Arial" w:cs="Arial" w:eastAsia="Arial" w:hAnsi="Arial"/>
                <w:sz w:val="18"/>
                <w:szCs w:val="18"/>
                <w:b w:val="1"/>
                <w:bCs w:val="1"/>
                <w:color w:val="auto"/>
                <w:w w:val="92"/>
              </w:rPr>
              <w:t>New York, New York 10022</w:t>
            </w:r>
          </w:p>
        </w:tc>
        <w:tc>
          <w:tcPr>
            <w:tcW w:w="0" w:type="dxa"/>
            <w:vAlign w:val="bottom"/>
          </w:tcPr>
          <w:p>
            <w:pPr>
              <w:spacing w:after="0"/>
              <w:rPr>
                <w:sz w:val="1"/>
                <w:szCs w:val="1"/>
                <w:color w:val="auto"/>
              </w:rPr>
            </w:pPr>
          </w:p>
        </w:tc>
      </w:tr>
      <w:tr>
        <w:trPr>
          <w:trHeight w:val="216"/>
        </w:trPr>
        <w:tc>
          <w:tcPr>
            <w:tcW w:w="2960" w:type="dxa"/>
            <w:vAlign w:val="bottom"/>
          </w:tcPr>
          <w:p>
            <w:pPr>
              <w:jc w:val="center"/>
              <w:ind w:right="750"/>
              <w:spacing w:after="0"/>
              <w:rPr>
                <w:sz w:val="20"/>
                <w:szCs w:val="20"/>
                <w:color w:val="auto"/>
              </w:rPr>
            </w:pPr>
            <w:r>
              <w:rPr>
                <w:rFonts w:ascii="Arial" w:cs="Arial" w:eastAsia="Arial" w:hAnsi="Arial"/>
                <w:sz w:val="18"/>
                <w:szCs w:val="18"/>
                <w:b w:val="1"/>
                <w:bCs w:val="1"/>
                <w:color w:val="auto"/>
                <w:w w:val="90"/>
              </w:rPr>
              <w:t>(212) 407-4000</w:t>
            </w:r>
          </w:p>
        </w:tc>
        <w:tc>
          <w:tcPr>
            <w:tcW w:w="5360" w:type="dxa"/>
            <w:vAlign w:val="bottom"/>
          </w:tcPr>
          <w:p>
            <w:pPr>
              <w:jc w:val="center"/>
              <w:ind w:left="3110"/>
              <w:spacing w:after="0"/>
              <w:rPr>
                <w:sz w:val="20"/>
                <w:szCs w:val="20"/>
                <w:color w:val="auto"/>
              </w:rPr>
            </w:pPr>
            <w:r>
              <w:rPr>
                <w:rFonts w:ascii="Arial" w:cs="Arial" w:eastAsia="Arial" w:hAnsi="Arial"/>
                <w:sz w:val="18"/>
                <w:szCs w:val="18"/>
                <w:b w:val="1"/>
                <w:bCs w:val="1"/>
                <w:color w:val="auto"/>
                <w:w w:val="90"/>
              </w:rPr>
              <w:t>(212) 446-4660</w:t>
            </w:r>
          </w:p>
        </w:tc>
        <w:tc>
          <w:tcPr>
            <w:tcW w:w="0" w:type="dxa"/>
            <w:vAlign w:val="bottom"/>
          </w:tcPr>
          <w:p>
            <w:pPr>
              <w:spacing w:after="0"/>
              <w:rPr>
                <w:sz w:val="1"/>
                <w:szCs w:val="1"/>
                <w:color w:val="auto"/>
              </w:rPr>
            </w:pPr>
          </w:p>
        </w:tc>
      </w:tr>
      <w:tr>
        <w:trPr>
          <w:trHeight w:val="234"/>
        </w:trPr>
        <w:tc>
          <w:tcPr>
            <w:tcW w:w="2960" w:type="dxa"/>
            <w:vAlign w:val="bottom"/>
          </w:tcPr>
          <w:p>
            <w:pPr>
              <w:jc w:val="center"/>
              <w:ind w:right="710"/>
              <w:spacing w:after="0"/>
              <w:rPr>
                <w:sz w:val="20"/>
                <w:szCs w:val="20"/>
                <w:color w:val="auto"/>
              </w:rPr>
            </w:pPr>
            <w:r>
              <w:rPr>
                <w:rFonts w:ascii="Arial" w:cs="Arial" w:eastAsia="Arial" w:hAnsi="Arial"/>
                <w:sz w:val="18"/>
                <w:szCs w:val="18"/>
                <w:b w:val="1"/>
                <w:bCs w:val="1"/>
                <w:color w:val="auto"/>
                <w:w w:val="90"/>
              </w:rPr>
              <w:t>(212) 407-4990 — Facsimile</w:t>
            </w:r>
          </w:p>
        </w:tc>
        <w:tc>
          <w:tcPr>
            <w:tcW w:w="5360" w:type="dxa"/>
            <w:vAlign w:val="bottom"/>
          </w:tcPr>
          <w:p>
            <w:pPr>
              <w:jc w:val="center"/>
              <w:ind w:left="3150"/>
              <w:spacing w:after="0"/>
              <w:rPr>
                <w:sz w:val="20"/>
                <w:szCs w:val="20"/>
                <w:color w:val="auto"/>
              </w:rPr>
            </w:pPr>
            <w:r>
              <w:rPr>
                <w:rFonts w:ascii="Arial" w:cs="Arial" w:eastAsia="Arial" w:hAnsi="Arial"/>
                <w:sz w:val="18"/>
                <w:szCs w:val="18"/>
                <w:b w:val="1"/>
                <w:bCs w:val="1"/>
                <w:color w:val="auto"/>
                <w:w w:val="90"/>
              </w:rPr>
              <w:t>(212) 446-4900 — Facsimile</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ind w:left="340"/>
        <w:spacing w:after="0"/>
        <w:rPr>
          <w:sz w:val="20"/>
          <w:szCs w:val="20"/>
          <w:color w:val="auto"/>
        </w:rPr>
      </w:pPr>
      <w:r>
        <w:rPr>
          <w:rFonts w:ascii="Arial" w:cs="Arial" w:eastAsia="Arial" w:hAnsi="Arial"/>
          <w:sz w:val="18"/>
          <w:szCs w:val="18"/>
          <w:b w:val="1"/>
          <w:bCs w:val="1"/>
          <w:color w:val="auto"/>
        </w:rPr>
        <w:t xml:space="preserve">Approximate date of commencement of proposed sale to the public: </w:t>
      </w:r>
      <w:r>
        <w:rPr>
          <w:rFonts w:ascii="Arial" w:cs="Arial" w:eastAsia="Arial" w:hAnsi="Arial"/>
          <w:sz w:val="18"/>
          <w:szCs w:val="18"/>
          <w:color w:val="auto"/>
        </w:rPr>
        <w:t>As soon as practicable after the effective date of this offering.</w:t>
      </w:r>
    </w:p>
    <w:p>
      <w:pPr>
        <w:spacing w:after="0" w:line="229" w:lineRule="exact"/>
        <w:rPr>
          <w:sz w:val="24"/>
          <w:szCs w:val="24"/>
          <w:color w:val="auto"/>
        </w:rPr>
      </w:pPr>
    </w:p>
    <w:p>
      <w:pPr>
        <w:ind w:firstLine="324"/>
        <w:spacing w:after="0" w:line="233"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416560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jc w:val="both"/>
        <w:ind w:firstLine="324"/>
        <w:spacing w:after="0" w:line="233"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2" w:lineRule="exact"/>
        <w:rPr>
          <w:sz w:val="20"/>
          <w:szCs w:val="20"/>
          <w:color w:val="auto"/>
        </w:rPr>
      </w:pPr>
    </w:p>
    <w:p>
      <w:pPr>
        <w:jc w:val="both"/>
        <w:ind w:firstLine="324"/>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2" w:lineRule="exact"/>
        <w:rPr>
          <w:sz w:val="20"/>
          <w:szCs w:val="20"/>
          <w:color w:val="auto"/>
        </w:rPr>
      </w:pPr>
    </w:p>
    <w:p>
      <w:pPr>
        <w:jc w:val="both"/>
        <w:ind w:right="20" w:firstLine="324"/>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w:t>
      </w:r>
    </w:p>
    <w:p>
      <w:pPr>
        <w:spacing w:after="0" w:line="15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1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9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rPr>
              <w:t>☐</w:t>
            </w:r>
          </w:p>
        </w:tc>
        <w:tc>
          <w:tcPr>
            <w:tcW w:w="3760" w:type="dxa"/>
            <w:vAlign w:val="bottom"/>
          </w:tcPr>
          <w:p>
            <w:pPr>
              <w:ind w:left="1320"/>
              <w:spacing w:after="0"/>
              <w:rPr>
                <w:sz w:val="20"/>
                <w:szCs w:val="20"/>
                <w:color w:val="auto"/>
              </w:rPr>
            </w:pPr>
            <w:r>
              <w:rPr>
                <w:rFonts w:ascii="Arial" w:cs="Arial" w:eastAsia="Arial" w:hAnsi="Arial"/>
                <w:sz w:val="18"/>
                <w:szCs w:val="18"/>
                <w:color w:val="auto"/>
              </w:rPr>
              <w:t>Accelerated filer</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100" w:type="dxa"/>
            <w:vAlign w:val="bottom"/>
          </w:tcPr>
          <w:p>
            <w:pPr>
              <w:spacing w:after="0"/>
              <w:rPr>
                <w:sz w:val="20"/>
                <w:szCs w:val="20"/>
                <w:color w:val="auto"/>
              </w:rPr>
            </w:pPr>
            <w:r>
              <w:rPr>
                <w:rFonts w:ascii="Arial" w:cs="Arial" w:eastAsia="Arial" w:hAnsi="Arial"/>
                <w:sz w:val="18"/>
                <w:szCs w:val="18"/>
                <w:color w:val="auto"/>
              </w:rPr>
              <w:t>Non-accelerated filer</w:t>
            </w:r>
          </w:p>
        </w:tc>
        <w:tc>
          <w:tcPr>
            <w:tcW w:w="19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rPr>
              <w:t>☒</w:t>
            </w:r>
          </w:p>
        </w:tc>
        <w:tc>
          <w:tcPr>
            <w:tcW w:w="3760" w:type="dxa"/>
            <w:vAlign w:val="bottom"/>
          </w:tcPr>
          <w:p>
            <w:pPr>
              <w:ind w:left="1320"/>
              <w:spacing w:after="0"/>
              <w:rPr>
                <w:sz w:val="20"/>
                <w:szCs w:val="20"/>
                <w:color w:val="auto"/>
              </w:rPr>
            </w:pPr>
            <w:r>
              <w:rPr>
                <w:rFonts w:ascii="Arial" w:cs="Arial" w:eastAsia="Arial" w:hAnsi="Arial"/>
                <w:sz w:val="18"/>
                <w:szCs w:val="18"/>
                <w:color w:val="auto"/>
              </w:rPr>
              <w:t>Smaller reporting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760" w:type="dxa"/>
            <w:vAlign w:val="bottom"/>
          </w:tcPr>
          <w:p>
            <w:pPr>
              <w:ind w:left="1320"/>
              <w:spacing w:after="0"/>
              <w:rPr>
                <w:sz w:val="20"/>
                <w:szCs w:val="20"/>
                <w:color w:val="auto"/>
              </w:rPr>
            </w:pPr>
            <w:r>
              <w:rPr>
                <w:rFonts w:ascii="Arial" w:cs="Arial" w:eastAsia="Arial" w:hAnsi="Arial"/>
                <w:sz w:val="18"/>
                <w:szCs w:val="18"/>
                <w:color w:val="auto"/>
              </w:rPr>
              <w:t>Emerging growth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0"/>
          <w:szCs w:val="20"/>
          <w:color w:val="auto"/>
        </w:rPr>
      </w:pPr>
    </w:p>
    <w:p>
      <w:pPr>
        <w:ind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362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CALCULATION OF REGISTRATION FEE</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37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Proposed</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7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Proposed</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6"/>
              </w:rPr>
              <w:t>Maximum</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1"/>
        </w:trPr>
        <w:tc>
          <w:tcPr>
            <w:tcW w:w="37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Amount</w:t>
            </w:r>
          </w:p>
        </w:tc>
        <w:tc>
          <w:tcPr>
            <w:tcW w:w="120" w:type="dxa"/>
            <w:vAlign w:val="bottom"/>
          </w:tcPr>
          <w:p>
            <w:pPr>
              <w:spacing w:after="0"/>
              <w:rPr>
                <w:sz w:val="19"/>
                <w:szCs w:val="19"/>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Maximum</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Aggregate</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Amount of</w:t>
            </w:r>
          </w:p>
        </w:tc>
      </w:tr>
      <w:tr>
        <w:trPr>
          <w:trHeight w:val="216"/>
        </w:trPr>
        <w:tc>
          <w:tcPr>
            <w:tcW w:w="37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Being</w:t>
            </w: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4"/>
              </w:rPr>
              <w:t>Offering Price</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Offering</w:t>
            </w: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Registration</w:t>
            </w:r>
          </w:p>
        </w:tc>
      </w:tr>
      <w:tr>
        <w:trPr>
          <w:trHeight w:val="277"/>
        </w:trPr>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2"/>
              </w:rPr>
              <w:t>Title of Each Class of Security being registered</w:t>
            </w:r>
          </w:p>
        </w:tc>
        <w:tc>
          <w:tcPr>
            <w:tcW w:w="21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Registered</w:t>
            </w:r>
          </w:p>
        </w:tc>
        <w:tc>
          <w:tcPr>
            <w:tcW w:w="26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gridSpan w:val="2"/>
          </w:tcPr>
          <w:p>
            <w:pPr>
              <w:jc w:val="center"/>
              <w:spacing w:after="0" w:line="270" w:lineRule="exact"/>
              <w:rPr>
                <w:sz w:val="20"/>
                <w:szCs w:val="20"/>
                <w:color w:val="auto"/>
              </w:rPr>
            </w:pPr>
            <w:r>
              <w:rPr>
                <w:rFonts w:ascii="Arial" w:cs="Arial" w:eastAsia="Arial" w:hAnsi="Arial"/>
                <w:sz w:val="18"/>
                <w:szCs w:val="18"/>
                <w:b w:val="1"/>
                <w:bCs w:val="1"/>
                <w:color w:val="auto"/>
                <w:w w:val="87"/>
              </w:rPr>
              <w:t>per Security</w:t>
            </w:r>
            <w:r>
              <w:rPr>
                <w:rFonts w:ascii="Arial" w:cs="Arial" w:eastAsia="Arial" w:hAnsi="Arial"/>
                <w:sz w:val="29"/>
                <w:szCs w:val="29"/>
                <w:b w:val="1"/>
                <w:bCs w:val="1"/>
                <w:color w:val="auto"/>
                <w:w w:val="87"/>
                <w:vertAlign w:val="superscript"/>
              </w:rPr>
              <w:t>(1)</w:t>
            </w:r>
          </w:p>
        </w:tc>
        <w:tc>
          <w:tcPr>
            <w:tcW w:w="22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jc w:val="center"/>
              <w:spacing w:after="0" w:line="269" w:lineRule="exact"/>
              <w:rPr>
                <w:sz w:val="20"/>
                <w:szCs w:val="20"/>
                <w:color w:val="auto"/>
              </w:rPr>
            </w:pPr>
            <w:r>
              <w:rPr>
                <w:rFonts w:ascii="Arial" w:cs="Arial" w:eastAsia="Arial" w:hAnsi="Arial"/>
                <w:sz w:val="31"/>
                <w:szCs w:val="31"/>
                <w:b w:val="1"/>
                <w:bCs w:val="1"/>
                <w:color w:val="auto"/>
                <w:w w:val="89"/>
                <w:vertAlign w:val="subscript"/>
              </w:rPr>
              <w:t>Price</w:t>
            </w:r>
            <w:r>
              <w:rPr>
                <w:rFonts w:ascii="Arial" w:cs="Arial" w:eastAsia="Arial" w:hAnsi="Arial"/>
                <w:sz w:val="14"/>
                <w:szCs w:val="14"/>
                <w:b w:val="1"/>
                <w:bCs w:val="1"/>
                <w:color w:val="auto"/>
                <w:w w:val="89"/>
              </w:rPr>
              <w:t>(1)(2)</w:t>
            </w:r>
          </w:p>
        </w:tc>
        <w:tc>
          <w:tcPr>
            <w:tcW w:w="22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Fee</w:t>
            </w:r>
          </w:p>
        </w:tc>
        <w:tc>
          <w:tcPr>
            <w:tcW w:w="100" w:type="dxa"/>
            <w:vAlign w:val="bottom"/>
            <w:tcBorders>
              <w:bottom w:val="single" w:sz="8" w:color="CCEEFF"/>
            </w:tcBorders>
          </w:tcPr>
          <w:p>
            <w:pPr>
              <w:spacing w:after="0"/>
              <w:rPr>
                <w:sz w:val="24"/>
                <w:szCs w:val="24"/>
                <w:color w:val="auto"/>
              </w:rPr>
            </w:pPr>
          </w:p>
        </w:tc>
      </w:tr>
      <w:tr>
        <w:trPr>
          <w:trHeight w:val="257"/>
        </w:trPr>
        <w:tc>
          <w:tcPr>
            <w:tcW w:w="37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Common stock, $0.0001 par value </w:t>
            </w:r>
            <w:r>
              <w:rPr>
                <w:rFonts w:ascii="Arial" w:cs="Arial" w:eastAsia="Arial" w:hAnsi="Arial"/>
                <w:sz w:val="29"/>
                <w:szCs w:val="29"/>
                <w:color w:val="auto"/>
                <w:vertAlign w:val="superscript"/>
              </w:rPr>
              <w:t>(2)</w:t>
            </w:r>
          </w:p>
        </w:tc>
        <w:tc>
          <w:tcPr>
            <w:tcW w:w="362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14,375,000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13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5"/>
              </w:rPr>
              <w:t>$ 143,750,000</w:t>
            </w:r>
          </w:p>
        </w:tc>
        <w:tc>
          <w:tcPr>
            <w:tcW w:w="12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   18,658.75</w:t>
            </w:r>
          </w:p>
        </w:tc>
      </w:tr>
    </w:tbl>
    <w:p>
      <w:pPr>
        <w:spacing w:after="0" w:line="202" w:lineRule="exact"/>
        <w:rPr>
          <w:sz w:val="20"/>
          <w:szCs w:val="20"/>
          <w:color w:val="auto"/>
        </w:rPr>
      </w:pPr>
    </w:p>
    <w:p>
      <w:pPr>
        <w:ind w:left="340" w:hanging="332"/>
        <w:spacing w:after="0"/>
        <w:tabs>
          <w:tab w:leader="none" w:pos="340" w:val="left"/>
        </w:tabs>
        <w:numPr>
          <w:ilvl w:val="0"/>
          <w:numId w:val="1"/>
        </w:numPr>
        <w:rPr>
          <w:rFonts w:ascii="Arial" w:cs="Arial" w:eastAsia="Arial" w:hAnsi="Arial"/>
          <w:sz w:val="17"/>
          <w:szCs w:val="17"/>
          <w:color w:val="auto"/>
        </w:rPr>
      </w:pPr>
      <w:r>
        <w:rPr>
          <w:rFonts w:ascii="Arial" w:cs="Arial" w:eastAsia="Arial" w:hAnsi="Arial"/>
          <w:sz w:val="17"/>
          <w:szCs w:val="17"/>
          <w:color w:val="auto"/>
        </w:rPr>
        <w:t>Estimated solely for the purpose of calculating the registration fee pursuant to Rule 457(o) under the Securities Act of 1933, as amended.</w:t>
      </w:r>
    </w:p>
    <w:p>
      <w:pPr>
        <w:spacing w:after="0" w:line="34" w:lineRule="exact"/>
        <w:rPr>
          <w:rFonts w:ascii="Arial" w:cs="Arial" w:eastAsia="Arial" w:hAnsi="Arial"/>
          <w:sz w:val="17"/>
          <w:szCs w:val="17"/>
          <w:color w:val="auto"/>
        </w:rPr>
      </w:pPr>
    </w:p>
    <w:p>
      <w:pPr>
        <w:ind w:left="340" w:hanging="332"/>
        <w:spacing w:after="0" w:line="260"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Includes the aggregate of 12,500,000 shares to be issued to public stockholders in the public offering, and 1,875,000 shares which may be issued upon exercise of a 45-day option granted to the Underwriters to cover over-allotments, if any.</w:t>
      </w:r>
    </w:p>
    <w:p>
      <w:pPr>
        <w:spacing w:after="0" w:line="181" w:lineRule="exact"/>
        <w:rPr>
          <w:sz w:val="20"/>
          <w:szCs w:val="20"/>
          <w:color w:val="auto"/>
        </w:rPr>
      </w:pPr>
    </w:p>
    <w:p>
      <w:pPr>
        <w:jc w:val="both"/>
        <w:ind w:firstLine="324"/>
        <w:spacing w:after="0" w:line="281" w:lineRule="auto"/>
        <w:rPr>
          <w:sz w:val="20"/>
          <w:szCs w:val="20"/>
          <w:color w:val="auto"/>
        </w:rPr>
      </w:pPr>
      <w:r>
        <w:rPr>
          <w:rFonts w:ascii="Arial" w:cs="Arial" w:eastAsia="Arial" w:hAnsi="Arial"/>
          <w:sz w:val="17"/>
          <w:szCs w:val="17"/>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587375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 w:name="page3"/>
    <w:bookmarkEnd w:id="2"/>
    <w:p>
      <w:pPr>
        <w:jc w:val="both"/>
        <w:spacing w:after="0" w:line="266" w:lineRule="auto"/>
        <w:rPr>
          <w:sz w:val="20"/>
          <w:szCs w:val="20"/>
          <w:color w:val="auto"/>
        </w:rPr>
      </w:pPr>
      <w:r>
        <w:rPr>
          <w:rFonts w:ascii="Arial" w:cs="Arial" w:eastAsia="Arial" w:hAnsi="Arial"/>
          <w:sz w:val="18"/>
          <w:szCs w:val="18"/>
          <w:b w:val="1"/>
          <w:bCs w:val="1"/>
          <w:color w:val="FF0000"/>
        </w:rPr>
        <w:t>The information in this prospectus is not complete and may be changed. We may not sell these securities until the registration statement filed with the Securities and Exchange Commission is effective. This prospectus is not an offer to sell these securities and is not soliciting an offer to buy these securities in any jurisdiction where the offer or sale is not permitted.</w:t>
      </w:r>
    </w:p>
    <w:p>
      <w:pPr>
        <w:spacing w:after="0" w:line="176" w:lineRule="exact"/>
        <w:rPr>
          <w:sz w:val="20"/>
          <w:szCs w:val="20"/>
          <w:color w:val="auto"/>
        </w:rPr>
      </w:pPr>
    </w:p>
    <w:p>
      <w:pPr>
        <w:spacing w:after="0"/>
        <w:tabs>
          <w:tab w:leader="none" w:pos="6940" w:val="left"/>
        </w:tabs>
        <w:rPr>
          <w:sz w:val="20"/>
          <w:szCs w:val="20"/>
          <w:color w:val="auto"/>
        </w:rPr>
      </w:pPr>
      <w:r>
        <w:rPr>
          <w:rFonts w:ascii="Arial" w:cs="Arial" w:eastAsia="Arial" w:hAnsi="Arial"/>
          <w:sz w:val="18"/>
          <w:szCs w:val="18"/>
          <w:b w:val="1"/>
          <w:bCs w:val="1"/>
          <w:color w:val="FF0000"/>
        </w:rPr>
        <w:t>PRELIMINARY PROSPECTUS</w:t>
      </w:r>
      <w:r>
        <w:rPr>
          <w:sz w:val="20"/>
          <w:szCs w:val="20"/>
          <w:color w:val="auto"/>
        </w:rPr>
        <w:tab/>
      </w:r>
      <w:r>
        <w:rPr>
          <w:rFonts w:ascii="Arial" w:cs="Arial" w:eastAsia="Arial" w:hAnsi="Arial"/>
          <w:sz w:val="17"/>
          <w:szCs w:val="17"/>
          <w:b w:val="1"/>
          <w:bCs w:val="1"/>
          <w:color w:val="FF0000"/>
        </w:rPr>
        <w:t>SUBJECT TO COMPLETION, DATED JULY 30, 2020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$125,000,000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BCTG ACQUISITION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12,500,000 SHARES OF COMMON STOCK</w:t>
      </w:r>
    </w:p>
    <w:p>
      <w:pPr>
        <w:spacing w:after="0" w:line="229"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BCTG Acquisition Corp., which we refer to as “we,” “us” or “our company,” is a newly organized blank check company incorporated in Delaware and formed for the purpose of entering into a merger, share exchange, asset acquisition, stock purchase, recapitalization, reorganization or other similar business combination with one or more businesses or entities, which we refer to throughout this prospectus as our “initial business combination.” Although we are not limited to a particular industry or geographic region for purposes of consummating an initial business combination, we intend to focus on businesses that have their primary operations located in North America and Europe in the biotechnology industry.</w:t>
      </w:r>
    </w:p>
    <w:p>
      <w:pPr>
        <w:spacing w:after="0" w:line="17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This is the initial public offering of our common stock, $0.0001 par value, at an initial public offering price of $10.00 per share. Unlike certain other SPAC initial public offerings, investors in this offering will not receive warrants that would become exercisable following completion of our initial business combination.</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have granted SVB Leerink LLC, the representative of the underwriters, a 45-day option to purchase up to an additional 1,875,000 shares (over and above the 12,500,000 shares referred to above) solely to cover over-allotments, if any.</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will provide the holders of our outstanding shares of common stock that were sold in this offering with the opportunity to redeem their shares of common stock upon the consummation of our initial business combination at a per-share price, payable in cash, equal to the aggregate amount then on deposit in the trust account described below, including interest (net of taxes payable), divided by the number of then outstanding shares of common stock that were sold in this offering, which we refer to as our “public shares.”</w:t>
      </w:r>
    </w:p>
    <w:p>
      <w:pPr>
        <w:spacing w:after="0" w:line="18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have 24 months to consummate our initial business combination. If we are unable to consummate our initial business combination within the above time period, we will distribute the aggregate amount then on deposit in the trust account, pro rata to our public stockholders, by way of the redemption of their shares and thereafter cease all operations except for the purposes of winding up of our affairs, as further described herein.</w:t>
      </w:r>
    </w:p>
    <w:p>
      <w:pPr>
        <w:spacing w:after="0" w:line="16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BCTG Holdings, LLC, our sponsor, has committed to purchase from us an aggregate of 450,000 shares of common stock (or 487,500 shares if the underwriters’ over-allotment option is exercised in full) at a price of $10.00 per share ($4,500,000 in the aggregate, or $4,875,000 in the aggregate if the underwriters’ over-allotment option is exercised in full), in a private placement that will close simultaneously with the closing of this offering</w:t>
      </w:r>
    </w:p>
    <w:p>
      <w:pPr>
        <w:spacing w:after="0" w:line="14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sponsor has entered into an agreement with us to purchase an aggregate of 2,500,000 shares of common stock for an aggregate purchase price of $25,000,000, or $10.00 per share, prior to, concurrently with, or following the closing of our business combination in a private placement. The shares of common stock issuable pursuant to the forward purchase agreement will be identical to the shares of common stock being sold in this offering, except that the holders thereof will have certain registration rights as described herein. The capital from such transaction may be used as part of the consideration to the sellers in our initial business combination, and any excess capital from such private placement would be used for working capital in the post-transaction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both"/>
        <w:ind w:firstLine="324"/>
        <w:spacing w:after="0" w:line="263" w:lineRule="auto"/>
        <w:rPr>
          <w:sz w:val="20"/>
          <w:szCs w:val="20"/>
          <w:color w:val="auto"/>
        </w:rPr>
      </w:pPr>
      <w:r>
        <w:rPr>
          <w:rFonts w:ascii="Arial" w:cs="Arial" w:eastAsia="Arial" w:hAnsi="Arial"/>
          <w:sz w:val="18"/>
          <w:szCs w:val="18"/>
          <w:color w:val="auto"/>
        </w:rPr>
        <w:t>On June 4, 2020, BCTG Holdings, LLC, our sponsor, purchased 3,593,750 shares, which we refer to herein as “founder shares” or “insider shares,” for an aggregate purchase price of $25,000. The founder shares include an aggregate of up to 468,750 shares that are subject to forfeiture to the extent that the underwriters’ over-allotment option is not exercised in full or in part.</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is presently no public market for our common stock. We intend to apply to have our common stock listed on the Nasdaq Capital Market, or Nasdaq, under the symbol “BCTG” on or promptly after the date of this prospectus.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are an “emerging growth company” as defined in the Jumpstart Our Business Startups Act of 2012 and will therefore be subject to reduced public company reporting requirements.</w:t>
      </w:r>
    </w:p>
    <w:p>
      <w:pPr>
        <w:spacing w:after="0" w:line="166" w:lineRule="exact"/>
        <w:rPr>
          <w:sz w:val="20"/>
          <w:szCs w:val="20"/>
          <w:color w:val="auto"/>
        </w:rPr>
      </w:pPr>
    </w:p>
    <w:p>
      <w:pPr>
        <w:jc w:val="both"/>
        <w:ind w:right="20" w:firstLine="324"/>
        <w:spacing w:after="0" w:line="282" w:lineRule="auto"/>
        <w:rPr>
          <w:sz w:val="20"/>
          <w:szCs w:val="20"/>
          <w:color w:val="auto"/>
        </w:rPr>
      </w:pPr>
      <w:r>
        <w:rPr>
          <w:rFonts w:ascii="Arial" w:cs="Arial" w:eastAsia="Arial" w:hAnsi="Arial"/>
          <w:sz w:val="18"/>
          <w:szCs w:val="18"/>
          <w:b w:val="1"/>
          <w:bCs w:val="1"/>
          <w:color w:val="auto"/>
        </w:rPr>
        <w:t>Investing in our common stock involves a high degree of risk. See “Risk Factors” beginning on page 19 of this prospectus for a discussion of information that should be considered in connection with an investment in our common stock.</w:t>
      </w:r>
    </w:p>
    <w:p>
      <w:pPr>
        <w:spacing w:after="0" w:line="16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3"/>
            <w:vMerge w:val="restart"/>
          </w:tcPr>
          <w:p>
            <w:pPr>
              <w:ind w:left="80"/>
              <w:spacing w:after="0"/>
              <w:rPr>
                <w:sz w:val="20"/>
                <w:szCs w:val="20"/>
                <w:color w:val="auto"/>
              </w:rPr>
            </w:pPr>
            <w:r>
              <w:rPr>
                <w:rFonts w:ascii="Arial" w:cs="Arial" w:eastAsia="Arial" w:hAnsi="Arial"/>
                <w:sz w:val="18"/>
                <w:szCs w:val="18"/>
                <w:b w:val="1"/>
                <w:bCs w:val="1"/>
                <w:color w:val="auto"/>
              </w:rPr>
              <w:t>Underwriting</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3"/>
              </w:rPr>
              <w:t>Proceeds,</w:t>
            </w:r>
          </w:p>
        </w:tc>
        <w:tc>
          <w:tcPr>
            <w:tcW w:w="0" w:type="dxa"/>
            <w:vAlign w:val="bottom"/>
          </w:tcPr>
          <w:p>
            <w:pPr>
              <w:spacing w:after="0"/>
              <w:rPr>
                <w:sz w:val="1"/>
                <w:szCs w:val="1"/>
                <w:color w:val="auto"/>
              </w:rPr>
            </w:pPr>
          </w:p>
        </w:tc>
      </w:tr>
      <w:tr>
        <w:trPr>
          <w:trHeight w:val="180"/>
        </w:trPr>
        <w:tc>
          <w:tcPr>
            <w:tcW w:w="7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center"/>
              <w:ind w:right="240"/>
              <w:spacing w:after="0" w:line="181" w:lineRule="exact"/>
              <w:rPr>
                <w:sz w:val="20"/>
                <w:szCs w:val="20"/>
                <w:color w:val="auto"/>
              </w:rPr>
            </w:pPr>
            <w:r>
              <w:rPr>
                <w:rFonts w:ascii="Arial" w:cs="Arial" w:eastAsia="Arial" w:hAnsi="Arial"/>
                <w:sz w:val="18"/>
                <w:szCs w:val="18"/>
                <w:b w:val="1"/>
                <w:bCs w:val="1"/>
                <w:color w:val="auto"/>
                <w:w w:val="91"/>
              </w:rPr>
              <w:t>Before</w:t>
            </w:r>
          </w:p>
        </w:tc>
        <w:tc>
          <w:tcPr>
            <w:tcW w:w="0" w:type="dxa"/>
            <w:vAlign w:val="bottom"/>
          </w:tcPr>
          <w:p>
            <w:pPr>
              <w:spacing w:after="0"/>
              <w:rPr>
                <w:sz w:val="1"/>
                <w:szCs w:val="1"/>
                <w:color w:val="auto"/>
              </w:rPr>
            </w:pPr>
          </w:p>
        </w:tc>
      </w:tr>
      <w:tr>
        <w:trPr>
          <w:trHeight w:val="216"/>
        </w:trPr>
        <w:tc>
          <w:tcPr>
            <w:tcW w:w="7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Price to</w:t>
            </w:r>
          </w:p>
        </w:tc>
        <w:tc>
          <w:tcPr>
            <w:tcW w:w="1400" w:type="dxa"/>
            <w:vAlign w:val="bottom"/>
            <w:gridSpan w:val="3"/>
          </w:tcPr>
          <w:p>
            <w:pPr>
              <w:ind w:left="80"/>
              <w:spacing w:after="0"/>
              <w:rPr>
                <w:sz w:val="20"/>
                <w:szCs w:val="20"/>
                <w:color w:val="auto"/>
              </w:rPr>
            </w:pPr>
            <w:r>
              <w:rPr>
                <w:rFonts w:ascii="Arial" w:cs="Arial" w:eastAsia="Arial" w:hAnsi="Arial"/>
                <w:sz w:val="18"/>
                <w:szCs w:val="18"/>
                <w:b w:val="1"/>
                <w:bCs w:val="1"/>
                <w:color w:val="auto"/>
              </w:rPr>
              <w:t>Discount and</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6"/>
              </w:rPr>
              <w:t>Expenses, to</w:t>
            </w:r>
          </w:p>
        </w:tc>
        <w:tc>
          <w:tcPr>
            <w:tcW w:w="0" w:type="dxa"/>
            <w:vAlign w:val="bottom"/>
          </w:tcPr>
          <w:p>
            <w:pPr>
              <w:spacing w:after="0"/>
              <w:rPr>
                <w:sz w:val="1"/>
                <w:szCs w:val="1"/>
                <w:color w:val="auto"/>
              </w:rPr>
            </w:pPr>
          </w:p>
        </w:tc>
      </w:tr>
      <w:tr>
        <w:trPr>
          <w:trHeight w:val="277"/>
        </w:trPr>
        <w:tc>
          <w:tcPr>
            <w:tcW w:w="7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Public</w:t>
            </w:r>
          </w:p>
        </w:tc>
        <w:tc>
          <w:tcPr>
            <w:tcW w:w="1400" w:type="dxa"/>
            <w:vAlign w:val="bottom"/>
            <w:gridSpan w:val="3"/>
          </w:tcPr>
          <w:p>
            <w:pPr>
              <w:spacing w:after="0" w:line="270" w:lineRule="exact"/>
              <w:rPr>
                <w:sz w:val="20"/>
                <w:szCs w:val="20"/>
                <w:color w:val="auto"/>
              </w:rPr>
            </w:pPr>
            <w:r>
              <w:rPr>
                <w:rFonts w:ascii="Arial" w:cs="Arial" w:eastAsia="Arial" w:hAnsi="Arial"/>
                <w:sz w:val="18"/>
                <w:szCs w:val="18"/>
                <w:b w:val="1"/>
                <w:bCs w:val="1"/>
                <w:color w:val="auto"/>
                <w:w w:val="97"/>
              </w:rPr>
              <w:t>Commissions</w:t>
            </w:r>
            <w:r>
              <w:rPr>
                <w:rFonts w:ascii="Arial" w:cs="Arial" w:eastAsia="Arial" w:hAnsi="Arial"/>
                <w:sz w:val="29"/>
                <w:szCs w:val="29"/>
                <w:b w:val="1"/>
                <w:bCs w:val="1"/>
                <w:color w:val="auto"/>
                <w:w w:val="97"/>
                <w:vertAlign w:val="superscript"/>
              </w:rPr>
              <w:t>(1)</w:t>
            </w:r>
          </w:p>
        </w:tc>
        <w:tc>
          <w:tcPr>
            <w:tcW w:w="140" w:type="dxa"/>
            <w:vAlign w:val="bottom"/>
          </w:tcPr>
          <w:p>
            <w:pPr>
              <w:spacing w:after="0"/>
              <w:rPr>
                <w:sz w:val="24"/>
                <w:szCs w:val="2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75"/>
              </w:rPr>
              <w:t>us</w:t>
            </w:r>
          </w:p>
        </w:tc>
        <w:tc>
          <w:tcPr>
            <w:tcW w:w="0" w:type="dxa"/>
            <w:vAlign w:val="bottom"/>
          </w:tcPr>
          <w:p>
            <w:pPr>
              <w:spacing w:after="0"/>
              <w:rPr>
                <w:sz w:val="1"/>
                <w:szCs w:val="1"/>
                <w:color w:val="auto"/>
              </w:rPr>
            </w:pPr>
          </w:p>
        </w:tc>
      </w:tr>
      <w:tr>
        <w:trPr>
          <w:trHeight w:val="216"/>
        </w:trPr>
        <w:tc>
          <w:tcPr>
            <w:tcW w:w="7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Per share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3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125,000,000</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6,875,000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118,125,000</w:t>
            </w:r>
          </w:p>
        </w:tc>
        <w:tc>
          <w:tcPr>
            <w:tcW w:w="0" w:type="dxa"/>
            <w:vAlign w:val="bottom"/>
          </w:tcPr>
          <w:p>
            <w:pPr>
              <w:spacing w:after="0"/>
              <w:rPr>
                <w:sz w:val="1"/>
                <w:szCs w:val="1"/>
                <w:color w:val="auto"/>
              </w:rPr>
            </w:pPr>
          </w:p>
        </w:tc>
      </w:tr>
    </w:tbl>
    <w:p>
      <w:pPr>
        <w:spacing w:after="0" w:line="183" w:lineRule="exact"/>
        <w:rPr>
          <w:sz w:val="20"/>
          <w:szCs w:val="20"/>
          <w:color w:val="auto"/>
        </w:rPr>
      </w:pPr>
    </w:p>
    <w:p>
      <w:pPr>
        <w:jc w:val="both"/>
        <w:ind w:left="340" w:hanging="332"/>
        <w:spacing w:after="0" w:line="25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Includes $4,375,000, or $0.35 per share, equal to 3.5% of the gross proceeds of this offering (or $5,031,250 if the underwriter’s over-allotment option is exercised in full) payable to the underwriters as deferred underwriting discounts and commissions from the funds to be placed in the trust account described below. Such funds will be released to the underwriters only upon consummation of an initial business combination, as described in this prospectus. If the business combination is not consummated, such deferred discount will be forfeited by the underwriters. The underwriters will not be entitled to any interest accrued on the deferred underwriting discount.</w:t>
      </w:r>
    </w:p>
    <w:p>
      <w:pPr>
        <w:spacing w:after="0" w:line="18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Upon consummation of the offering, $10.00 per share sold to the public in this offering (whether or not the over-allotment option has been exercised in full or part) will be deposited into a United States-based trust account at with Continental Stock Transfer &amp; Trust Company acting as trustee. Such amount includes $4,375,000, or $0.35 per share (or $5,031,250 if the underwriters’ over-allotment option is exercised in full) payable to the underwriters as deferred underwriting discounts and commissions. Except as described in this prospectus, these funds will not be released to us until the earlier of the completion of our initial business combination and our redemption of the public shares upon our failure to consummate a business combination within the required period.</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underwriters are offering the common stock on a firm commitment basis. SVB Leerink LLC, acting as the representative of the underwriters,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40" w:type="dxa"/>
            <w:vAlign w:val="bottom"/>
          </w:tcPr>
          <w:p>
            <w:pPr>
              <w:spacing w:after="0"/>
              <w:rPr>
                <w:sz w:val="20"/>
                <w:szCs w:val="20"/>
                <w:color w:val="auto"/>
              </w:rPr>
            </w:pPr>
            <w:r>
              <w:rPr>
                <w:rFonts w:ascii="Arial" w:cs="Arial" w:eastAsia="Arial" w:hAnsi="Arial"/>
                <w:sz w:val="18"/>
                <w:szCs w:val="18"/>
                <w:color w:val="auto"/>
                <w:w w:val="90"/>
              </w:rPr>
              <w:t>expects to deliver the common stock to purchasers on or about</w:t>
            </w:r>
          </w:p>
        </w:tc>
        <w:tc>
          <w:tcPr>
            <w:tcW w:w="6700" w:type="dxa"/>
            <w:vAlign w:val="bottom"/>
          </w:tcPr>
          <w:p>
            <w:pPr>
              <w:jc w:val="right"/>
              <w:ind w:right="5386"/>
              <w:spacing w:after="0"/>
              <w:rPr>
                <w:sz w:val="20"/>
                <w:szCs w:val="20"/>
                <w:color w:val="auto"/>
              </w:rPr>
            </w:pPr>
            <w:r>
              <w:rPr>
                <w:rFonts w:ascii="Arial" w:cs="Arial" w:eastAsia="Arial" w:hAnsi="Arial"/>
                <w:sz w:val="18"/>
                <w:szCs w:val="18"/>
                <w:color w:val="auto"/>
              </w:rPr>
              <w:t>, 2020.</w:t>
            </w:r>
          </w:p>
        </w:tc>
      </w:tr>
      <w:tr>
        <w:trPr>
          <w:trHeight w:val="390"/>
        </w:trPr>
        <w:tc>
          <w:tcPr>
            <w:tcW w:w="4540" w:type="dxa"/>
            <w:vAlign w:val="bottom"/>
          </w:tcPr>
          <w:p>
            <w:pPr>
              <w:spacing w:after="0"/>
              <w:rPr>
                <w:sz w:val="24"/>
                <w:szCs w:val="24"/>
                <w:color w:val="auto"/>
              </w:rPr>
            </w:pPr>
          </w:p>
        </w:tc>
        <w:tc>
          <w:tcPr>
            <w:tcW w:w="6700" w:type="dxa"/>
            <w:vAlign w:val="bottom"/>
          </w:tcPr>
          <w:p>
            <w:pPr>
              <w:jc w:val="center"/>
              <w:ind w:right="4446"/>
              <w:spacing w:after="0"/>
              <w:rPr>
                <w:sz w:val="20"/>
                <w:szCs w:val="20"/>
                <w:color w:val="auto"/>
              </w:rPr>
            </w:pPr>
            <w:r>
              <w:rPr>
                <w:rFonts w:ascii="Arial" w:cs="Arial" w:eastAsia="Arial" w:hAnsi="Arial"/>
                <w:sz w:val="18"/>
                <w:szCs w:val="18"/>
                <w:b w:val="1"/>
                <w:bCs w:val="1"/>
                <w:i w:val="1"/>
                <w:iCs w:val="1"/>
                <w:color w:val="auto"/>
                <w:w w:val="88"/>
              </w:rPr>
              <w:t>Sole Bookrunning Manager</w:t>
            </w:r>
          </w:p>
        </w:tc>
      </w:tr>
      <w:tr>
        <w:trPr>
          <w:trHeight w:val="280"/>
        </w:trPr>
        <w:tc>
          <w:tcPr>
            <w:tcW w:w="4540" w:type="dxa"/>
            <w:vAlign w:val="bottom"/>
          </w:tcPr>
          <w:p>
            <w:pPr>
              <w:spacing w:after="0"/>
              <w:rPr>
                <w:sz w:val="24"/>
                <w:szCs w:val="24"/>
                <w:color w:val="auto"/>
              </w:rPr>
            </w:pPr>
          </w:p>
        </w:tc>
        <w:tc>
          <w:tcPr>
            <w:tcW w:w="6700" w:type="dxa"/>
            <w:vAlign w:val="bottom"/>
          </w:tcPr>
          <w:p>
            <w:pPr>
              <w:jc w:val="center"/>
              <w:ind w:right="4446"/>
              <w:spacing w:after="0"/>
              <w:rPr>
                <w:sz w:val="20"/>
                <w:szCs w:val="20"/>
                <w:color w:val="auto"/>
              </w:rPr>
            </w:pPr>
            <w:r>
              <w:rPr>
                <w:rFonts w:ascii="Arial" w:cs="Arial" w:eastAsia="Arial" w:hAnsi="Arial"/>
                <w:sz w:val="22"/>
                <w:szCs w:val="22"/>
                <w:b w:val="1"/>
                <w:bCs w:val="1"/>
                <w:color w:val="auto"/>
                <w:w w:val="92"/>
              </w:rPr>
              <w:t>SVB Leerink</w:t>
            </w:r>
          </w:p>
        </w:tc>
      </w:tr>
      <w:tr>
        <w:trPr>
          <w:trHeight w:val="422"/>
        </w:trPr>
        <w:tc>
          <w:tcPr>
            <w:tcW w:w="4540" w:type="dxa"/>
            <w:vAlign w:val="bottom"/>
          </w:tcPr>
          <w:p>
            <w:pPr>
              <w:spacing w:after="0"/>
              <w:rPr>
                <w:sz w:val="24"/>
                <w:szCs w:val="24"/>
                <w:color w:val="auto"/>
              </w:rPr>
            </w:pPr>
          </w:p>
        </w:tc>
        <w:tc>
          <w:tcPr>
            <w:tcW w:w="6700" w:type="dxa"/>
            <w:vAlign w:val="bottom"/>
          </w:tcPr>
          <w:p>
            <w:pPr>
              <w:jc w:val="center"/>
              <w:ind w:right="4446"/>
              <w:spacing w:after="0"/>
              <w:rPr>
                <w:sz w:val="20"/>
                <w:szCs w:val="20"/>
                <w:color w:val="auto"/>
              </w:rPr>
            </w:pPr>
            <w:r>
              <w:rPr>
                <w:rFonts w:ascii="Arial" w:cs="Arial" w:eastAsia="Arial" w:hAnsi="Arial"/>
                <w:sz w:val="18"/>
                <w:szCs w:val="18"/>
                <w:b w:val="1"/>
                <w:bCs w:val="1"/>
                <w:color w:val="auto"/>
                <w:w w:val="89"/>
              </w:rPr>
              <w:t>___________, 2020</w:t>
            </w:r>
          </w:p>
        </w:tc>
      </w:tr>
      <w:tr>
        <w:trPr>
          <w:trHeight w:val="682"/>
        </w:trPr>
        <w:tc>
          <w:tcPr>
            <w:tcW w:w="4540" w:type="dxa"/>
            <w:vAlign w:val="bottom"/>
            <w:tcBorders>
              <w:bottom w:val="single" w:sz="8" w:color="auto"/>
            </w:tcBorders>
          </w:tcPr>
          <w:p>
            <w:pPr>
              <w:spacing w:after="0"/>
              <w:rPr>
                <w:sz w:val="24"/>
                <w:szCs w:val="24"/>
                <w:color w:val="auto"/>
              </w:rPr>
            </w:pPr>
          </w:p>
        </w:tc>
        <w:tc>
          <w:tcPr>
            <w:tcW w:w="6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40" w:type="dxa"/>
            <w:vAlign w:val="bottom"/>
          </w:tcPr>
          <w:p>
            <w:pPr>
              <w:ind w:left="4440"/>
              <w:spacing w:after="0"/>
              <w:rPr>
                <w:sz w:val="20"/>
                <w:szCs w:val="20"/>
                <w:color w:val="auto"/>
              </w:rPr>
            </w:pPr>
            <w:r>
              <w:rPr>
                <w:rFonts w:ascii="Arial" w:cs="Arial" w:eastAsia="Arial" w:hAnsi="Arial"/>
                <w:sz w:val="18"/>
                <w:szCs w:val="18"/>
                <w:b w:val="1"/>
                <w:bCs w:val="1"/>
                <w:color w:val="auto"/>
              </w:rPr>
              <w:t>BCTG ACQUISITION CORP.</w:t>
            </w:r>
          </w:p>
        </w:tc>
        <w:tc>
          <w:tcPr>
            <w:tcW w:w="1000" w:type="dxa"/>
            <w:vAlign w:val="bottom"/>
          </w:tcPr>
          <w:p>
            <w:pPr>
              <w:spacing w:after="0"/>
              <w:rPr>
                <w:sz w:val="20"/>
                <w:szCs w:val="20"/>
                <w:color w:val="auto"/>
              </w:rPr>
            </w:pPr>
          </w:p>
        </w:tc>
      </w:tr>
      <w:tr>
        <w:trPr>
          <w:trHeight w:val="432"/>
        </w:trPr>
        <w:tc>
          <w:tcPr>
            <w:tcW w:w="10240" w:type="dxa"/>
            <w:vAlign w:val="bottom"/>
          </w:tcPr>
          <w:p>
            <w:pPr>
              <w:ind w:left="4660"/>
              <w:spacing w:after="0"/>
              <w:rPr>
                <w:sz w:val="20"/>
                <w:szCs w:val="20"/>
                <w:color w:val="auto"/>
              </w:rPr>
            </w:pPr>
            <w:r>
              <w:rPr>
                <w:rFonts w:ascii="Arial" w:cs="Arial" w:eastAsia="Arial" w:hAnsi="Arial"/>
                <w:sz w:val="18"/>
                <w:szCs w:val="18"/>
                <w:b w:val="1"/>
                <w:bCs w:val="1"/>
                <w:color w:val="auto"/>
              </w:rPr>
              <w:t>TABLE OF CONTENTS</w:t>
            </w:r>
          </w:p>
        </w:tc>
        <w:tc>
          <w:tcPr>
            <w:tcW w:w="1000" w:type="dxa"/>
            <w:vAlign w:val="bottom"/>
          </w:tcPr>
          <w:p>
            <w:pPr>
              <w:spacing w:after="0"/>
              <w:rPr>
                <w:sz w:val="24"/>
                <w:szCs w:val="24"/>
                <w:color w:val="auto"/>
              </w:rPr>
            </w:pPr>
          </w:p>
        </w:tc>
      </w:tr>
      <w:tr>
        <w:trPr>
          <w:trHeight w:val="452"/>
        </w:trPr>
        <w:tc>
          <w:tcPr>
            <w:tcW w:w="1024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Page</w:t>
            </w:r>
          </w:p>
        </w:tc>
      </w:tr>
      <w:tr>
        <w:trPr>
          <w:trHeight w:val="216"/>
        </w:trPr>
        <w:tc>
          <w:tcPr>
            <w:tcW w:w="10240" w:type="dxa"/>
            <w:vAlign w:val="bottom"/>
            <w:shd w:val="clear" w:color="auto" w:fill="CCEEFF"/>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SUMMARY</w:t>
              </w:r>
            </w:hyperlink>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r>
      <w:tr>
        <w:trPr>
          <w:trHeight w:val="216"/>
        </w:trPr>
        <w:tc>
          <w:tcPr>
            <w:tcW w:w="10240" w:type="dxa"/>
            <w:vAlign w:val="bottom"/>
          </w:tcPr>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SUMMARY FINANCIAL DATA</w:t>
              </w:r>
            </w:hyperlink>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18</w:t>
            </w:r>
          </w:p>
        </w:tc>
      </w:tr>
      <w:tr>
        <w:trPr>
          <w:trHeight w:val="216"/>
        </w:trPr>
        <w:tc>
          <w:tcPr>
            <w:tcW w:w="10240" w:type="dxa"/>
            <w:vAlign w:val="bottom"/>
            <w:shd w:val="clear" w:color="auto" w:fill="CCEEFF"/>
          </w:tcPr>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RISK FACTORS</w:t>
              </w:r>
            </w:hyperlink>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w:t>
            </w:r>
          </w:p>
        </w:tc>
      </w:tr>
      <w:tr>
        <w:trPr>
          <w:trHeight w:val="216"/>
        </w:trPr>
        <w:tc>
          <w:tcPr>
            <w:tcW w:w="10240" w:type="dxa"/>
            <w:vAlign w:val="bottom"/>
          </w:tcPr>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CAUTIONARY NOTE REGARDING FORWARD-LOOKING STATEMENTS</w:t>
              </w:r>
            </w:hyperlink>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42</w:t>
            </w:r>
          </w:p>
        </w:tc>
      </w:tr>
      <w:tr>
        <w:trPr>
          <w:trHeight w:val="216"/>
        </w:trPr>
        <w:tc>
          <w:tcPr>
            <w:tcW w:w="10240" w:type="dxa"/>
            <w:vAlign w:val="bottom"/>
            <w:shd w:val="clear" w:color="auto" w:fill="CCEEFF"/>
          </w:tcPr>
          <w:p>
            <w:pPr>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USE OF PROCEEDS</w:t>
              </w:r>
            </w:hyperlink>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43</w:t>
            </w:r>
          </w:p>
        </w:tc>
      </w:tr>
      <w:tr>
        <w:trPr>
          <w:trHeight w:val="216"/>
        </w:trPr>
        <w:tc>
          <w:tcPr>
            <w:tcW w:w="10240" w:type="dxa"/>
            <w:vAlign w:val="bottom"/>
          </w:tcPr>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DIVIDEND POLICY</w:t>
              </w:r>
            </w:hyperlink>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46</w:t>
            </w:r>
          </w:p>
        </w:tc>
      </w:tr>
      <w:tr>
        <w:trPr>
          <w:trHeight w:val="216"/>
        </w:trPr>
        <w:tc>
          <w:tcPr>
            <w:tcW w:w="10240" w:type="dxa"/>
            <w:vAlign w:val="bottom"/>
            <w:shd w:val="clear" w:color="auto" w:fill="CCEEFF"/>
          </w:tcPr>
          <w:p>
            <w:pPr>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DILUTION</w:t>
              </w:r>
            </w:hyperlink>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47</w:t>
            </w:r>
          </w:p>
        </w:tc>
      </w:tr>
      <w:tr>
        <w:trPr>
          <w:trHeight w:val="216"/>
        </w:trPr>
        <w:tc>
          <w:tcPr>
            <w:tcW w:w="10240" w:type="dxa"/>
            <w:vAlign w:val="bottom"/>
          </w:tcPr>
          <w:p>
            <w:pPr>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CAPITALIZATION</w:t>
              </w:r>
            </w:hyperlink>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48</w:t>
            </w:r>
          </w:p>
        </w:tc>
      </w:tr>
      <w:tr>
        <w:trPr>
          <w:trHeight w:val="216"/>
        </w:trPr>
        <w:tc>
          <w:tcPr>
            <w:tcW w:w="10240" w:type="dxa"/>
            <w:vAlign w:val="bottom"/>
            <w:shd w:val="clear" w:color="auto" w:fill="CCEEFF"/>
          </w:tcPr>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MANAGEMENT’S DISCUSSION AND ANALYSIS OF FINANCIAL CONDITION AND RESULTS OF OPERATIONS</w:t>
              </w:r>
            </w:hyperlink>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49</w:t>
            </w:r>
          </w:p>
        </w:tc>
      </w:tr>
      <w:tr>
        <w:trPr>
          <w:trHeight w:val="216"/>
        </w:trPr>
        <w:tc>
          <w:tcPr>
            <w:tcW w:w="10240" w:type="dxa"/>
            <w:vAlign w:val="bottom"/>
          </w:tcPr>
          <w:p>
            <w:pPr>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PROPOSED BUSINESS</w:t>
              </w:r>
            </w:hyperlink>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53</w:t>
            </w:r>
          </w:p>
        </w:tc>
      </w:tr>
      <w:tr>
        <w:trPr>
          <w:trHeight w:val="216"/>
        </w:trPr>
        <w:tc>
          <w:tcPr>
            <w:tcW w:w="10240" w:type="dxa"/>
            <w:vAlign w:val="bottom"/>
            <w:shd w:val="clear" w:color="auto" w:fill="CCEEFF"/>
          </w:tcPr>
          <w:p>
            <w:pPr>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MANAGEMENT</w:t>
              </w:r>
            </w:hyperlink>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71</w:t>
            </w:r>
          </w:p>
        </w:tc>
      </w:tr>
      <w:tr>
        <w:trPr>
          <w:trHeight w:val="216"/>
        </w:trPr>
        <w:tc>
          <w:tcPr>
            <w:tcW w:w="10240" w:type="dxa"/>
            <w:vAlign w:val="bottom"/>
          </w:tcPr>
          <w:p>
            <w:pPr>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PRINCIPAL STOCKHOLDERS</w:t>
              </w:r>
            </w:hyperlink>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79</w:t>
            </w:r>
          </w:p>
        </w:tc>
      </w:tr>
      <w:tr>
        <w:trPr>
          <w:trHeight w:val="216"/>
        </w:trPr>
        <w:tc>
          <w:tcPr>
            <w:tcW w:w="10240" w:type="dxa"/>
            <w:vAlign w:val="bottom"/>
            <w:shd w:val="clear" w:color="auto" w:fill="CCEEFF"/>
          </w:tcPr>
          <w:p>
            <w:pPr>
              <w:spacing w:after="0"/>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CERTAIN TRANSACTIONS</w:t>
              </w:r>
            </w:hyperlink>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81</w:t>
            </w:r>
          </w:p>
        </w:tc>
      </w:tr>
      <w:tr>
        <w:trPr>
          <w:trHeight w:val="216"/>
        </w:trPr>
        <w:tc>
          <w:tcPr>
            <w:tcW w:w="10240" w:type="dxa"/>
            <w:vAlign w:val="bottom"/>
          </w:tcPr>
          <w:p>
            <w:pPr>
              <w:spacing w:after="0"/>
              <w:rPr>
                <w:rFonts w:ascii="Arial" w:cs="Arial" w:eastAsia="Arial" w:hAnsi="Arial"/>
                <w:sz w:val="18"/>
                <w:szCs w:val="18"/>
                <w:u w:val="single" w:color="auto"/>
                <w:color w:val="0000EE"/>
              </w:rPr>
            </w:pPr>
            <w:hyperlink w:anchor="page88">
              <w:r>
                <w:rPr>
                  <w:rFonts w:ascii="Arial" w:cs="Arial" w:eastAsia="Arial" w:hAnsi="Arial"/>
                  <w:sz w:val="18"/>
                  <w:szCs w:val="18"/>
                  <w:u w:val="single" w:color="auto"/>
                  <w:color w:val="0000EE"/>
                </w:rPr>
                <w:t>DESCRIPTION OF SECURITIES</w:t>
              </w:r>
            </w:hyperlink>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83</w:t>
            </w:r>
          </w:p>
        </w:tc>
      </w:tr>
      <w:tr>
        <w:trPr>
          <w:trHeight w:val="216"/>
        </w:trPr>
        <w:tc>
          <w:tcPr>
            <w:tcW w:w="10240" w:type="dxa"/>
            <w:vAlign w:val="bottom"/>
            <w:shd w:val="clear" w:color="auto" w:fill="CCEEFF"/>
          </w:tcPr>
          <w:p>
            <w:pPr>
              <w:spacing w:after="0"/>
              <w:rPr>
                <w:rFonts w:ascii="Arial" w:cs="Arial" w:eastAsia="Arial" w:hAnsi="Arial"/>
                <w:sz w:val="18"/>
                <w:szCs w:val="18"/>
                <w:u w:val="single" w:color="auto"/>
                <w:color w:val="0000EE"/>
              </w:rPr>
            </w:pPr>
            <w:hyperlink w:anchor="page91">
              <w:r>
                <w:rPr>
                  <w:rFonts w:ascii="Arial" w:cs="Arial" w:eastAsia="Arial" w:hAnsi="Arial"/>
                  <w:sz w:val="18"/>
                  <w:szCs w:val="18"/>
                  <w:u w:val="single" w:color="auto"/>
                  <w:color w:val="0000EE"/>
                </w:rPr>
                <w:t>SECURITIES ELIGIBLE FOR FUTURE SALE</w:t>
              </w:r>
            </w:hyperlink>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86</w:t>
            </w:r>
          </w:p>
        </w:tc>
      </w:tr>
      <w:tr>
        <w:trPr>
          <w:trHeight w:val="216"/>
        </w:trPr>
        <w:tc>
          <w:tcPr>
            <w:tcW w:w="10240" w:type="dxa"/>
            <w:vAlign w:val="bottom"/>
          </w:tcPr>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UNDERWRITING (CONFLICTS OF INTEREST)</w:t>
              </w:r>
            </w:hyperlink>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88</w:t>
            </w:r>
          </w:p>
        </w:tc>
      </w:tr>
      <w:tr>
        <w:trPr>
          <w:trHeight w:val="216"/>
        </w:trPr>
        <w:tc>
          <w:tcPr>
            <w:tcW w:w="10240" w:type="dxa"/>
            <w:vAlign w:val="bottom"/>
            <w:shd w:val="clear" w:color="auto" w:fill="CCEEFF"/>
          </w:tcPr>
          <w:p>
            <w:pPr>
              <w:spacing w:after="0"/>
              <w:rPr>
                <w:rFonts w:ascii="Arial" w:cs="Arial" w:eastAsia="Arial" w:hAnsi="Arial"/>
                <w:sz w:val="18"/>
                <w:szCs w:val="18"/>
                <w:u w:val="single" w:color="auto"/>
                <w:color w:val="0000EE"/>
              </w:rPr>
            </w:pPr>
            <w:hyperlink w:anchor="page97">
              <w:r>
                <w:rPr>
                  <w:rFonts w:ascii="Arial" w:cs="Arial" w:eastAsia="Arial" w:hAnsi="Arial"/>
                  <w:sz w:val="18"/>
                  <w:szCs w:val="18"/>
                  <w:u w:val="single" w:color="auto"/>
                  <w:color w:val="0000EE"/>
                </w:rPr>
                <w:t>LEGAL MATTERS</w:t>
              </w:r>
            </w:hyperlink>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92</w:t>
            </w:r>
          </w:p>
        </w:tc>
      </w:tr>
      <w:tr>
        <w:trPr>
          <w:trHeight w:val="216"/>
        </w:trPr>
        <w:tc>
          <w:tcPr>
            <w:tcW w:w="10240" w:type="dxa"/>
            <w:vAlign w:val="bottom"/>
          </w:tcPr>
          <w:p>
            <w:pPr>
              <w:spacing w:after="0"/>
              <w:rPr>
                <w:rFonts w:ascii="Arial" w:cs="Arial" w:eastAsia="Arial" w:hAnsi="Arial"/>
                <w:sz w:val="18"/>
                <w:szCs w:val="18"/>
                <w:u w:val="single" w:color="auto"/>
                <w:color w:val="0000EE"/>
              </w:rPr>
            </w:pPr>
            <w:hyperlink w:anchor="page97">
              <w:r>
                <w:rPr>
                  <w:rFonts w:ascii="Arial" w:cs="Arial" w:eastAsia="Arial" w:hAnsi="Arial"/>
                  <w:sz w:val="18"/>
                  <w:szCs w:val="18"/>
                  <w:u w:val="single" w:color="auto"/>
                  <w:color w:val="0000EE"/>
                </w:rPr>
                <w:t>EXPERTS</w:t>
              </w:r>
            </w:hyperlink>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92</w:t>
            </w:r>
          </w:p>
        </w:tc>
      </w:tr>
      <w:tr>
        <w:trPr>
          <w:trHeight w:val="216"/>
        </w:trPr>
        <w:tc>
          <w:tcPr>
            <w:tcW w:w="10240" w:type="dxa"/>
            <w:vAlign w:val="bottom"/>
            <w:shd w:val="clear" w:color="auto" w:fill="CCEEFF"/>
          </w:tcPr>
          <w:p>
            <w:pPr>
              <w:spacing w:after="0"/>
              <w:rPr>
                <w:rFonts w:ascii="Arial" w:cs="Arial" w:eastAsia="Arial" w:hAnsi="Arial"/>
                <w:sz w:val="18"/>
                <w:szCs w:val="18"/>
                <w:u w:val="single" w:color="auto"/>
                <w:color w:val="0000EE"/>
              </w:rPr>
            </w:pPr>
            <w:hyperlink w:anchor="page97">
              <w:r>
                <w:rPr>
                  <w:rFonts w:ascii="Arial" w:cs="Arial" w:eastAsia="Arial" w:hAnsi="Arial"/>
                  <w:sz w:val="18"/>
                  <w:szCs w:val="18"/>
                  <w:u w:val="single" w:color="auto"/>
                  <w:color w:val="0000EE"/>
                </w:rPr>
                <w:t>WHERE YOU CAN FIND ADDITIONAL INFORMATION</w:t>
              </w:r>
            </w:hyperlink>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92</w:t>
            </w:r>
          </w:p>
        </w:tc>
      </w:tr>
      <w:tr>
        <w:trPr>
          <w:trHeight w:val="230"/>
        </w:trPr>
        <w:tc>
          <w:tcPr>
            <w:tcW w:w="10240" w:type="dxa"/>
            <w:vAlign w:val="bottom"/>
          </w:tcPr>
          <w:p>
            <w:pPr>
              <w:spacing w:after="0"/>
              <w:rPr>
                <w:rFonts w:ascii="Arial" w:cs="Arial" w:eastAsia="Arial" w:hAnsi="Arial"/>
                <w:sz w:val="18"/>
                <w:szCs w:val="18"/>
                <w:u w:val="single" w:color="auto"/>
                <w:color w:val="0000EE"/>
              </w:rPr>
            </w:pPr>
            <w:hyperlink w:anchor="page98">
              <w:r>
                <w:rPr>
                  <w:rFonts w:ascii="Arial" w:cs="Arial" w:eastAsia="Arial" w:hAnsi="Arial"/>
                  <w:sz w:val="18"/>
                  <w:szCs w:val="18"/>
                  <w:u w:val="single" w:color="auto"/>
                  <w:color w:val="0000EE"/>
                </w:rPr>
                <w:t>INDEX TO FINANCIAL STATEMENTS</w:t>
              </w:r>
            </w:hyperlink>
          </w:p>
        </w:tc>
        <w:tc>
          <w:tcPr>
            <w:tcW w:w="1000" w:type="dxa"/>
            <w:vAlign w:val="bottom"/>
          </w:tcPr>
          <w:p>
            <w:pPr>
              <w:jc w:val="center"/>
              <w:spacing w:after="0"/>
              <w:rPr>
                <w:sz w:val="20"/>
                <w:szCs w:val="20"/>
                <w:color w:val="auto"/>
              </w:rPr>
            </w:pPr>
            <w:r>
              <w:rPr>
                <w:rFonts w:ascii="Arial" w:cs="Arial" w:eastAsia="Arial" w:hAnsi="Arial"/>
                <w:sz w:val="18"/>
                <w:szCs w:val="18"/>
                <w:color w:val="auto"/>
                <w:w w:val="88"/>
              </w:rPr>
              <w:t>F-1</w:t>
            </w:r>
          </w:p>
        </w:tc>
      </w:tr>
    </w:tbl>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10730" cy="67075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0730" cy="6707505"/>
                    </a:xfrm>
                    <a:prstGeom prst="rect">
                      <a:avLst/>
                    </a:prstGeom>
                    <a:noFill/>
                  </pic:spPr>
                </pic:pic>
              </a:graphicData>
            </a:graphic>
          </wp:anchor>
        </w:drawing>
        <w:t>SUMMARY</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This summary only highlights the more detailed information appearing elsewhere in this prospectus. As this is a summary, it does not contain all of the information that you should consider in making an investment decision. You should read this entire prospectus carefully, including the information under “Risk Factors” and our financial statements and the related notes included elsewhere in this prospectus, before investing. Unless otherwise stated in this prospectus:</w:t>
      </w:r>
    </w:p>
    <w:p>
      <w:pPr>
        <w:spacing w:after="0" w:line="187" w:lineRule="exact"/>
        <w:rPr>
          <w:sz w:val="20"/>
          <w:szCs w:val="20"/>
          <w:color w:val="auto"/>
        </w:rPr>
      </w:pPr>
    </w:p>
    <w:p>
      <w:pPr>
        <w:ind w:left="660" w:hanging="329"/>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“we,” “us” “our” or “our company” refers to BCTG Acquisition Corp.;</w:t>
      </w:r>
    </w:p>
    <w:p>
      <w:pPr>
        <w:spacing w:after="0" w:line="225" w:lineRule="exact"/>
        <w:rPr>
          <w:rFonts w:ascii="Arial" w:cs="Arial" w:eastAsia="Arial" w:hAnsi="Arial"/>
          <w:sz w:val="18"/>
          <w:szCs w:val="18"/>
          <w:i w:val="1"/>
          <w:iCs w:val="1"/>
          <w:color w:val="auto"/>
        </w:rPr>
      </w:pPr>
    </w:p>
    <w:p>
      <w:pPr>
        <w:ind w:left="660" w:hanging="329"/>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“directors” refers to our current directors and director nominees named in this prospectus;</w:t>
      </w:r>
    </w:p>
    <w:p>
      <w:pPr>
        <w:spacing w:after="0" w:line="225" w:lineRule="exact"/>
        <w:rPr>
          <w:rFonts w:ascii="Arial" w:cs="Arial" w:eastAsia="Arial" w:hAnsi="Arial"/>
          <w:sz w:val="18"/>
          <w:szCs w:val="18"/>
          <w:i w:val="1"/>
          <w:iCs w:val="1"/>
          <w:color w:val="auto"/>
        </w:rPr>
      </w:pPr>
    </w:p>
    <w:p>
      <w:pPr>
        <w:ind w:left="660" w:right="20" w:hanging="329"/>
        <w:spacing w:after="0" w:line="277" w:lineRule="auto"/>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“initial stockholders” refers to all of our stockholders immediately prior to the date of this prospectus, including our sponsor and officers and directors to the extent they hold such shares;</w:t>
      </w:r>
    </w:p>
    <w:p>
      <w:pPr>
        <w:spacing w:after="0" w:line="170" w:lineRule="exact"/>
        <w:rPr>
          <w:rFonts w:ascii="Arial" w:cs="Arial" w:eastAsia="Arial" w:hAnsi="Arial"/>
          <w:sz w:val="18"/>
          <w:szCs w:val="18"/>
          <w:i w:val="1"/>
          <w:iCs w:val="1"/>
          <w:color w:val="auto"/>
        </w:rPr>
      </w:pPr>
    </w:p>
    <w:p>
      <w:pPr>
        <w:jc w:val="both"/>
        <w:ind w:left="660" w:right="20" w:hanging="329"/>
        <w:spacing w:after="0" w:line="263" w:lineRule="auto"/>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“founder shares” refers to the 3,593,750 shares of common stock held by our sponsor prior to this offering (including up to an aggregate of 468,750 shares of common stock subject to forfeiture to the extent that the underwriters’ over-allotment option is not exercised in full or in part);</w:t>
      </w:r>
    </w:p>
    <w:p>
      <w:pPr>
        <w:spacing w:after="0" w:line="183" w:lineRule="exact"/>
        <w:rPr>
          <w:rFonts w:ascii="Arial" w:cs="Arial" w:eastAsia="Arial" w:hAnsi="Arial"/>
          <w:sz w:val="18"/>
          <w:szCs w:val="18"/>
          <w:i w:val="1"/>
          <w:iCs w:val="1"/>
          <w:color w:val="auto"/>
        </w:rPr>
      </w:pPr>
    </w:p>
    <w:p>
      <w:pPr>
        <w:ind w:left="660" w:right="20" w:hanging="329"/>
        <w:spacing w:after="0" w:line="277" w:lineRule="auto"/>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“private shares” or refers to the shares of common stock we are selling privately to our sponsor and/or its designees upon consummation of this offering;</w:t>
      </w:r>
    </w:p>
    <w:p>
      <w:pPr>
        <w:spacing w:after="0" w:line="170" w:lineRule="exact"/>
        <w:rPr>
          <w:rFonts w:ascii="Arial" w:cs="Arial" w:eastAsia="Arial" w:hAnsi="Arial"/>
          <w:sz w:val="18"/>
          <w:szCs w:val="18"/>
          <w:i w:val="1"/>
          <w:iCs w:val="1"/>
          <w:color w:val="auto"/>
        </w:rPr>
      </w:pPr>
    </w:p>
    <w:p>
      <w:pPr>
        <w:ind w:left="660" w:hanging="329"/>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“sponsor” refers to BCTG Holdings, LLC, a Delaware limited liability company;</w:t>
      </w:r>
    </w:p>
    <w:p>
      <w:pPr>
        <w:spacing w:after="0" w:line="225" w:lineRule="exact"/>
        <w:rPr>
          <w:rFonts w:ascii="Arial" w:cs="Arial" w:eastAsia="Arial" w:hAnsi="Arial"/>
          <w:sz w:val="18"/>
          <w:szCs w:val="18"/>
          <w:i w:val="1"/>
          <w:iCs w:val="1"/>
          <w:color w:val="auto"/>
        </w:rPr>
      </w:pPr>
    </w:p>
    <w:p>
      <w:pPr>
        <w:ind w:left="660" w:hanging="329"/>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“management” or our “management team” refers to our officers and directors;</w:t>
      </w:r>
    </w:p>
    <w:p>
      <w:pPr>
        <w:spacing w:after="0" w:line="225" w:lineRule="exact"/>
        <w:rPr>
          <w:rFonts w:ascii="Arial" w:cs="Arial" w:eastAsia="Arial" w:hAnsi="Arial"/>
          <w:sz w:val="18"/>
          <w:szCs w:val="18"/>
          <w:i w:val="1"/>
          <w:iCs w:val="1"/>
          <w:color w:val="auto"/>
        </w:rPr>
      </w:pPr>
    </w:p>
    <w:p>
      <w:pPr>
        <w:jc w:val="both"/>
        <w:ind w:left="660" w:right="20" w:hanging="329"/>
        <w:spacing w:after="0" w:line="259" w:lineRule="auto"/>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term “public stockholders” means the holders of shares of common stock which are being sold in this public offering, or “public shares,” whether they are purchased in the public offering or in the aftermarket, including any of our initial stockholders to the extent that they purchase such public shares (except that our initial stockholders will not have conversion or tender rights with respect to any public shares they own); and</w:t>
      </w:r>
    </w:p>
    <w:p>
      <w:pPr>
        <w:spacing w:after="0" w:line="186" w:lineRule="exact"/>
        <w:rPr>
          <w:rFonts w:ascii="Arial" w:cs="Arial" w:eastAsia="Arial" w:hAnsi="Arial"/>
          <w:sz w:val="18"/>
          <w:szCs w:val="18"/>
          <w:i w:val="1"/>
          <w:iCs w:val="1"/>
          <w:color w:val="auto"/>
        </w:rPr>
      </w:pPr>
    </w:p>
    <w:p>
      <w:pPr>
        <w:ind w:left="660" w:hanging="329"/>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information in this prospectus assumes that the underwriters will not exercise their over-allotment option.</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Certain financial information contained in this prospectus has been rounded and, as a result, certain totals shown in this prospectus may not equal the arithmetic sum of the figures that should otherwise aggregate to those totals.</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You should rely only on the information contained in this prospectus. We have not, and the underwriters have not, authorized anyone to provide you with different information. We are not, and the underwriters are not, making an offer of these securities in any jurisdiction where the offer is not permitted.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We are a newly organized blank check company incorporated in May 2020 as a Delaware corporation formed for the purpose of effecting a merger, capital stock exchange, asset acquisition, stock purchase, reorganization or similar business combination with one or more businesses, which we refer to throughout this prospectus as our initial business combination. While we may pursue an acquisition opportunity in any business, industry, sector or geographical location, we intend to focus on innovative companies in the biotechnology sector in North America and Europe in order to most effectively leverage our management team’s background and expertise.</w:t>
      </w: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6985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20" w:top="999" w:right="459" w:bottom="1440" w:gutter="0" w:footer="0" w:header="0"/>
        </w:sectPr>
      </w:pPr>
    </w:p>
    <w:bookmarkStart w:id="6" w:name="page7"/>
    <w:bookmarkEnd w:id="6"/>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10730" cy="51987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0730" cy="5198745"/>
                    </a:xfrm>
                    <a:prstGeom prst="rect">
                      <a:avLst/>
                    </a:prstGeom>
                    <a:noFill/>
                  </pic:spPr>
                </pic:pic>
              </a:graphicData>
            </a:graphic>
          </wp:anchor>
        </w:drawing>
        <w:t>To date, our efforts have been limited to organizational activities as well as activities related to this offering. We have generated no operating revenues to date, and we do not expect that we will generate operating revenues until we consummate our initial business combination. We have not selected any specific business combination target, and we have not, nor has anyone on our behalf, initiated any substantive discussions, directly or indirectly, with any business combination target.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Sponsor and Competitive Advantages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sponsor is an affiliate of Boxer Capital, LLC, or Boxer Capital, a private biopharmaceutical investment firm based in San Diego, California. Boxer Capital and its affiliated funds manage over $2.2 billion in assets as of July 14, 2020. Boxer Capital was founded in 2005 with approximately $6 million in seed capital from its managing founders and Tavistock Group, which is the family office of Joseph C. Lewis. Since its inception, Boxer Capital has almost exclusively focused on investment in therapeutics. Over 80% of Boxer Capital’s current asset base has been generated by fund performance. Boxer Capital has generated a 7500% cumulative 15-year return with an annualized IRR of 34.3%, including three-, five- and seven-year annualized IRRs of 69.7%, 46.9%, and 51.4%, respectively, since inception in November 2005.</w:t>
      </w:r>
    </w:p>
    <w:p>
      <w:pPr>
        <w:spacing w:after="0" w:line="17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Today, Tavistock Group remains the majority investor in Boxer Capital and the only significant investor besides the founding management team. Due to its majority ownership by a single investor, Boxer Capital is able to make investment decisions based on long-term value creation without the short-term distractions of fundraising or redemptions. Boxer Capital invests in the entire drug development lifecycle from early-stage preclinical discovery assets to late-stage clinical and commercial stage companies. Aaron Davis, our Chief Executive Officer and Chairman, and Christopher Fuglesang, our President, are among the co-founders of Boxer Capital and serve as its Chief Executive Officer and Managing Director, respectively.</w:t>
      </w:r>
    </w:p>
    <w:p>
      <w:pPr>
        <w:spacing w:after="0" w:line="16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Boxer Capital’s investment focus is on identifying new therapeutics that will improve patient care and outcomes and investing behind these opportunities to fund their advancement. While more than 75% of Boxer Capital’s invested capital is in public corporations at any given time, the team spends a significant amount of its time reviewing private investment opportunities. Through its experience over many of years investing in therapeutics, Boxer Capital believes that there are important advantages to evaluating companies in the early stage of their development. Investing early allows Boxer Capital to learn about an asset and a management team before they become public and track their growth for subsequent consideration. Many of Boxer Capital’s largest historical and present public positions, such as Avexis, Inc, Beigene Inc., and Blueprint Medicines Corp., were built over time from pre-initial public offering investments utilizing this “crossover investing” approach. Since 2018, Boxer Capital has evaluated hundreds of private companies per year, while investing approximately $300 million in 29 private companies, 18 of which are now publicly traded. In 2020, nine of Boxer Capital’s portfolio companies have closed an initial public offering: Avidity Biosciences, Inc., Black Diamond Therapeutics, Inc., iTeos Therapeutics, Inc., Nurix Pharmaceuticals, Inc., Pandion Therapeutics, Inc., Passage Bio, Inc., Poseida Therapeutics, Inc., Relay Therapeutics, Inc., and Revolution Medicines, Inc. Boxer Capital was the lead investor for the private crossover round in four of these nine initial public offerings and has been the lead investor in nine private financings since 2018. Boxer Capital has invested substantial time and money in new company formation projects centered around licensing promising agents from pharmaceutical companies and pairing these assets with world-class managers and operators to help seed company formation. Boxer Capital has formed and/or recapitalized and rebuilt three publicly traded companies since inception, demonstrating the level of experience and direction the team can provide alongside funding to a potential combination partner.</w:t>
      </w: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6985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20" w:top="1003" w:right="459" w:bottom="1440" w:gutter="0" w:footer="0" w:header="0"/>
        </w:sectPr>
      </w:pPr>
    </w:p>
    <w:bookmarkStart w:id="7" w:name="page8"/>
    <w:bookmarkEnd w:id="7"/>
    <w:p>
      <w:pPr>
        <w:jc w:val="both"/>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10730" cy="69818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0730" cy="6981825"/>
                    </a:xfrm>
                    <a:prstGeom prst="rect">
                      <a:avLst/>
                    </a:prstGeom>
                    <a:noFill/>
                  </pic:spPr>
                </pic:pic>
              </a:graphicData>
            </a:graphic>
          </wp:anchor>
        </w:drawing>
        <w:t>A fundamental area of strength for Boxer Capital has been targeted oncology, having focused on investing in this sector of healthcare for most of the last ten years. For example, Boxer Capital has led an active effort in recapitalizing and repositioning Mirati Therapeutics, Inc. since 2012 when it was MethylGene Inc., playing an important strategic and financial role over the years with its board seat and ownership level to assist the company with its re-focus on an internally developed pipeline of KRAS inhibitor assets, alongside the repositioning of later-stage clinical assets like sitravatinib. Boxer Capital has also made large traditional investments in targeted oncology companies like Immunomedics, Inc., Ignyta Inc. (acquired by Roche in 2017), Loxo Oncology, Inc. (acquired by Eli Lilly and Company in 2019) and Array BioPharma Inc. (acquired by Pfizer in 2019). In addition to investments in already-public companies, Boxer Capital has made multiple investments in private targeted oncology companies that are now among the sector’s most promising public companies, including BeiGene, Inc., Odonate Therapeutics, Inc., SpringWorks Therapeutics, Inc., Revolution Medicines, Inc., Black Diamond Therapeutics, Inc. and Relay Therapeutics, Inc. Over time, with this heavy focus on investing in targeted oncology, Boxer Capital has built a network of research scientists, chemists, physicians, and other experts in areas like manufacturing, intellectual property and food and drug regulations who have expertise in targeted oncology and can be called upon as needed to assist with diligence. To further bolster our support in this area, we have assembled a board of individuals who each have particular expertise in the area of targeted oncology, among other areas. Although we may pursue an acquisition opportunity in any business, industry, or sector, we believe targeted oncology is an area of particular strength where we may have a competitive advantage in finding, evaluating and capitalizing an attractive target company.</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team at Boxer Capital is comprised of individuals with backgrounds in finance, drug development, medicine and science. The majority of the team has doctorates in medicine and science, and some have been responsible for multiple Investigational New Drug Applications and New Drug Applications. The in-house team is supplemented by a proprietary network of key opinion leaders, expert consultants, healthcare executives, and biotechnology investors. We believe their holistic approach will enable us to identify and evaluate innovative companies that can address unmet needs in healthcare.</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independent directors have very broad experience within targeted oncology, spanning biology, chemistry, preclinical models and translation, clinical enrichment and development strategy, regulatory strategy, manufacturing, intellectual property, operational and management leadership within multiple successful publicly traded and previously acquired oncology companies. Our independent directors have led the discovery and clinical development of multiple targeted oncology drugs treating cancer patients worldwide. As we evaluate prospective candidates for our initial business combination, we believe that their breadth of experience will assist in our ability to source and evaluate prospective business combination candidates. After we execute our initial business combination, we believe their operational and strategic expertise will strongly support the drug development efforts of our target, as well as any potential future acquisitions and strategic transactions.</w:t>
      </w:r>
    </w:p>
    <w:p>
      <w:pPr>
        <w:spacing w:after="0" w:line="177"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In addition to identifying and capitalizing an attractive target, we believe that the sector expertise and broad relationship network of our management team and board of directors will allow them to add significant value after consummation of an initial transaction by (1) providing strategic guidance on clinical development, competitive positioning, financing and partnerships, (2) assisting in the recruitment of key executives, (3) providing an investor perspective on market information and investor relations and (4) corporate governance and public company readiness.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past performance of the members of our management team, Boxer Capital or its affiliates is not a guarantee that we will be able to identify a suitable candidate for our initial business combination or of success with respect to any business combination we may consummate. You should not rely on the historical record or the performance of our management, Boxer Capital or any of its affiliates’ or managed fund’s performance as indicative of our future performance.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Management and Board of Directors</w:t>
      </w:r>
    </w:p>
    <w:p>
      <w:pPr>
        <w:spacing w:after="0" w:line="225"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color w:val="auto"/>
        </w:rPr>
        <w:t xml:space="preserve">Aaron I. Davis </w:t>
      </w:r>
      <w:r>
        <w:rPr>
          <w:rFonts w:ascii="Arial" w:cs="Arial" w:eastAsia="Arial" w:hAnsi="Arial"/>
          <w:sz w:val="16"/>
          <w:szCs w:val="16"/>
          <w:color w:val="auto"/>
        </w:rPr>
        <w:t>has served as our Chief Executive Officer and Chairman of our board of directors since May 2020. Mr. Davis co-founded Boxer Capital,</w:t>
      </w:r>
      <w:r>
        <w:rPr>
          <w:rFonts w:ascii="Arial" w:cs="Arial" w:eastAsia="Arial" w:hAnsi="Arial"/>
          <w:sz w:val="16"/>
          <w:szCs w:val="16"/>
          <w:b w:val="1"/>
          <w:bCs w:val="1"/>
          <w:color w:val="auto"/>
        </w:rPr>
        <w:t xml:space="preserve"> </w:t>
      </w:r>
      <w:r>
        <w:rPr>
          <w:rFonts w:ascii="Arial" w:cs="Arial" w:eastAsia="Arial" w:hAnsi="Arial"/>
          <w:sz w:val="16"/>
          <w:szCs w:val="16"/>
          <w:color w:val="auto"/>
        </w:rPr>
        <w:t>LLC (“Boxer Capital”), the healthcare arm of the Tavistock Group, where he has served as portfolio manager since 2005 and as Chief Executive Officer since 2012. At Boxer Capital, Mr. Davis is responsible for identifying, evaluating and structuring investment opportunities in private and public biotechnology companies. Mr. Davis serves as a member of the board of directors of Mirati Therapeutics, Inc. (Nasdaq:MRTX), Odonate Therapeutics, Inc. (Nasdaq:ODT), iTeos Therapeutics, Inc. (Nasdaq:ITOS), and Sojournix, Inc. and serves as the Executive Chairman of CiVi Biopharma Holdings, Inc. Prior to joining the Tavistock Group, Mr. Davis worked in the Global Healthcare Investment Banking and Private Equity Groups at UBS Warburg, LLC. Mr. Davis received an M.A. degree in biotechnology from Columbia University and a B.B.A. degree in finance from Emory University.</w:t>
      </w: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6985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20" w:top="1003" w:right="459" w:bottom="1440" w:gutter="0" w:footer="0" w:header="0"/>
        </w:sectPr>
      </w:pPr>
    </w:p>
    <w:bookmarkStart w:id="8" w:name="page9"/>
    <w:bookmarkEnd w:id="8"/>
    <w:p>
      <w:pPr>
        <w:jc w:val="both"/>
        <w:spacing w:after="0" w:line="272"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10730" cy="61588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0730" cy="6158865"/>
                    </a:xfrm>
                    <a:prstGeom prst="rect">
                      <a:avLst/>
                    </a:prstGeom>
                    <a:noFill/>
                  </pic:spPr>
                </pic:pic>
              </a:graphicData>
            </a:graphic>
          </wp:anchor>
        </w:drawing>
        <w:t xml:space="preserve">Christopher Fuglesang, Ph.D., J.D., </w:t>
      </w:r>
      <w:r>
        <w:rPr>
          <w:rFonts w:ascii="Arial" w:cs="Arial" w:eastAsia="Arial" w:hAnsi="Arial"/>
          <w:sz w:val="17"/>
          <w:szCs w:val="17"/>
          <w:color w:val="auto"/>
        </w:rPr>
        <w:t>has served as our President and as a member of our board of directors since May 2020. Dr. Fuglesang joined</w:t>
      </w:r>
      <w:r>
        <w:rPr>
          <w:rFonts w:ascii="Arial" w:cs="Arial" w:eastAsia="Arial" w:hAnsi="Arial"/>
          <w:sz w:val="17"/>
          <w:szCs w:val="17"/>
          <w:b w:val="1"/>
          <w:bCs w:val="1"/>
          <w:color w:val="auto"/>
        </w:rPr>
        <w:t xml:space="preserve"> </w:t>
      </w:r>
      <w:r>
        <w:rPr>
          <w:rFonts w:ascii="Arial" w:cs="Arial" w:eastAsia="Arial" w:hAnsi="Arial"/>
          <w:sz w:val="17"/>
          <w:szCs w:val="17"/>
          <w:color w:val="auto"/>
        </w:rPr>
        <w:t>Tavistock Group in 2005 as a vice president and was a co-founder of Boxer Capital, where he has been a managing director since 2012. At Boxer Capital, Dr. Fuglesang assists in managing the firm’s research team, deal structuring and securities compliance. Prior to joining Boxer Capital, Dr. Fuglesang was vice president at Eidogen-Sertanty, Inc., a structural proteomics software company, and an attorney at Perkins Coie LLC. Dr. Fuglesang is a member of the board of directors of Pandion Therapeutics, Inc. (Nasdaq:PAND), CiVi Biopharma Holdings, Inc. and Eidogen-Sertanty, Inc. Dr. Fuglesang served as a member of the board of directors of Kalypsys, Inc. from 2007 to 2013 and of Ambrx Inc. from 2011 to 2015. Dr. Fuglesang received a B.S. in chemistry and physics from the University of California at Los Angeles, a Ph.D. in theoretical chemical physics from the University of California at Los Angeles, and a J.D. from Boston University.</w:t>
      </w:r>
    </w:p>
    <w:p>
      <w:pPr>
        <w:spacing w:after="0" w:line="172"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color w:val="auto"/>
        </w:rPr>
        <w:t xml:space="preserve">Michael Beauchamp </w:t>
      </w:r>
      <w:r>
        <w:rPr>
          <w:rFonts w:ascii="Arial" w:cs="Arial" w:eastAsia="Arial" w:hAnsi="Arial"/>
          <w:sz w:val="18"/>
          <w:szCs w:val="18"/>
          <w:color w:val="auto"/>
        </w:rPr>
        <w:t>has served as our Chief Financial Officer and Treasurer since May 2020. Mr. Beauchamp has served as Vice President of Finance</w:t>
      </w:r>
      <w:r>
        <w:rPr>
          <w:rFonts w:ascii="Arial" w:cs="Arial" w:eastAsia="Arial" w:hAnsi="Arial"/>
          <w:sz w:val="18"/>
          <w:szCs w:val="18"/>
          <w:b w:val="1"/>
          <w:bCs w:val="1"/>
          <w:color w:val="auto"/>
        </w:rPr>
        <w:t xml:space="preserve"> </w:t>
      </w:r>
      <w:r>
        <w:rPr>
          <w:rFonts w:ascii="Arial" w:cs="Arial" w:eastAsia="Arial" w:hAnsi="Arial"/>
          <w:sz w:val="18"/>
          <w:szCs w:val="18"/>
          <w:color w:val="auto"/>
        </w:rPr>
        <w:t>at Boxer Capital since January 2016, where he is responsible for the firm’s back office operations, including finance, tax, audit and administration. Prior to joining Boxer Capital, Mr. Beauchamp worked in the assurance practice at PricewaterhouseCoopers from 2012 to 2016. Mr. Beauchamp received a Bachelor of Accountancy degree from the University of San Diego.</w:t>
      </w:r>
    </w:p>
    <w:p>
      <w:pPr>
        <w:spacing w:after="0" w:line="18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Andrew Ellis, M.D., J.D., </w:t>
      </w:r>
      <w:r>
        <w:rPr>
          <w:rFonts w:ascii="Arial" w:cs="Arial" w:eastAsia="Arial" w:hAnsi="Arial"/>
          <w:sz w:val="18"/>
          <w:szCs w:val="18"/>
          <w:color w:val="auto"/>
        </w:rPr>
        <w:t>has served as our Chief Operating Officer and Secretary since May 2020. Dr. Ellis has served as Senior Counsel and Head of</w:t>
      </w:r>
      <w:r>
        <w:rPr>
          <w:rFonts w:ascii="Arial" w:cs="Arial" w:eastAsia="Arial" w:hAnsi="Arial"/>
          <w:sz w:val="18"/>
          <w:szCs w:val="18"/>
          <w:b w:val="1"/>
          <w:bCs w:val="1"/>
          <w:color w:val="auto"/>
        </w:rPr>
        <w:t xml:space="preserve"> </w:t>
      </w:r>
      <w:r>
        <w:rPr>
          <w:rFonts w:ascii="Arial" w:cs="Arial" w:eastAsia="Arial" w:hAnsi="Arial"/>
          <w:sz w:val="18"/>
          <w:szCs w:val="18"/>
          <w:color w:val="auto"/>
        </w:rPr>
        <w:t>Compliance at Boxer Capital since July 2018, where he is responsible for securities compliance, deal structuring and due diligence for investments in private and public healthcare companies. Prior to joining Boxer Capital, Dr. Ellis was a corporate and securities attorney at Wilson Sonsini Goodrich &amp; Rosati, P.C. from 2013 to 2018, where he worked with life sciences companies and investors on a variety of corporate transactions. Dr. Ellis received an M.D. and general surgery training at Baylor College of Medicine, a J.D. from New York University School of Law, and a B.S. degree in Biology from Baylor University.</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Carole L. Nuechterlein, J.D., </w:t>
      </w:r>
      <w:r>
        <w:rPr>
          <w:rFonts w:ascii="Arial" w:cs="Arial" w:eastAsia="Arial" w:hAnsi="Arial"/>
          <w:sz w:val="18"/>
          <w:szCs w:val="18"/>
          <w:color w:val="auto"/>
        </w:rPr>
        <w:t>has agreed to serve on our board of directors following the completion of this offering. Ms. Nuechterlein joined F.</w:t>
      </w:r>
      <w:r>
        <w:rPr>
          <w:rFonts w:ascii="Arial" w:cs="Arial" w:eastAsia="Arial" w:hAnsi="Arial"/>
          <w:sz w:val="18"/>
          <w:szCs w:val="18"/>
          <w:b w:val="1"/>
          <w:bCs w:val="1"/>
          <w:color w:val="auto"/>
        </w:rPr>
        <w:t xml:space="preserve"> </w:t>
      </w:r>
      <w:r>
        <w:rPr>
          <w:rFonts w:ascii="Arial" w:cs="Arial" w:eastAsia="Arial" w:hAnsi="Arial"/>
          <w:sz w:val="18"/>
          <w:szCs w:val="18"/>
          <w:color w:val="auto"/>
        </w:rPr>
        <w:t>Hoffmann-La Roche Ltd. in 2001 and currently serves as a Deputy Director and head of Roche Venture Fund. Prior to that, from 1998 to 2001, Ms. Nuechterlein served as General Counsel for SangStat, Inc., a biopharmaceutical company. Ms. Nuechterlein has served as a member of the board of directors of Millendo Therapeutics, Inc. (Nasdaq:MLND) since March 2017. Ms. Nuechterlein serves and has served as a member of the boards of directors of a number of private biotechnology companies, including Entrada Therapeutics since April 2020, Aligos Therapeutics since August 2018, Vivet Therapeutics SAS since April 2017, CiVi BioPharma, Inc. since March 2017, Mission Therapeutics Ltd. since January 2017, Arch Oncology Inc. since August 2016 and Second Genome, Inc. since April 2016. She also served as a member of the board of directors of AveXis Inc., a biotechnology company (Nasdaq:AVXS), from October 2014 to May 2017. Ms. Nuechterlein received a B.A. from Valparaiso University and a J.D. from University of Michigan.</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color w:val="auto"/>
        </w:rPr>
        <w:t xml:space="preserve">Richard Heyman, Ph.D., </w:t>
      </w:r>
      <w:r>
        <w:rPr>
          <w:rFonts w:ascii="Arial" w:cs="Arial" w:eastAsia="Arial" w:hAnsi="Arial"/>
          <w:sz w:val="17"/>
          <w:szCs w:val="17"/>
          <w:color w:val="auto"/>
        </w:rPr>
        <w:t>has agreed to serve on our board of directors following the completion of this offering. Dr. Heyman is chairman of the board</w:t>
      </w:r>
      <w:r>
        <w:rPr>
          <w:rFonts w:ascii="Arial" w:cs="Arial" w:eastAsia="Arial" w:hAnsi="Arial"/>
          <w:sz w:val="17"/>
          <w:szCs w:val="17"/>
          <w:b w:val="1"/>
          <w:bCs w:val="1"/>
          <w:color w:val="auto"/>
        </w:rPr>
        <w:t xml:space="preserve"> </w:t>
      </w:r>
      <w:r>
        <w:rPr>
          <w:rFonts w:ascii="Arial" w:cs="Arial" w:eastAsia="Arial" w:hAnsi="Arial"/>
          <w:sz w:val="17"/>
          <w:szCs w:val="17"/>
          <w:color w:val="auto"/>
        </w:rPr>
        <w:t>of directors and co-founder of Metacrine, Inc., a biotechnology company developing new therapeutics for the treatment of liver and gastrointestinal diseases. He also is on the board of directors of Gritstone Oncology, Inc. (Nasdaq:GRTS) and is the co-founder and chairman of the board of directors of ORIC Pharmaceuticals, Inc. (Nasdaq:ORIC). Previously, Dr. Heyman served as president and chief executive officer of Seragon Pharmaceuticals Inc., or Seragon, a privately-held biotechnology company, which was acquired by Genentech in 2014. Prior to Seragon, he co-founded and served as president and chief executive officer of Aragon Pharmaceuticals, Inc., or Aragon, until it was purchased by Johnson &amp; Johnson in 2013. Dr. Heyman is a venture partner for Arch Ventures and also serves on the boards of directors for private life sciences companies Yumanity Therapeutics, Inc., Vividion Therapeutics, Inc., PMV Pharmaceuticals, Inc. and Amunix Inc. He is Vice Chair of the Board of Trustees at the Salk Institute, on the Board Foundation for the American Association for Cancer Research, or AACR, and on the Board of Visitors at the University of California at San Diego Moores Cancer Center. Dr. Heyman received a B.S. in chemistry from the University of Connecticut and a Ph.D. in pharmacology from the University of Minnesota. He was an NIH post-doctoral fellow and staff scientist at the Salk Institute.</w:t>
      </w: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6985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20" w:top="999" w:right="459" w:bottom="1440" w:gutter="0" w:footer="0" w:header="0"/>
        </w:sectPr>
      </w:pPr>
    </w:p>
    <w:bookmarkStart w:id="9" w:name="page10"/>
    <w:bookmarkEnd w:id="9"/>
    <w:p>
      <w:pPr>
        <w:jc w:val="both"/>
        <w:spacing w:after="0" w:line="253"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10730" cy="57645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10730" cy="5764530"/>
                    </a:xfrm>
                    <a:prstGeom prst="rect">
                      <a:avLst/>
                    </a:prstGeom>
                    <a:noFill/>
                  </pic:spPr>
                </pic:pic>
              </a:graphicData>
            </a:graphic>
          </wp:anchor>
        </w:drawing>
        <w:t xml:space="preserve">Charles M. Baum, M.D., Ph.D., </w:t>
      </w:r>
      <w:r>
        <w:rPr>
          <w:rFonts w:ascii="Arial" w:cs="Arial" w:eastAsia="Arial" w:hAnsi="Arial"/>
          <w:sz w:val="18"/>
          <w:szCs w:val="18"/>
          <w:color w:val="auto"/>
        </w:rPr>
        <w:t>has agreed to serve on our board of directors following the completion of this offering. Dr. Baum has been the</w:t>
      </w:r>
      <w:r>
        <w:rPr>
          <w:rFonts w:ascii="Arial" w:cs="Arial" w:eastAsia="Arial" w:hAnsi="Arial"/>
          <w:sz w:val="18"/>
          <w:szCs w:val="18"/>
          <w:b w:val="1"/>
          <w:bCs w:val="1"/>
          <w:color w:val="auto"/>
        </w:rPr>
        <w:t xml:space="preserve"> </w:t>
      </w:r>
      <w:r>
        <w:rPr>
          <w:rFonts w:ascii="Arial" w:cs="Arial" w:eastAsia="Arial" w:hAnsi="Arial"/>
          <w:sz w:val="18"/>
          <w:szCs w:val="18"/>
          <w:color w:val="auto"/>
        </w:rPr>
        <w:t>President and Chief Executive Officer and a member of the board of directors of Mirati Therapeutics, Inc. since November 2012. From June 2003 to September 2012, he was at Pfizer as Senior Vice President for Biotherapeutic Clinical Research within Pfizer’s Worldwide Research &amp; Development division and as Vice President and Head of Oncology Development and Chief Medical Officer for Pfizer’s Biotherapeutics and Bioinnovation Center. From 2000 to 2003, he was responsible for the development of several oncology compounds at Schering-Plough Corporation (acquired by Merck). His career has included academic and hospital positions at Stanford University and Emory University, as well as positions of increasing responsibility within the pharmaceutical industry at SyStemix, Inc. (acquired by Novartis AG), G.D. Searle &amp; Company (acquired by Pfizer), Schering-Plough Corporation (acquired by Merck) and Pfizer. Dr. Baum has served on the board of directors of Immunomedics, Inc. (Nasdaq:IMMU) since February 2019 and was on the board of directors of Array BioPharma Inc. from 2014 until its acquisition by Pfizer in July 2019. Dr. Baum received his M.D. and Ph.D. (Immunology) degrees from Washington University School of Medicine in St. Louis, Missouri and completed his post-doctoral training at Stanford University.</w:t>
      </w:r>
    </w:p>
    <w:p>
      <w:pPr>
        <w:spacing w:after="0" w:line="19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b w:val="1"/>
          <w:bCs w:val="1"/>
          <w:color w:val="auto"/>
        </w:rPr>
        <w:t xml:space="preserve">Jamie G. Christensen, Ph.D., </w:t>
      </w:r>
      <w:r>
        <w:rPr>
          <w:rFonts w:ascii="Arial" w:cs="Arial" w:eastAsia="Arial" w:hAnsi="Arial"/>
          <w:sz w:val="16"/>
          <w:szCs w:val="16"/>
          <w:color w:val="auto"/>
        </w:rPr>
        <w:t>has agreed to serve on our board of directors following the completion of this offering. Dr. Christensen has been the</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Vice President and Chief Scientific Officer of Mirati Therapeutics, Inc. since June 2013. In his role at Mirati, he is responsible for drug discovery, translational research, drug manufacturing and companion diagnostics research and teams. While at Mirati, Dr. Christensen led activities related to the discovery and advancement of the KRAS G12C inhibitor, MRTX849, as well as the spectrum-selective receptor tyrosine kinase (RTK) inhibitor, sitravatinib, through IND and clinical development. Prior to Mirati, Dr. Christensen most recently was the head of Oncology Precision Medicine and member of the executive leadership team in the Oncology Research Unit at Pfizer. While at Pfizer, Dr Christensen led key aspects of the nonclinical and clinical development of sunitinib (Sutent®), crizotinib (Xalkori®), and palbociclib (Ibrance®). Prior to his time at Pfizer, he held positions at SUGEN/Pharmacia as a Group Leader on the Preclinical Research and Exploratory Development team. Dr. Christensen initiated his industry experience at Warner Lambert/Parke-Davis with research focus in RTK biology and pathway biomarker development in the oncology therapeutic area. Dr. Christensen received his Ph.D. focusing in Molecular Pharmacology from North Carolina State University with dissertation research directed toward characterization of mechanisms of apoptosis dysregulation during the process of carcinogenesis.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Industry Opportunity</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believe that the biotechnology sector represents a tremendous opportunity for growth, with many promising pre-commercial companies seeking funding and guidance from knowledgeable investment firms. There are multiple trends in the sector that contribute to this growth potential, and we believe they will enable us to identify and acquire an attractive target. These trends include the following:</w:t>
      </w:r>
    </w:p>
    <w:p>
      <w:pPr>
        <w:spacing w:after="0" w:line="211" w:lineRule="exact"/>
        <w:rPr>
          <w:sz w:val="20"/>
          <w:szCs w:val="20"/>
          <w:color w:val="auto"/>
        </w:rPr>
      </w:pPr>
    </w:p>
    <w:p>
      <w:pPr>
        <w:jc w:val="both"/>
        <w:ind w:left="660" w:right="20" w:hanging="329"/>
        <w:spacing w:after="0" w:line="279"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u w:val="single" w:color="auto"/>
          <w:color w:val="auto"/>
        </w:rPr>
        <w:t>Rising U.S. healthcare costs</w:t>
      </w:r>
      <w:r>
        <w:rPr>
          <w:rFonts w:ascii="Arial" w:cs="Arial" w:eastAsia="Arial" w:hAnsi="Arial"/>
          <w:sz w:val="17"/>
          <w:szCs w:val="17"/>
          <w:color w:val="auto"/>
        </w:rPr>
        <w:t>. According to the Centers for Medicare and Medicaid Services, or CMS, national healthcare expenditures reached $3.6 trillion in 2018 and accounted for 17.7% of the U.S. GDP. CMS projects that healthcare expenditures will grow at an average rate of 5.4% per year until 2028, when they are predicted to reach $6.2 trillion, or 20% of the U.S. GDP. We believe these budgetary pressures will support the demand for biotechnology companies that create more efficient and effective medical treatments.</w:t>
      </w:r>
    </w:p>
    <w:p>
      <w:pPr>
        <w:spacing w:after="0" w:line="171" w:lineRule="exact"/>
        <w:rPr>
          <w:rFonts w:ascii="Arial" w:cs="Arial" w:eastAsia="Arial" w:hAnsi="Arial"/>
          <w:sz w:val="17"/>
          <w:szCs w:val="17"/>
          <w:color w:val="auto"/>
        </w:rPr>
      </w:pPr>
    </w:p>
    <w:p>
      <w:pPr>
        <w:jc w:val="both"/>
        <w:ind w:left="660" w:right="20" w:hanging="329"/>
        <w:spacing w:after="0" w:line="279"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u w:val="single" w:color="auto"/>
          <w:color w:val="auto"/>
        </w:rPr>
        <w:t>Technological progress driving innovation</w:t>
      </w:r>
      <w:r>
        <w:rPr>
          <w:rFonts w:ascii="Arial" w:cs="Arial" w:eastAsia="Arial" w:hAnsi="Arial"/>
          <w:sz w:val="17"/>
          <w:szCs w:val="17"/>
          <w:color w:val="auto"/>
        </w:rPr>
        <w:t>. Biotechnology innovation has accelerated in recent years due to new technology, including advances in computing, artificial intelligence, genetics and cellular engineering. Biotechnology companies have used these tools in many ways, particularly for breakthrough discoveries in the areas of targeted oncology, gene therapy, gene editing and cell therapy. We believe the pace of this advancement can persist and even grow, which could result in many new therapies that address unmet needs.</w:t>
      </w: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6985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20" w:top="999" w:right="459" w:bottom="1440" w:gutter="0" w:footer="0" w:header="0"/>
        </w:sectPr>
      </w:pPr>
    </w:p>
    <w:bookmarkStart w:id="10" w:name="page11"/>
    <w:bookmarkEnd w:id="10"/>
    <w:p>
      <w:pPr>
        <w:jc w:val="both"/>
        <w:ind w:left="660" w:right="20" w:hanging="329"/>
        <w:spacing w:after="0" w:line="275"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10730" cy="6758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10730" cy="6758940"/>
                    </a:xfrm>
                    <a:prstGeom prst="rect">
                      <a:avLst/>
                    </a:prstGeom>
                    <a:noFill/>
                  </pic:spPr>
                </pic:pic>
              </a:graphicData>
            </a:graphic>
          </wp:anchor>
        </w:drawing>
        <w:t>Private and public financing activity</w:t>
      </w:r>
      <w:r>
        <w:rPr>
          <w:rFonts w:ascii="Arial" w:cs="Arial" w:eastAsia="Arial" w:hAnsi="Arial"/>
          <w:sz w:val="17"/>
          <w:szCs w:val="17"/>
          <w:color w:val="auto"/>
        </w:rPr>
        <w:t>. The biotechnology IPO “window” has long served as a bellwether for the health of the sector, and recent IPO activity has been strong. According to Renaissance Capital, there were 58 biotechnology IPOs in 2018 and 51 in 2019, raising an aggregate of $6.3 billion and $5.2 billion, respectively. As of July 14, 2020, 29 biotechnology companies have launched successful IPOs year-to-date to raise an aggregate of $4.8 billion. Encouraged by the prospect of a similar result, demand for private financings has also remained strong in 2020. These market dynamics reflect investors’ belief in the long-term growth of the biotechnology industry.</w:t>
      </w:r>
    </w:p>
    <w:p>
      <w:pPr>
        <w:spacing w:after="0" w:line="176" w:lineRule="exact"/>
        <w:rPr>
          <w:rFonts w:ascii="Arial" w:cs="Arial" w:eastAsia="Arial" w:hAnsi="Arial"/>
          <w:sz w:val="17"/>
          <w:szCs w:val="17"/>
          <w:color w:val="auto"/>
        </w:rPr>
      </w:pPr>
    </w:p>
    <w:p>
      <w:pPr>
        <w:jc w:val="both"/>
        <w:ind w:left="660" w:right="20" w:hanging="329"/>
        <w:spacing w:after="0" w:line="275"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u w:val="single" w:color="auto"/>
          <w:color w:val="auto"/>
        </w:rPr>
        <w:t>M&amp;A activity</w:t>
      </w:r>
      <w:r>
        <w:rPr>
          <w:rFonts w:ascii="Arial" w:cs="Arial" w:eastAsia="Arial" w:hAnsi="Arial"/>
          <w:sz w:val="17"/>
          <w:szCs w:val="17"/>
          <w:color w:val="auto"/>
        </w:rPr>
        <w:t>. In recent years, large pharmaceutical companies have increasingly outsourced certain research and development functions by investing in and acquiring companies and assets to supplement their pipelines. 2019 was a particularly strong year for biotechnology mergers and acquisitions, or M&amp;A, with $217.2 billion in M&amp;A deals according to EvaluatePharma. While M&amp;A activity has slowed thus far in 2020, and the full effect of the COVID-19 pandemic is not yet determinable, we believe the need for large pharmaceutical companies to replenish their drug pipelines will persist and will continue to support growth in the biotechnology industry.</w:t>
      </w:r>
    </w:p>
    <w:p>
      <w:pPr>
        <w:spacing w:after="0" w:line="176" w:lineRule="exact"/>
        <w:rPr>
          <w:rFonts w:ascii="Arial" w:cs="Arial" w:eastAsia="Arial" w:hAnsi="Arial"/>
          <w:sz w:val="17"/>
          <w:szCs w:val="17"/>
          <w:color w:val="auto"/>
        </w:rPr>
      </w:pPr>
    </w:p>
    <w:p>
      <w:pPr>
        <w:jc w:val="both"/>
        <w:ind w:left="660" w:right="20" w:hanging="329"/>
        <w:spacing w:after="0" w:line="272"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u w:val="single" w:color="auto"/>
          <w:color w:val="auto"/>
        </w:rPr>
        <w:t>A more accommodating FDA</w:t>
      </w:r>
      <w:r>
        <w:rPr>
          <w:rFonts w:ascii="Arial" w:cs="Arial" w:eastAsia="Arial" w:hAnsi="Arial"/>
          <w:sz w:val="17"/>
          <w:szCs w:val="17"/>
          <w:color w:val="auto"/>
        </w:rPr>
        <w:t>. According to a recent article in Journal of the American Medical Association, the U.S. Food and Drug Administration, or FDA, has approved more drugs on an average annual basis in this decade than in any decade since 1990. A recent article in Nature noted that, after hitting a record-breaking 59 novel drug approvals in 2018, the FDA’s Center for Drug Evaluation and Research, or CDER, approved 48 novel drugs in 2019, which was the third largest number of approvals in the past 25 years. This is due in part to the increased use of special approval and development programs such as fast track designation, breakthrough therapy designation and accelerated approval, but it also reflects the FDA’s increased flexibility as it relates to factors like biomarkers and trial design. A continuance of this trend would support drug development efforts and investment.</w:t>
      </w:r>
    </w:p>
    <w:p>
      <w:pPr>
        <w:spacing w:after="0" w:line="177" w:lineRule="exact"/>
        <w:rPr>
          <w:rFonts w:ascii="Arial" w:cs="Arial" w:eastAsia="Arial" w:hAnsi="Arial"/>
          <w:sz w:val="17"/>
          <w:szCs w:val="17"/>
          <w:color w:val="auto"/>
        </w:rPr>
      </w:pPr>
    </w:p>
    <w:p>
      <w:pPr>
        <w:jc w:val="both"/>
        <w:ind w:left="660" w:right="20" w:hanging="329"/>
        <w:spacing w:after="0" w:line="25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Strength despite COVID-19</w:t>
      </w:r>
      <w:r>
        <w:rPr>
          <w:rFonts w:ascii="Arial" w:cs="Arial" w:eastAsia="Arial" w:hAnsi="Arial"/>
          <w:sz w:val="18"/>
          <w:szCs w:val="18"/>
          <w:color w:val="auto"/>
        </w:rPr>
        <w:t>. The Nasdaq Biotech Index (NBI) has outperformed the general market thus far in 2020, with a 12% return for the NBI versus a 1% decline for the S&amp;P 500 as of July 14, 2020. We believe this demand is fueled in part by a renewed focus on the biotechnology sector as a result of the COVID-19 pandemic, which has served as a reminder of the important role biotechnology plays in solving global health problems. We believe this paradigm can serve as an additional tailwind for the growth of promising, innovative biopharmaceutical companies.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becoming publicly traded presents several major benefits for private biotechnology companies, including greater access to capital, more liquid securities and increased customer awareness. Furthermore, we believe an acquisition by a special purpose acquisition company with a respected management team that is well-known to a biotechnology investors and management teams can be a very attractive mechanism for accessing the public markets due to the increased deal certainty, transparency and efficiency it can provide.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Acquisition Strategy &amp; Investment Criteria</w:t>
      </w:r>
    </w:p>
    <w:p>
      <w:pPr>
        <w:spacing w:after="0" w:line="22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Our strategy is to leverage our management team’s expertise and network of key opinion leaders, expert consultants, healthcare executives, biotechnology investors and investment bankers to identify and acquire an attractive target business in the biotechnology industry. We believe that Boxer Capital’s reputation and track record of favorable investments are an additional competitive advantage that will make us an attractive partner for companies in this competitive environment.</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part of our overall strategy, we have identified a set of criteria by which we will evaluate prospective target businesses. While we may enter into a business combination with a company that does not meet all of these criteria, we intend to focus on companies that we believe:</w:t>
      </w:r>
    </w:p>
    <w:p>
      <w:pPr>
        <w:spacing w:after="0" w:line="173" w:lineRule="exact"/>
        <w:rPr>
          <w:sz w:val="20"/>
          <w:szCs w:val="20"/>
          <w:color w:val="auto"/>
        </w:rPr>
      </w:pPr>
    </w:p>
    <w:p>
      <w:pPr>
        <w:ind w:left="660" w:right="20" w:hanging="329"/>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have identified a unique mechanism, developed a novel approach to a known mechanism, or made another scientific or technological leap that provides them with a competitive advantage versus current standard of care;</w:t>
      </w:r>
    </w:p>
    <w:p>
      <w:pPr>
        <w:spacing w:after="0" w:line="197" w:lineRule="exact"/>
        <w:rPr>
          <w:rFonts w:ascii="Arial" w:cs="Arial" w:eastAsia="Arial" w:hAnsi="Arial"/>
          <w:sz w:val="18"/>
          <w:szCs w:val="18"/>
          <w:color w:val="auto"/>
        </w:rPr>
      </w:pPr>
    </w:p>
    <w:p>
      <w:pPr>
        <w:ind w:left="660" w:right="20" w:hanging="329"/>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have a competent management team with the experience and skillset that is necessary to successfully develop and commercialize promising drug candidates;</w:t>
      </w: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6985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20" w:top="1003" w:right="459" w:bottom="1440" w:gutter="0" w:footer="0" w:header="0"/>
        </w:sectPr>
      </w:pPr>
    </w:p>
    <w:bookmarkStart w:id="11" w:name="page12"/>
    <w:bookmarkEnd w:id="11"/>
    <w:p>
      <w:pPr>
        <w:ind w:left="660" w:hanging="329"/>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10730" cy="6878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10730" cy="6878955"/>
                    </a:xfrm>
                    <a:prstGeom prst="rect">
                      <a:avLst/>
                    </a:prstGeom>
                    <a:noFill/>
                  </pic:spPr>
                </pic:pic>
              </a:graphicData>
            </a:graphic>
          </wp:anchor>
        </w:drawing>
        <w:t>are attractively valued due to being overlooked, misunderstood or undercapitalized, leaving ample upside for our stockholders;</w:t>
      </w:r>
    </w:p>
    <w:p>
      <w:pPr>
        <w:spacing w:after="0" w:line="252" w:lineRule="exact"/>
        <w:rPr>
          <w:rFonts w:ascii="Arial" w:cs="Arial" w:eastAsia="Arial" w:hAnsi="Arial"/>
          <w:sz w:val="18"/>
          <w:szCs w:val="18"/>
          <w:color w:val="auto"/>
        </w:rPr>
      </w:pPr>
    </w:p>
    <w:p>
      <w:pPr>
        <w:ind w:left="660" w:hanging="329"/>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have a thesis that can be understood and appreciated by public investors in the current environment; and</w:t>
      </w:r>
    </w:p>
    <w:p>
      <w:pPr>
        <w:spacing w:after="0" w:line="252" w:lineRule="exact"/>
        <w:rPr>
          <w:rFonts w:ascii="Arial" w:cs="Arial" w:eastAsia="Arial" w:hAnsi="Arial"/>
          <w:sz w:val="18"/>
          <w:szCs w:val="18"/>
          <w:color w:val="auto"/>
        </w:rPr>
      </w:pPr>
    </w:p>
    <w:p>
      <w:pPr>
        <w:ind w:left="660" w:hanging="329"/>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will benefit from our capital, guidance and network and the public market access we can provide.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above criteria are not meant to be exhaustive, and our management team may adopt new or unique criteria over time and depending on each particular situation.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Private Placements</w:t>
      </w:r>
    </w:p>
    <w:p>
      <w:pPr>
        <w:spacing w:after="0" w:line="229"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On June 4, 2020, our sponsor purchased 3,593,750 shares, which we refer to throughout this prospectus as the “founder shares” or “insider shares,” for an aggregate purchase price of $25,000. The founder shares include an aggregate of up to 468,750 shares that are subject to forfeiture to the extent that the underwriters’ over-allotment option is not exercised in full or in part, so that our initial stockholders will collectively own 20% of our issued and outstanding shares after this offering (excluding the sale of the private shares and assuming our initial stockholders do not purchase public shares in this offering). None of our initial stockholders has indicated any intention to purchase public shares in this offering.</w:t>
      </w:r>
    </w:p>
    <w:p>
      <w:pPr>
        <w:spacing w:after="0" w:line="17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founder shares are identical to the public shares. However, our initial stockholders have agreed (A) to vote their founder shares in favor of any proposed business combination, (B) not to propose, or vote in favor of, prior to and unrelated to an initial business combination, an amendment to our certificate of incorporation that would affect the substance or timing of our redemption obligation to redeem all public shares if we cannot complete an initial business combination within 24 months of the closing of this offering, unless we provide public stockholders an opportunity to redeem their public shares in conjunction with any such amendment, (C) not to redeem any shares, including founder shares into the right to receive cash from the trust account in connection with a stockholder vote to approve our proposed initial business combination or sell any shares to us in any tender offer in connection with our proposed initial business combination, and (D) that the founder shares shall not participate in any liquidating distribution upon winding up if a business combination is not consummated.</w:t>
      </w:r>
    </w:p>
    <w:p>
      <w:pPr>
        <w:spacing w:after="0" w:line="178"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On the date of this prospectus, the founder shares will be placed into an escrow account maintained by Continental Stock Transfer &amp; Trust Company acting as escrow agent. Founder shares will not be transferred, assigned, sold or released from escrow until the earlier of (i) 1 year after the date of the consummation of our initial business combination or (ii) the date on which the closing price of our shares of common stock equals or exceeds $12.00 per share (as adjusted for stock splits, stock dividends, reorganizations and recapitalizations) for any 20 trading days within any 30-trading day period commencing after our initial business combination, or earlier if, subsequent to our initial business combination, we consummate a subsequent liquidation, merger, stock exchange or other similar transaction which results in all of our stockholders having the right to exchange their shares of common stock for cash, securities or other property. During the escrow period, the holders of these shares will not be able to sell or transfer their securities except (1) to any persons (including their affiliates and stockholders) participating in the private placement of the private shares, officers, directors, stockholders, employees and members of our sponsor and its affiliates, (2) amongst initial stockholders or to our officers, directors and employees, (3) if a holder is an entity, as a distribution to its, partners, stockholders or members upon its liquidation, (4) by bona fide gift to a member of the holder’s immediate family or to a trust, the beneficiary of which is a holder or a member of a holder’s immediate family, for estate planning purposes, (5) by virtue of the laws of descent and distribution upon death, (6) pursuant to a qualified domestic relations order, (7) by certain pledges to secure obligations incurred in connection with purchases of our securities, (8) by private sales at prices no greater than the price at which the shares were originally purchased or (9) for the cancellation of up to 468,750 shares of common stock subject to forfeiture to the extent that the underwriters’ over-allotment is not exercised in full or in part or in connection with the consummation of our initial business combination, in each case (except for clause 9 or with our prior consent) where the transferee agrees to the terms of the escrow agreement and the insider letter.</w:t>
      </w:r>
    </w:p>
    <w:p>
      <w:pPr>
        <w:spacing w:after="0" w:line="17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BCTG Holdings, LLC, our sponsor, has committed to purchase from us an aggregate of 450,000 shares of common stock (or 487,500 shares if the underwriters’ over-allotment option is exercised in full) at a price of $10.00 per share ($4,500,000 in the aggregate, or $4,875,000 in the aggregate if the underwriters’ over-allotment option is exercised in full), in a private placement that will close simultaneously with the closing of this offering.</w:t>
      </w: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6985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20" w:top="1003" w:right="459" w:bottom="1440" w:gutter="0" w:footer="0" w:header="0"/>
        </w:sectPr>
      </w:pPr>
    </w:p>
    <w:bookmarkStart w:id="12" w:name="page13"/>
    <w:bookmarkEnd w:id="12"/>
    <w:p>
      <w:pPr>
        <w:jc w:val="both"/>
        <w:ind w:firstLine="324"/>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10730" cy="7393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10730" cy="7393305"/>
                    </a:xfrm>
                    <a:prstGeom prst="rect">
                      <a:avLst/>
                    </a:prstGeom>
                    <a:noFill/>
                  </pic:spPr>
                </pic:pic>
              </a:graphicData>
            </a:graphic>
          </wp:anchor>
        </w:drawing>
        <w:t>The proceeds from the private placement will be added to the proceeds of this offering and placed in a trust account in the United States maintained by Continental Stock Transfer &amp; Trust Company, as trustee. If we do not complete our initial business combination within 24 months, the proceeds from the private placement will be included in the liquidating distribution to the holders of our public shares. The private shares are identical to the shares of common stock sold in this offering.</w:t>
      </w:r>
    </w:p>
    <w:p>
      <w:pPr>
        <w:spacing w:after="0" w:line="18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sponsor has entered into an agreement with us to purchase an aggregate of 2,500,000 shares of common stock for an aggregate purchase price of $25,000,000, or $10.00 per share of common stock, prior to, concurrently with, or following the closing of our business combination in a private placement. The capital from such transaction may be used as part of the consideration to the sellers in our initial business combination, and any excess capital from such private placement would be used for working capital in the post-transaction company. If we sell shares to our sponsor (or any other investor) in connection with our initial business combination, the equity interest of investors in this offering in the combined company may be diluted and the market prices for our securities may be adversely affected. In addition, if the per share trading price of our shares of common stock is greater than the price per share paid in the private placement, the private placement will result in value dilution to you, in addition to the immediate dilution that you will experience in connection with the consummation of this offering. See “Dilution.”</w:t>
      </w:r>
    </w:p>
    <w:p>
      <w:pPr>
        <w:spacing w:after="0" w:line="178"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If public shares of commons stock are purchased by any of our directors, officers or initial stockholders, they will be entitled to funds from the trust account to the same extent as any public stockholder upon our liquidation but will not have redemption rights related thereto.</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executive offices are located at 11682 El Camino Real, Suite 320, San Diego, CA 92130, and our telephone number is (858) 400-3112.</w:t>
      </w:r>
    </w:p>
    <w:p>
      <w:pPr>
        <w:spacing w:after="0" w:line="23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are an “emerging growth company,” as defined in Section 2(a) of the Securities Act of 1933, as amended, or the Securities Act, as modified by the Jumpstart Our Business Startups Act of 2012, or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or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9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187"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6"/>
          <w:szCs w:val="16"/>
          <w:color w:val="auto"/>
        </w:rPr>
        <w:t>We will remain an emerging growth company until the earlier of (1) the last day of the fiscal year (a) following the fifth anniversary of the completion of this offering, (b) in which we have total annual gross revenue of at least $1.07 billion, or (c) in which we are deemed to be a large accelerated filer, which means the market value of our common stock that is held by non-affiliates exceeds $700 million as of the prior June 30, and</w:t>
      </w:r>
    </w:p>
    <w:p>
      <w:pPr>
        <w:spacing w:after="0" w:line="2" w:lineRule="exact"/>
        <w:rPr>
          <w:sz w:val="20"/>
          <w:szCs w:val="20"/>
          <w:color w:val="auto"/>
        </w:rPr>
      </w:pPr>
    </w:p>
    <w:p>
      <w:pPr>
        <w:ind w:right="20" w:firstLine="7"/>
        <w:spacing w:after="0" w:line="260" w:lineRule="auto"/>
        <w:tabs>
          <w:tab w:leader="none" w:pos="261"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date on which we have issued more than $1.0 billion in non-convertible debt during the prior three-year period. References herein to “emerging growth company” will have the meaning associated with it in the JOBS Act.</w:t>
      </w:r>
    </w:p>
    <w:p>
      <w:pPr>
        <w:spacing w:after="0" w:line="18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Additionally, we are a “smaller reporting company” as defined in Rule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common stock held by non-affiliates exceeds $250 million as of the prior June 30th, or (2) our annual revenues exceeded $100 million during such completed fiscal year and the market value of our common stock held by non-affiliates exceeds $700 million as of the prior June 30.</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Prior to the date of this prospectus, we will file a Registration Statement on Form 8-A with the SEC to voluntarily register our securities under Section 12 of the Securities Exchange Act of 1934, as amended, or the Exchange Act. As a result, we are subject to the rules and regulations promulgated under the Exchange Act. We have no current intention of filing a Form 15 to suspend our reporting or other obligations under the Exchange Act prior or subsequent to the consummation of our initial business combination.</w:t>
      </w: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6985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20" w:top="1003" w:right="45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10730" cy="5335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10730" cy="5335905"/>
                    </a:xfrm>
                    <a:prstGeom prst="rect">
                      <a:avLst/>
                    </a:prstGeom>
                    <a:noFill/>
                  </pic:spPr>
                </pic:pic>
              </a:graphicData>
            </a:graphic>
          </wp:anchor>
        </w:drawing>
        <w:t>The Offering</w:t>
      </w:r>
    </w:p>
    <w:p>
      <w:pPr>
        <w:spacing w:after="0" w:line="229"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In making your decision on whether to invest in our common stock, you should take into account not only the backgrounds of the members of our management team, but also the special risks we face as a blank check company and the fact that this offering is not being conducted in compliance with Rule 419 promulgated under the Securities Act. You will not be entitled to protections normally afforded to investors in Rule 419 blank check offerings. You should carefully consider these and the other risks set forth in the section below entitled “Risk Factors” beginning on page 19 of this prospectus.</w:t>
      </w:r>
    </w:p>
    <w:p>
      <w:pPr>
        <w:sectPr>
          <w:pgSz w:w="11900" w:h="16838" w:orient="portrait"/>
          <w:cols w:equalWidth="0" w:num="1">
            <w:col w:w="11020"/>
          </w:cols>
          <w:pgMar w:left="420" w:top="999" w:right="459" w:bottom="1440" w:gutter="0" w:footer="0" w:header="0"/>
        </w:sectPr>
      </w:pP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offered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of our securities and proposed symbols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Shares of common stock issued and outstanding before this offering</w:t>
      </w:r>
    </w:p>
    <w:p>
      <w:pPr>
        <w:spacing w:after="0" w:line="162" w:lineRule="exact"/>
        <w:rPr>
          <w:sz w:val="20"/>
          <w:szCs w:val="20"/>
          <w:color w:val="auto"/>
        </w:rPr>
      </w:pPr>
    </w:p>
    <w:p>
      <w:pPr>
        <w:ind w:right="100"/>
        <w:spacing w:after="0" w:line="386" w:lineRule="auto"/>
        <w:rPr>
          <w:sz w:val="20"/>
          <w:szCs w:val="20"/>
          <w:color w:val="auto"/>
        </w:rPr>
      </w:pPr>
      <w:r>
        <w:rPr>
          <w:rFonts w:ascii="Arial" w:cs="Arial" w:eastAsia="Arial" w:hAnsi="Arial"/>
          <w:sz w:val="15"/>
          <w:szCs w:val="15"/>
          <w:b w:val="1"/>
          <w:bCs w:val="1"/>
          <w:color w:val="auto"/>
        </w:rPr>
        <w:t>Shares of common stock to be issued and outstanding after this offering and the sale of private shares</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12,500,000 shares of common stock, at $10.00 per share.</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anticipate the shares of common stock will be listed on Nasdaq under the symbol “BCTG.”</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common stock is expected to begin trading on or promptly after the date of this prospectus.</w:t>
      </w:r>
    </w:p>
    <w:p>
      <w:pPr>
        <w:spacing w:after="0" w:line="170" w:lineRule="exact"/>
        <w:rPr>
          <w:sz w:val="20"/>
          <w:szCs w:val="20"/>
          <w:color w:val="auto"/>
        </w:rPr>
      </w:pPr>
    </w:p>
    <w:p>
      <w:pPr>
        <w:jc w:val="both"/>
        <w:ind w:right="20"/>
        <w:spacing w:after="0" w:line="271" w:lineRule="auto"/>
        <w:rPr>
          <w:sz w:val="20"/>
          <w:szCs w:val="20"/>
          <w:color w:val="auto"/>
        </w:rPr>
      </w:pPr>
      <w:r>
        <w:rPr>
          <w:rFonts w:ascii="Arial" w:cs="Arial" w:eastAsia="Arial" w:hAnsi="Arial"/>
          <w:sz w:val="17"/>
          <w:szCs w:val="17"/>
          <w:color w:val="auto"/>
        </w:rPr>
        <w:t>We will file a Current Report on Form 8-K with the SEC, including an audited balance sheet, promptly upon the consummation of this offering, which is anticipated to take place two business days from the date the common stock commences trading. The audited balance sheet will reflect our receipt of the proceeds from the exercise of the over-allotment option if the over-allotment option is exercised on the date of this prospectus. If the over-allotment option is exercised after the date of this prospectus, we will file an amendment to the Form 8-K or a new Form 8-K to provide updated financial information to reflect the exercise of the over-allotment option.</w:t>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color w:val="auto"/>
        </w:rPr>
        <w:t>3,593,750</w:t>
      </w:r>
      <w:r>
        <w:rPr>
          <w:rFonts w:ascii="Arial" w:cs="Arial" w:eastAsia="Arial" w:hAnsi="Arial"/>
          <w:sz w:val="29"/>
          <w:szCs w:val="29"/>
          <w:color w:val="auto"/>
          <w:vertAlign w:val="superscript"/>
        </w:rPr>
        <w:t>(1)</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16,075,000 shares</w:t>
      </w:r>
      <w:r>
        <w:rPr>
          <w:rFonts w:ascii="Arial" w:cs="Arial" w:eastAsia="Arial" w:hAnsi="Arial"/>
          <w:sz w:val="29"/>
          <w:szCs w:val="29"/>
          <w:color w:val="auto"/>
          <w:vertAlign w:val="superscript"/>
        </w:rPr>
        <w:t>(2)</w:t>
      </w:r>
    </w:p>
    <w:p>
      <w:pPr>
        <w:spacing w:after="0" w:line="135" w:lineRule="exact"/>
        <w:rPr>
          <w:sz w:val="20"/>
          <w:szCs w:val="20"/>
          <w:color w:val="auto"/>
        </w:rPr>
      </w:pPr>
    </w:p>
    <w:p>
      <w:pPr>
        <w:sectPr>
          <w:pgSz w:w="11900" w:h="16838" w:orient="portrait"/>
          <w:cols w:equalWidth="0" w:num="2">
            <w:col w:w="4200" w:space="320"/>
            <w:col w:w="6500"/>
          </w:cols>
          <w:pgMar w:left="420" w:top="999" w:right="459" w:bottom="1440" w:gutter="0" w:footer="0" w:header="0"/>
          <w:type w:val="continuous"/>
        </w:sectPr>
      </w:pPr>
    </w:p>
    <w:p>
      <w:pPr>
        <w:ind w:left="340" w:right="20" w:hanging="333"/>
        <w:spacing w:after="0" w:line="277"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number includes an aggregate of up to 468,750 shares of common stock held by our initial stockholders that are subject to forfeiture if the over-allotment option is not fully exercised by the underwriters.</w:t>
      </w:r>
    </w:p>
    <w:p>
      <w:pPr>
        <w:spacing w:after="0" w:line="170" w:lineRule="exact"/>
        <w:rPr>
          <w:rFonts w:ascii="Arial" w:cs="Arial" w:eastAsia="Arial" w:hAnsi="Arial"/>
          <w:sz w:val="18"/>
          <w:szCs w:val="18"/>
          <w:color w:val="auto"/>
        </w:rPr>
      </w:pPr>
    </w:p>
    <w:p>
      <w:pPr>
        <w:jc w:val="both"/>
        <w:ind w:left="340" w:right="20" w:hanging="333"/>
        <w:spacing w:after="0" w:line="263"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Assumes the over-allotment option has not been exercised and an aggregate of 468,750 shares of common stock held by our initial stockholders have been forfeited. If the over-allotment option is exercised in full, there will be a total of 18,456,250 shares of common stock issued and outstanding.</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6985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20" w:top="999" w:right="459" w:bottom="144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220"/>
        </w:trPr>
        <w:tc>
          <w:tcPr>
            <w:tcW w:w="3660" w:type="dxa"/>
            <w:vAlign w:val="bottom"/>
          </w:tcPr>
          <w:p>
            <w:pPr>
              <w:spacing w:after="0"/>
              <w:rPr>
                <w:sz w:val="20"/>
                <w:szCs w:val="20"/>
                <w:color w:val="auto"/>
              </w:rPr>
            </w:pPr>
            <w:r>
              <w:rPr>
                <w:rFonts w:ascii="Arial" w:cs="Arial" w:eastAsia="Arial" w:hAnsi="Arial"/>
                <w:sz w:val="18"/>
                <w:szCs w:val="18"/>
                <w:b w:val="1"/>
                <w:bCs w:val="1"/>
                <w:color w:val="auto"/>
              </w:rPr>
              <w:t>Offering proceeds to be held in trust</w:t>
            </w:r>
          </w:p>
        </w:tc>
        <w:tc>
          <w:tcPr>
            <w:tcW w:w="7340" w:type="dxa"/>
            <w:vAlign w:val="bottom"/>
            <w:gridSpan w:val="2"/>
          </w:tcPr>
          <w:p>
            <w:pPr>
              <w:ind w:left="860"/>
              <w:spacing w:after="0"/>
              <w:rPr>
                <w:sz w:val="20"/>
                <w:szCs w:val="20"/>
                <w:color w:val="auto"/>
              </w:rPr>
            </w:pPr>
            <w:r>
              <w:rPr>
                <w:rFonts w:ascii="Arial" w:cs="Arial" w:eastAsia="Arial" w:hAnsi="Arial"/>
                <w:sz w:val="18"/>
                <w:szCs w:val="18"/>
                <w:color w:val="auto"/>
                <w:w w:val="93"/>
              </w:rPr>
              <w:t>$125,000,000 of the net proceeds of this offering (or $143,750,000 if the over-allotment</w:t>
            </w:r>
          </w:p>
        </w:tc>
      </w:tr>
      <w:tr>
        <w:trPr>
          <w:trHeight w:val="216"/>
        </w:trPr>
        <w:tc>
          <w:tcPr>
            <w:tcW w:w="3660" w:type="dxa"/>
            <w:vAlign w:val="bottom"/>
          </w:tcPr>
          <w:p>
            <w:pPr>
              <w:spacing w:after="0"/>
              <w:rPr>
                <w:sz w:val="18"/>
                <w:szCs w:val="18"/>
                <w:color w:val="auto"/>
              </w:rPr>
            </w:pPr>
          </w:p>
        </w:tc>
        <w:tc>
          <w:tcPr>
            <w:tcW w:w="7340" w:type="dxa"/>
            <w:vAlign w:val="bottom"/>
            <w:gridSpan w:val="2"/>
          </w:tcPr>
          <w:p>
            <w:pPr>
              <w:ind w:left="860"/>
              <w:spacing w:after="0"/>
              <w:rPr>
                <w:sz w:val="20"/>
                <w:szCs w:val="20"/>
                <w:color w:val="auto"/>
              </w:rPr>
            </w:pPr>
            <w:r>
              <w:rPr>
                <w:rFonts w:ascii="Arial" w:cs="Arial" w:eastAsia="Arial" w:hAnsi="Arial"/>
                <w:sz w:val="18"/>
                <w:szCs w:val="18"/>
                <w:color w:val="auto"/>
                <w:w w:val="97"/>
              </w:rPr>
              <w:t>option is exercised in full), including $4,500,000 (or $4,875,000 if the over-allotment</w:t>
            </w:r>
          </w:p>
        </w:tc>
      </w:tr>
      <w:tr>
        <w:trPr>
          <w:trHeight w:val="216"/>
        </w:trPr>
        <w:tc>
          <w:tcPr>
            <w:tcW w:w="3660" w:type="dxa"/>
            <w:vAlign w:val="bottom"/>
          </w:tcPr>
          <w:p>
            <w:pPr>
              <w:spacing w:after="0"/>
              <w:rPr>
                <w:sz w:val="18"/>
                <w:szCs w:val="18"/>
                <w:color w:val="auto"/>
              </w:rPr>
            </w:pPr>
          </w:p>
        </w:tc>
        <w:tc>
          <w:tcPr>
            <w:tcW w:w="7340" w:type="dxa"/>
            <w:vAlign w:val="bottom"/>
            <w:gridSpan w:val="2"/>
          </w:tcPr>
          <w:p>
            <w:pPr>
              <w:ind w:left="860"/>
              <w:spacing w:after="0"/>
              <w:rPr>
                <w:sz w:val="20"/>
                <w:szCs w:val="20"/>
                <w:color w:val="auto"/>
              </w:rPr>
            </w:pPr>
            <w:r>
              <w:rPr>
                <w:rFonts w:ascii="Arial" w:cs="Arial" w:eastAsia="Arial" w:hAnsi="Arial"/>
                <w:sz w:val="18"/>
                <w:szCs w:val="18"/>
                <w:color w:val="auto"/>
                <w:w w:val="94"/>
              </w:rPr>
              <w:t>option is exercised in full) we will receive from the sale of the private shares, or $10.00</w:t>
            </w:r>
          </w:p>
        </w:tc>
      </w:tr>
      <w:tr>
        <w:trPr>
          <w:trHeight w:val="216"/>
        </w:trPr>
        <w:tc>
          <w:tcPr>
            <w:tcW w:w="3660" w:type="dxa"/>
            <w:vAlign w:val="bottom"/>
          </w:tcPr>
          <w:p>
            <w:pPr>
              <w:spacing w:after="0"/>
              <w:rPr>
                <w:sz w:val="18"/>
                <w:szCs w:val="18"/>
                <w:color w:val="auto"/>
              </w:rPr>
            </w:pPr>
          </w:p>
        </w:tc>
        <w:tc>
          <w:tcPr>
            <w:tcW w:w="7340" w:type="dxa"/>
            <w:vAlign w:val="bottom"/>
            <w:gridSpan w:val="2"/>
          </w:tcPr>
          <w:p>
            <w:pPr>
              <w:ind w:left="860"/>
              <w:spacing w:after="0"/>
              <w:rPr>
                <w:sz w:val="20"/>
                <w:szCs w:val="20"/>
                <w:color w:val="auto"/>
              </w:rPr>
            </w:pPr>
            <w:r>
              <w:rPr>
                <w:rFonts w:ascii="Arial" w:cs="Arial" w:eastAsia="Arial" w:hAnsi="Arial"/>
                <w:sz w:val="18"/>
                <w:szCs w:val="18"/>
                <w:color w:val="auto"/>
              </w:rPr>
              <w:t>per share sold to the public in this offering, will be placed in a trust account at ,</w:t>
            </w:r>
          </w:p>
        </w:tc>
      </w:tr>
      <w:tr>
        <w:trPr>
          <w:trHeight w:val="216"/>
        </w:trPr>
        <w:tc>
          <w:tcPr>
            <w:tcW w:w="3660" w:type="dxa"/>
            <w:vAlign w:val="bottom"/>
          </w:tcPr>
          <w:p>
            <w:pPr>
              <w:spacing w:after="0"/>
              <w:rPr>
                <w:sz w:val="18"/>
                <w:szCs w:val="18"/>
                <w:color w:val="auto"/>
              </w:rPr>
            </w:pPr>
          </w:p>
        </w:tc>
        <w:tc>
          <w:tcPr>
            <w:tcW w:w="7340" w:type="dxa"/>
            <w:vAlign w:val="bottom"/>
            <w:gridSpan w:val="2"/>
          </w:tcPr>
          <w:p>
            <w:pPr>
              <w:ind w:left="860"/>
              <w:spacing w:after="0"/>
              <w:rPr>
                <w:sz w:val="20"/>
                <w:szCs w:val="20"/>
                <w:color w:val="auto"/>
              </w:rPr>
            </w:pPr>
            <w:r>
              <w:rPr>
                <w:rFonts w:ascii="Arial" w:cs="Arial" w:eastAsia="Arial" w:hAnsi="Arial"/>
                <w:sz w:val="18"/>
                <w:szCs w:val="18"/>
                <w:color w:val="auto"/>
                <w:w w:val="90"/>
              </w:rPr>
              <w:t>maintained by Continental Stock Transfer &amp; Trust Company, acting as trustee pursuant to</w:t>
            </w:r>
          </w:p>
        </w:tc>
      </w:tr>
      <w:tr>
        <w:trPr>
          <w:trHeight w:val="230"/>
        </w:trPr>
        <w:tc>
          <w:tcPr>
            <w:tcW w:w="3660" w:type="dxa"/>
            <w:vAlign w:val="bottom"/>
          </w:tcPr>
          <w:p>
            <w:pPr>
              <w:spacing w:after="0"/>
              <w:rPr>
                <w:sz w:val="20"/>
                <w:szCs w:val="20"/>
                <w:color w:val="auto"/>
              </w:rPr>
            </w:pPr>
          </w:p>
        </w:tc>
        <w:tc>
          <w:tcPr>
            <w:tcW w:w="7340" w:type="dxa"/>
            <w:vAlign w:val="bottom"/>
            <w:gridSpan w:val="2"/>
          </w:tcPr>
          <w:p>
            <w:pPr>
              <w:ind w:left="860"/>
              <w:spacing w:after="0"/>
              <w:rPr>
                <w:sz w:val="20"/>
                <w:szCs w:val="20"/>
                <w:color w:val="auto"/>
              </w:rPr>
            </w:pPr>
            <w:r>
              <w:rPr>
                <w:rFonts w:ascii="Arial" w:cs="Arial" w:eastAsia="Arial" w:hAnsi="Arial"/>
                <w:sz w:val="18"/>
                <w:szCs w:val="18"/>
                <w:color w:val="auto"/>
              </w:rPr>
              <w:t>an agreement to be signed on the date of this prospectus.</w:t>
            </w:r>
          </w:p>
        </w:tc>
      </w:tr>
      <w:tr>
        <w:trPr>
          <w:trHeight w:val="485"/>
        </w:trPr>
        <w:tc>
          <w:tcPr>
            <w:tcW w:w="3660" w:type="dxa"/>
            <w:vAlign w:val="bottom"/>
          </w:tcPr>
          <w:p>
            <w:pPr>
              <w:spacing w:after="0"/>
              <w:rPr>
                <w:sz w:val="24"/>
                <w:szCs w:val="24"/>
                <w:color w:val="auto"/>
              </w:rPr>
            </w:pPr>
          </w:p>
        </w:tc>
        <w:tc>
          <w:tcPr>
            <w:tcW w:w="7340" w:type="dxa"/>
            <w:vAlign w:val="bottom"/>
            <w:gridSpan w:val="2"/>
          </w:tcPr>
          <w:p>
            <w:pPr>
              <w:ind w:left="860"/>
              <w:spacing w:after="0"/>
              <w:rPr>
                <w:sz w:val="20"/>
                <w:szCs w:val="20"/>
                <w:color w:val="auto"/>
              </w:rPr>
            </w:pPr>
            <w:r>
              <w:rPr>
                <w:rFonts w:ascii="Arial" w:cs="Arial" w:eastAsia="Arial" w:hAnsi="Arial"/>
                <w:sz w:val="18"/>
                <w:szCs w:val="18"/>
                <w:color w:val="auto"/>
                <w:w w:val="92"/>
              </w:rPr>
              <w:t>Except as set forth below, the proceeds in the trust account will not be released until the</w:t>
            </w:r>
          </w:p>
        </w:tc>
      </w:tr>
      <w:tr>
        <w:trPr>
          <w:trHeight w:val="216"/>
        </w:trPr>
        <w:tc>
          <w:tcPr>
            <w:tcW w:w="3660" w:type="dxa"/>
            <w:vAlign w:val="bottom"/>
          </w:tcPr>
          <w:p>
            <w:pPr>
              <w:spacing w:after="0"/>
              <w:rPr>
                <w:sz w:val="18"/>
                <w:szCs w:val="18"/>
                <w:color w:val="auto"/>
              </w:rPr>
            </w:pPr>
          </w:p>
        </w:tc>
        <w:tc>
          <w:tcPr>
            <w:tcW w:w="7340" w:type="dxa"/>
            <w:vAlign w:val="bottom"/>
            <w:gridSpan w:val="2"/>
          </w:tcPr>
          <w:p>
            <w:pPr>
              <w:ind w:left="860"/>
              <w:spacing w:after="0"/>
              <w:rPr>
                <w:sz w:val="20"/>
                <w:szCs w:val="20"/>
                <w:color w:val="auto"/>
              </w:rPr>
            </w:pPr>
            <w:r>
              <w:rPr>
                <w:rFonts w:ascii="Arial" w:cs="Arial" w:eastAsia="Arial" w:hAnsi="Arial"/>
                <w:sz w:val="18"/>
                <w:szCs w:val="18"/>
                <w:color w:val="auto"/>
                <w:w w:val="94"/>
              </w:rPr>
              <w:t>earlier of: (1) the completion of an initial business combination within the required time</w:t>
            </w:r>
          </w:p>
        </w:tc>
      </w:tr>
      <w:tr>
        <w:trPr>
          <w:trHeight w:val="216"/>
        </w:trPr>
        <w:tc>
          <w:tcPr>
            <w:tcW w:w="3660" w:type="dxa"/>
            <w:vAlign w:val="bottom"/>
          </w:tcPr>
          <w:p>
            <w:pPr>
              <w:spacing w:after="0"/>
              <w:rPr>
                <w:sz w:val="18"/>
                <w:szCs w:val="18"/>
                <w:color w:val="auto"/>
              </w:rPr>
            </w:pPr>
          </w:p>
        </w:tc>
        <w:tc>
          <w:tcPr>
            <w:tcW w:w="7340" w:type="dxa"/>
            <w:vAlign w:val="bottom"/>
            <w:gridSpan w:val="2"/>
          </w:tcPr>
          <w:p>
            <w:pPr>
              <w:ind w:left="860"/>
              <w:spacing w:after="0"/>
              <w:rPr>
                <w:sz w:val="20"/>
                <w:szCs w:val="20"/>
                <w:color w:val="auto"/>
              </w:rPr>
            </w:pPr>
            <w:r>
              <w:rPr>
                <w:rFonts w:ascii="Arial" w:cs="Arial" w:eastAsia="Arial" w:hAnsi="Arial"/>
                <w:sz w:val="18"/>
                <w:szCs w:val="18"/>
                <w:color w:val="auto"/>
                <w:w w:val="94"/>
              </w:rPr>
              <w:t>period and (2) our redemption of 100% of the outstanding public shares if we have not</w:t>
            </w:r>
          </w:p>
        </w:tc>
      </w:tr>
      <w:tr>
        <w:trPr>
          <w:trHeight w:val="216"/>
        </w:trPr>
        <w:tc>
          <w:tcPr>
            <w:tcW w:w="3660" w:type="dxa"/>
            <w:vAlign w:val="bottom"/>
          </w:tcPr>
          <w:p>
            <w:pPr>
              <w:spacing w:after="0"/>
              <w:rPr>
                <w:sz w:val="18"/>
                <w:szCs w:val="18"/>
                <w:color w:val="auto"/>
              </w:rPr>
            </w:pPr>
          </w:p>
        </w:tc>
        <w:tc>
          <w:tcPr>
            <w:tcW w:w="7340" w:type="dxa"/>
            <w:vAlign w:val="bottom"/>
            <w:gridSpan w:val="2"/>
          </w:tcPr>
          <w:p>
            <w:pPr>
              <w:ind w:left="860"/>
              <w:spacing w:after="0"/>
              <w:rPr>
                <w:sz w:val="20"/>
                <w:szCs w:val="20"/>
                <w:color w:val="auto"/>
              </w:rPr>
            </w:pPr>
            <w:r>
              <w:rPr>
                <w:rFonts w:ascii="Arial" w:cs="Arial" w:eastAsia="Arial" w:hAnsi="Arial"/>
                <w:sz w:val="18"/>
                <w:szCs w:val="18"/>
                <w:color w:val="auto"/>
                <w:w w:val="90"/>
              </w:rPr>
              <w:t>completed a business combination in the required time period. Therefore, unless and until</w:t>
            </w:r>
          </w:p>
        </w:tc>
      </w:tr>
      <w:tr>
        <w:trPr>
          <w:trHeight w:val="216"/>
        </w:trPr>
        <w:tc>
          <w:tcPr>
            <w:tcW w:w="3660" w:type="dxa"/>
            <w:vAlign w:val="bottom"/>
          </w:tcPr>
          <w:p>
            <w:pPr>
              <w:spacing w:after="0"/>
              <w:rPr>
                <w:sz w:val="18"/>
                <w:szCs w:val="18"/>
                <w:color w:val="auto"/>
              </w:rPr>
            </w:pPr>
          </w:p>
        </w:tc>
        <w:tc>
          <w:tcPr>
            <w:tcW w:w="7340" w:type="dxa"/>
            <w:vAlign w:val="bottom"/>
            <w:gridSpan w:val="2"/>
          </w:tcPr>
          <w:p>
            <w:pPr>
              <w:ind w:left="860"/>
              <w:spacing w:after="0"/>
              <w:rPr>
                <w:sz w:val="20"/>
                <w:szCs w:val="20"/>
                <w:color w:val="auto"/>
              </w:rPr>
            </w:pPr>
            <w:r>
              <w:rPr>
                <w:rFonts w:ascii="Arial" w:cs="Arial" w:eastAsia="Arial" w:hAnsi="Arial"/>
                <w:sz w:val="18"/>
                <w:szCs w:val="18"/>
                <w:color w:val="auto"/>
                <w:w w:val="92"/>
              </w:rPr>
              <w:t>our initial business combination is consummated, the proceeds held in the trust account</w:t>
            </w:r>
          </w:p>
        </w:tc>
      </w:tr>
      <w:tr>
        <w:trPr>
          <w:trHeight w:val="216"/>
        </w:trPr>
        <w:tc>
          <w:tcPr>
            <w:tcW w:w="3660" w:type="dxa"/>
            <w:vAlign w:val="bottom"/>
          </w:tcPr>
          <w:p>
            <w:pPr>
              <w:spacing w:after="0"/>
              <w:rPr>
                <w:sz w:val="18"/>
                <w:szCs w:val="18"/>
                <w:color w:val="auto"/>
              </w:rPr>
            </w:pPr>
          </w:p>
        </w:tc>
        <w:tc>
          <w:tcPr>
            <w:tcW w:w="7340" w:type="dxa"/>
            <w:vAlign w:val="bottom"/>
            <w:gridSpan w:val="2"/>
          </w:tcPr>
          <w:p>
            <w:pPr>
              <w:ind w:left="860"/>
              <w:spacing w:after="0"/>
              <w:rPr>
                <w:sz w:val="20"/>
                <w:szCs w:val="20"/>
                <w:color w:val="auto"/>
              </w:rPr>
            </w:pPr>
            <w:r>
              <w:rPr>
                <w:rFonts w:ascii="Arial" w:cs="Arial" w:eastAsia="Arial" w:hAnsi="Arial"/>
                <w:sz w:val="18"/>
                <w:szCs w:val="18"/>
                <w:color w:val="auto"/>
                <w:w w:val="96"/>
              </w:rPr>
              <w:t>will not be available for our use for any expenses related to this offering or expenses</w:t>
            </w:r>
          </w:p>
        </w:tc>
      </w:tr>
      <w:tr>
        <w:trPr>
          <w:trHeight w:val="216"/>
        </w:trPr>
        <w:tc>
          <w:tcPr>
            <w:tcW w:w="3660" w:type="dxa"/>
            <w:vAlign w:val="bottom"/>
          </w:tcPr>
          <w:p>
            <w:pPr>
              <w:spacing w:after="0"/>
              <w:rPr>
                <w:sz w:val="18"/>
                <w:szCs w:val="18"/>
                <w:color w:val="auto"/>
              </w:rPr>
            </w:pPr>
          </w:p>
        </w:tc>
        <w:tc>
          <w:tcPr>
            <w:tcW w:w="7340" w:type="dxa"/>
            <w:vAlign w:val="bottom"/>
            <w:gridSpan w:val="2"/>
          </w:tcPr>
          <w:p>
            <w:pPr>
              <w:ind w:left="860"/>
              <w:spacing w:after="0"/>
              <w:rPr>
                <w:sz w:val="20"/>
                <w:szCs w:val="20"/>
                <w:color w:val="auto"/>
              </w:rPr>
            </w:pPr>
            <w:r>
              <w:rPr>
                <w:rFonts w:ascii="Arial" w:cs="Arial" w:eastAsia="Arial" w:hAnsi="Arial"/>
                <w:sz w:val="18"/>
                <w:szCs w:val="18"/>
                <w:color w:val="auto"/>
                <w:w w:val="90"/>
              </w:rPr>
              <w:t>which we may incur related to the investigation and selection of a target business and the</w:t>
            </w:r>
          </w:p>
        </w:tc>
      </w:tr>
      <w:tr>
        <w:trPr>
          <w:trHeight w:val="230"/>
        </w:trPr>
        <w:tc>
          <w:tcPr>
            <w:tcW w:w="3660" w:type="dxa"/>
            <w:vAlign w:val="bottom"/>
          </w:tcPr>
          <w:p>
            <w:pPr>
              <w:spacing w:after="0"/>
              <w:rPr>
                <w:sz w:val="20"/>
                <w:szCs w:val="20"/>
                <w:color w:val="auto"/>
              </w:rPr>
            </w:pPr>
          </w:p>
        </w:tc>
        <w:tc>
          <w:tcPr>
            <w:tcW w:w="7340" w:type="dxa"/>
            <w:vAlign w:val="bottom"/>
            <w:gridSpan w:val="2"/>
          </w:tcPr>
          <w:p>
            <w:pPr>
              <w:ind w:left="860"/>
              <w:spacing w:after="0"/>
              <w:rPr>
                <w:sz w:val="20"/>
                <w:szCs w:val="20"/>
                <w:color w:val="auto"/>
              </w:rPr>
            </w:pPr>
            <w:r>
              <w:rPr>
                <w:rFonts w:ascii="Arial" w:cs="Arial" w:eastAsia="Arial" w:hAnsi="Arial"/>
                <w:sz w:val="18"/>
                <w:szCs w:val="18"/>
                <w:color w:val="auto"/>
              </w:rPr>
              <w:t>negotiation of an agreement to acquire a target business.</w:t>
            </w:r>
          </w:p>
        </w:tc>
      </w:tr>
      <w:tr>
        <w:trPr>
          <w:trHeight w:val="418"/>
        </w:trPr>
        <w:tc>
          <w:tcPr>
            <w:tcW w:w="3660" w:type="dxa"/>
            <w:vAlign w:val="bottom"/>
          </w:tcPr>
          <w:p>
            <w:pPr>
              <w:spacing w:after="0"/>
              <w:rPr>
                <w:sz w:val="24"/>
                <w:szCs w:val="24"/>
                <w:color w:val="auto"/>
              </w:rPr>
            </w:pPr>
          </w:p>
        </w:tc>
        <w:tc>
          <w:tcPr>
            <w:tcW w:w="7340" w:type="dxa"/>
            <w:vAlign w:val="bottom"/>
            <w:gridSpan w:val="2"/>
          </w:tcPr>
          <w:p>
            <w:pPr>
              <w:ind w:left="860"/>
              <w:spacing w:after="0"/>
              <w:rPr>
                <w:sz w:val="20"/>
                <w:szCs w:val="20"/>
                <w:color w:val="auto"/>
              </w:rPr>
            </w:pPr>
            <w:r>
              <w:rPr>
                <w:rFonts w:ascii="Arial" w:cs="Arial" w:eastAsia="Arial" w:hAnsi="Arial"/>
                <w:sz w:val="18"/>
                <w:szCs w:val="18"/>
                <w:color w:val="auto"/>
                <w:w w:val="90"/>
              </w:rPr>
              <w:t>Notwithstanding the foregoing, there can be released to us, from time to time, any interest</w:t>
            </w:r>
          </w:p>
        </w:tc>
      </w:tr>
      <w:tr>
        <w:trPr>
          <w:trHeight w:val="216"/>
        </w:trPr>
        <w:tc>
          <w:tcPr>
            <w:tcW w:w="3660" w:type="dxa"/>
            <w:vAlign w:val="bottom"/>
          </w:tcPr>
          <w:p>
            <w:pPr>
              <w:spacing w:after="0"/>
              <w:rPr>
                <w:sz w:val="18"/>
                <w:szCs w:val="18"/>
                <w:color w:val="auto"/>
              </w:rPr>
            </w:pPr>
          </w:p>
        </w:tc>
        <w:tc>
          <w:tcPr>
            <w:tcW w:w="7340" w:type="dxa"/>
            <w:vAlign w:val="bottom"/>
            <w:gridSpan w:val="2"/>
          </w:tcPr>
          <w:p>
            <w:pPr>
              <w:ind w:left="860"/>
              <w:spacing w:after="0"/>
              <w:rPr>
                <w:sz w:val="20"/>
                <w:szCs w:val="20"/>
                <w:color w:val="auto"/>
              </w:rPr>
            </w:pPr>
            <w:r>
              <w:rPr>
                <w:rFonts w:ascii="Arial" w:cs="Arial" w:eastAsia="Arial" w:hAnsi="Arial"/>
                <w:sz w:val="18"/>
                <w:szCs w:val="18"/>
                <w:color w:val="auto"/>
                <w:w w:val="90"/>
              </w:rPr>
              <w:t>earned on the funds in the trust account that we may need to pay our tax obligations. With</w:t>
            </w:r>
          </w:p>
        </w:tc>
      </w:tr>
      <w:tr>
        <w:trPr>
          <w:trHeight w:val="216"/>
        </w:trPr>
        <w:tc>
          <w:tcPr>
            <w:tcW w:w="3660" w:type="dxa"/>
            <w:vAlign w:val="bottom"/>
          </w:tcPr>
          <w:p>
            <w:pPr>
              <w:spacing w:after="0"/>
              <w:rPr>
                <w:sz w:val="18"/>
                <w:szCs w:val="18"/>
                <w:color w:val="auto"/>
              </w:rPr>
            </w:pPr>
          </w:p>
        </w:tc>
        <w:tc>
          <w:tcPr>
            <w:tcW w:w="7340" w:type="dxa"/>
            <w:vAlign w:val="bottom"/>
            <w:gridSpan w:val="2"/>
          </w:tcPr>
          <w:p>
            <w:pPr>
              <w:ind w:left="860"/>
              <w:spacing w:after="0"/>
              <w:rPr>
                <w:sz w:val="20"/>
                <w:szCs w:val="20"/>
                <w:color w:val="auto"/>
              </w:rPr>
            </w:pPr>
            <w:r>
              <w:rPr>
                <w:rFonts w:ascii="Arial" w:cs="Arial" w:eastAsia="Arial" w:hAnsi="Arial"/>
                <w:sz w:val="18"/>
                <w:szCs w:val="18"/>
                <w:color w:val="auto"/>
                <w:w w:val="90"/>
              </w:rPr>
              <w:t>this exception, expenses incurred by us may be paid prior to a business combination only</w:t>
            </w:r>
          </w:p>
        </w:tc>
      </w:tr>
      <w:tr>
        <w:trPr>
          <w:trHeight w:val="216"/>
        </w:trPr>
        <w:tc>
          <w:tcPr>
            <w:tcW w:w="3660" w:type="dxa"/>
            <w:vAlign w:val="bottom"/>
          </w:tcPr>
          <w:p>
            <w:pPr>
              <w:spacing w:after="0"/>
              <w:rPr>
                <w:sz w:val="18"/>
                <w:szCs w:val="18"/>
                <w:color w:val="auto"/>
              </w:rPr>
            </w:pPr>
          </w:p>
        </w:tc>
        <w:tc>
          <w:tcPr>
            <w:tcW w:w="7340" w:type="dxa"/>
            <w:vAlign w:val="bottom"/>
            <w:gridSpan w:val="2"/>
          </w:tcPr>
          <w:p>
            <w:pPr>
              <w:ind w:left="860"/>
              <w:spacing w:after="0"/>
              <w:rPr>
                <w:sz w:val="20"/>
                <w:szCs w:val="20"/>
                <w:color w:val="auto"/>
              </w:rPr>
            </w:pPr>
            <w:r>
              <w:rPr>
                <w:rFonts w:ascii="Arial" w:cs="Arial" w:eastAsia="Arial" w:hAnsi="Arial"/>
                <w:sz w:val="18"/>
                <w:szCs w:val="18"/>
                <w:color w:val="auto"/>
                <w:w w:val="98"/>
              </w:rPr>
              <w:t>from the net proceeds of this offering not held in the trust account of approximately</w:t>
            </w:r>
          </w:p>
        </w:tc>
      </w:tr>
      <w:tr>
        <w:trPr>
          <w:trHeight w:val="216"/>
        </w:trPr>
        <w:tc>
          <w:tcPr>
            <w:tcW w:w="3660" w:type="dxa"/>
            <w:vAlign w:val="bottom"/>
          </w:tcPr>
          <w:p>
            <w:pPr>
              <w:spacing w:after="0"/>
              <w:rPr>
                <w:sz w:val="18"/>
                <w:szCs w:val="18"/>
                <w:color w:val="auto"/>
              </w:rPr>
            </w:pPr>
          </w:p>
        </w:tc>
        <w:tc>
          <w:tcPr>
            <w:tcW w:w="7340" w:type="dxa"/>
            <w:vAlign w:val="bottom"/>
            <w:gridSpan w:val="2"/>
          </w:tcPr>
          <w:p>
            <w:pPr>
              <w:ind w:left="860"/>
              <w:spacing w:after="0"/>
              <w:rPr>
                <w:sz w:val="20"/>
                <w:szCs w:val="20"/>
                <w:color w:val="auto"/>
              </w:rPr>
            </w:pPr>
            <w:r>
              <w:rPr>
                <w:rFonts w:ascii="Arial" w:cs="Arial" w:eastAsia="Arial" w:hAnsi="Arial"/>
                <w:sz w:val="18"/>
                <w:szCs w:val="18"/>
                <w:color w:val="auto"/>
                <w:w w:val="92"/>
              </w:rPr>
              <w:t>$1,250,000 provided, however, that in order to meet our working capital needs following</w:t>
            </w:r>
          </w:p>
        </w:tc>
      </w:tr>
      <w:tr>
        <w:trPr>
          <w:trHeight w:val="216"/>
        </w:trPr>
        <w:tc>
          <w:tcPr>
            <w:tcW w:w="3660" w:type="dxa"/>
            <w:vAlign w:val="bottom"/>
          </w:tcPr>
          <w:p>
            <w:pPr>
              <w:spacing w:after="0"/>
              <w:rPr>
                <w:sz w:val="18"/>
                <w:szCs w:val="18"/>
                <w:color w:val="auto"/>
              </w:rPr>
            </w:pPr>
          </w:p>
        </w:tc>
        <w:tc>
          <w:tcPr>
            <w:tcW w:w="7340" w:type="dxa"/>
            <w:vAlign w:val="bottom"/>
            <w:gridSpan w:val="2"/>
          </w:tcPr>
          <w:p>
            <w:pPr>
              <w:ind w:left="860"/>
              <w:spacing w:after="0"/>
              <w:rPr>
                <w:sz w:val="20"/>
                <w:szCs w:val="20"/>
                <w:color w:val="auto"/>
              </w:rPr>
            </w:pPr>
            <w:r>
              <w:rPr>
                <w:rFonts w:ascii="Arial" w:cs="Arial" w:eastAsia="Arial" w:hAnsi="Arial"/>
                <w:sz w:val="18"/>
                <w:szCs w:val="18"/>
                <w:color w:val="auto"/>
              </w:rPr>
              <w:t>the consummation of this offering if the funds not held in the trust account are</w:t>
            </w:r>
          </w:p>
        </w:tc>
      </w:tr>
      <w:tr>
        <w:trPr>
          <w:trHeight w:val="216"/>
        </w:trPr>
        <w:tc>
          <w:tcPr>
            <w:tcW w:w="3660" w:type="dxa"/>
            <w:vAlign w:val="bottom"/>
          </w:tcPr>
          <w:p>
            <w:pPr>
              <w:spacing w:after="0"/>
              <w:rPr>
                <w:sz w:val="18"/>
                <w:szCs w:val="18"/>
                <w:color w:val="auto"/>
              </w:rPr>
            </w:pPr>
          </w:p>
        </w:tc>
        <w:tc>
          <w:tcPr>
            <w:tcW w:w="7340" w:type="dxa"/>
            <w:vAlign w:val="bottom"/>
            <w:gridSpan w:val="2"/>
          </w:tcPr>
          <w:p>
            <w:pPr>
              <w:ind w:left="860"/>
              <w:spacing w:after="0"/>
              <w:rPr>
                <w:sz w:val="20"/>
                <w:szCs w:val="20"/>
                <w:color w:val="auto"/>
              </w:rPr>
            </w:pPr>
            <w:r>
              <w:rPr>
                <w:rFonts w:ascii="Arial" w:cs="Arial" w:eastAsia="Arial" w:hAnsi="Arial"/>
                <w:sz w:val="18"/>
                <w:szCs w:val="18"/>
                <w:color w:val="auto"/>
                <w:w w:val="93"/>
              </w:rPr>
              <w:t>insufficient, our initial stockholders, officers and directors or their affiliates may, but are</w:t>
            </w:r>
          </w:p>
        </w:tc>
      </w:tr>
      <w:tr>
        <w:trPr>
          <w:trHeight w:val="216"/>
        </w:trPr>
        <w:tc>
          <w:tcPr>
            <w:tcW w:w="3660" w:type="dxa"/>
            <w:vAlign w:val="bottom"/>
          </w:tcPr>
          <w:p>
            <w:pPr>
              <w:spacing w:after="0"/>
              <w:rPr>
                <w:sz w:val="18"/>
                <w:szCs w:val="18"/>
                <w:color w:val="auto"/>
              </w:rPr>
            </w:pPr>
          </w:p>
        </w:tc>
        <w:tc>
          <w:tcPr>
            <w:tcW w:w="7340" w:type="dxa"/>
            <w:vAlign w:val="bottom"/>
            <w:gridSpan w:val="2"/>
          </w:tcPr>
          <w:p>
            <w:pPr>
              <w:ind w:left="860"/>
              <w:spacing w:after="0"/>
              <w:rPr>
                <w:sz w:val="20"/>
                <w:szCs w:val="20"/>
                <w:color w:val="auto"/>
              </w:rPr>
            </w:pPr>
            <w:r>
              <w:rPr>
                <w:rFonts w:ascii="Arial" w:cs="Arial" w:eastAsia="Arial" w:hAnsi="Arial"/>
                <w:sz w:val="18"/>
                <w:szCs w:val="18"/>
                <w:color w:val="auto"/>
                <w:w w:val="91"/>
              </w:rPr>
              <w:t>not obligated to, loan us funds, from time to time or at any time, in whatever amount they</w:t>
            </w:r>
          </w:p>
        </w:tc>
      </w:tr>
      <w:tr>
        <w:trPr>
          <w:trHeight w:val="216"/>
        </w:trPr>
        <w:tc>
          <w:tcPr>
            <w:tcW w:w="3660" w:type="dxa"/>
            <w:vAlign w:val="bottom"/>
          </w:tcPr>
          <w:p>
            <w:pPr>
              <w:spacing w:after="0"/>
              <w:rPr>
                <w:sz w:val="18"/>
                <w:szCs w:val="18"/>
                <w:color w:val="auto"/>
              </w:rPr>
            </w:pPr>
          </w:p>
        </w:tc>
        <w:tc>
          <w:tcPr>
            <w:tcW w:w="7340" w:type="dxa"/>
            <w:vAlign w:val="bottom"/>
            <w:gridSpan w:val="2"/>
          </w:tcPr>
          <w:p>
            <w:pPr>
              <w:ind w:left="860"/>
              <w:spacing w:after="0"/>
              <w:rPr>
                <w:sz w:val="20"/>
                <w:szCs w:val="20"/>
                <w:color w:val="auto"/>
              </w:rPr>
            </w:pPr>
            <w:r>
              <w:rPr>
                <w:rFonts w:ascii="Arial" w:cs="Arial" w:eastAsia="Arial" w:hAnsi="Arial"/>
                <w:sz w:val="18"/>
                <w:szCs w:val="18"/>
                <w:color w:val="auto"/>
                <w:w w:val="91"/>
              </w:rPr>
              <w:t>deem reasonable in their sole discretion. Each loan would be evidenced by a promissory</w:t>
            </w:r>
          </w:p>
        </w:tc>
      </w:tr>
      <w:tr>
        <w:trPr>
          <w:trHeight w:val="216"/>
        </w:trPr>
        <w:tc>
          <w:tcPr>
            <w:tcW w:w="3660" w:type="dxa"/>
            <w:vAlign w:val="bottom"/>
          </w:tcPr>
          <w:p>
            <w:pPr>
              <w:spacing w:after="0"/>
              <w:rPr>
                <w:sz w:val="18"/>
                <w:szCs w:val="18"/>
                <w:color w:val="auto"/>
              </w:rPr>
            </w:pPr>
          </w:p>
        </w:tc>
        <w:tc>
          <w:tcPr>
            <w:tcW w:w="7340" w:type="dxa"/>
            <w:vAlign w:val="bottom"/>
            <w:gridSpan w:val="2"/>
          </w:tcPr>
          <w:p>
            <w:pPr>
              <w:ind w:left="860"/>
              <w:spacing w:after="0"/>
              <w:rPr>
                <w:sz w:val="20"/>
                <w:szCs w:val="20"/>
                <w:color w:val="auto"/>
              </w:rPr>
            </w:pPr>
            <w:r>
              <w:rPr>
                <w:rFonts w:ascii="Arial" w:cs="Arial" w:eastAsia="Arial" w:hAnsi="Arial"/>
                <w:sz w:val="18"/>
                <w:szCs w:val="18"/>
                <w:color w:val="auto"/>
              </w:rPr>
              <w:t>note. The notes would either be paid upon consummation of our initial business</w:t>
            </w:r>
          </w:p>
        </w:tc>
      </w:tr>
      <w:tr>
        <w:trPr>
          <w:trHeight w:val="216"/>
        </w:trPr>
        <w:tc>
          <w:tcPr>
            <w:tcW w:w="3660" w:type="dxa"/>
            <w:vAlign w:val="bottom"/>
          </w:tcPr>
          <w:p>
            <w:pPr>
              <w:spacing w:after="0"/>
              <w:rPr>
                <w:sz w:val="18"/>
                <w:szCs w:val="18"/>
                <w:color w:val="auto"/>
              </w:rPr>
            </w:pPr>
          </w:p>
        </w:tc>
        <w:tc>
          <w:tcPr>
            <w:tcW w:w="7340" w:type="dxa"/>
            <w:vAlign w:val="bottom"/>
            <w:gridSpan w:val="2"/>
          </w:tcPr>
          <w:p>
            <w:pPr>
              <w:ind w:left="860"/>
              <w:spacing w:after="0"/>
              <w:rPr>
                <w:sz w:val="20"/>
                <w:szCs w:val="20"/>
                <w:color w:val="auto"/>
              </w:rPr>
            </w:pPr>
            <w:r>
              <w:rPr>
                <w:rFonts w:ascii="Arial" w:cs="Arial" w:eastAsia="Arial" w:hAnsi="Arial"/>
                <w:sz w:val="18"/>
                <w:szCs w:val="18"/>
                <w:color w:val="auto"/>
                <w:w w:val="91"/>
              </w:rPr>
              <w:t>combination, without interest, or, at the lender’s discretion, up to $1,500,000 of the notes</w:t>
            </w:r>
          </w:p>
        </w:tc>
      </w:tr>
      <w:tr>
        <w:trPr>
          <w:trHeight w:val="216"/>
        </w:trPr>
        <w:tc>
          <w:tcPr>
            <w:tcW w:w="3660" w:type="dxa"/>
            <w:vAlign w:val="bottom"/>
          </w:tcPr>
          <w:p>
            <w:pPr>
              <w:spacing w:after="0"/>
              <w:rPr>
                <w:sz w:val="18"/>
                <w:szCs w:val="18"/>
                <w:color w:val="auto"/>
              </w:rPr>
            </w:pPr>
          </w:p>
        </w:tc>
        <w:tc>
          <w:tcPr>
            <w:tcW w:w="7340" w:type="dxa"/>
            <w:vAlign w:val="bottom"/>
            <w:gridSpan w:val="2"/>
          </w:tcPr>
          <w:p>
            <w:pPr>
              <w:ind w:left="860"/>
              <w:spacing w:after="0"/>
              <w:rPr>
                <w:sz w:val="20"/>
                <w:szCs w:val="20"/>
                <w:color w:val="auto"/>
              </w:rPr>
            </w:pPr>
            <w:r>
              <w:rPr>
                <w:rFonts w:ascii="Arial" w:cs="Arial" w:eastAsia="Arial" w:hAnsi="Arial"/>
                <w:sz w:val="18"/>
                <w:szCs w:val="18"/>
                <w:color w:val="auto"/>
                <w:w w:val="98"/>
              </w:rPr>
              <w:t>may be converted upon consummation of our business combination into additional</w:t>
            </w:r>
          </w:p>
        </w:tc>
      </w:tr>
      <w:tr>
        <w:trPr>
          <w:trHeight w:val="216"/>
        </w:trPr>
        <w:tc>
          <w:tcPr>
            <w:tcW w:w="3660" w:type="dxa"/>
            <w:vAlign w:val="bottom"/>
          </w:tcPr>
          <w:p>
            <w:pPr>
              <w:spacing w:after="0"/>
              <w:rPr>
                <w:sz w:val="18"/>
                <w:szCs w:val="18"/>
                <w:color w:val="auto"/>
              </w:rPr>
            </w:pPr>
          </w:p>
        </w:tc>
        <w:tc>
          <w:tcPr>
            <w:tcW w:w="7340" w:type="dxa"/>
            <w:vAlign w:val="bottom"/>
            <w:gridSpan w:val="2"/>
          </w:tcPr>
          <w:p>
            <w:pPr>
              <w:ind w:left="860"/>
              <w:spacing w:after="0"/>
              <w:rPr>
                <w:sz w:val="20"/>
                <w:szCs w:val="20"/>
                <w:color w:val="auto"/>
              </w:rPr>
            </w:pPr>
            <w:r>
              <w:rPr>
                <w:rFonts w:ascii="Arial" w:cs="Arial" w:eastAsia="Arial" w:hAnsi="Arial"/>
                <w:sz w:val="18"/>
                <w:szCs w:val="18"/>
                <w:color w:val="auto"/>
                <w:w w:val="96"/>
              </w:rPr>
              <w:t>private shares at a price of $10.00 per share (which, for example, would result in the</w:t>
            </w:r>
          </w:p>
        </w:tc>
      </w:tr>
      <w:tr>
        <w:trPr>
          <w:trHeight w:val="216"/>
        </w:trPr>
        <w:tc>
          <w:tcPr>
            <w:tcW w:w="3660" w:type="dxa"/>
            <w:vAlign w:val="bottom"/>
          </w:tcPr>
          <w:p>
            <w:pPr>
              <w:spacing w:after="0"/>
              <w:rPr>
                <w:sz w:val="18"/>
                <w:szCs w:val="18"/>
                <w:color w:val="auto"/>
              </w:rPr>
            </w:pPr>
          </w:p>
        </w:tc>
        <w:tc>
          <w:tcPr>
            <w:tcW w:w="7340" w:type="dxa"/>
            <w:vAlign w:val="bottom"/>
            <w:gridSpan w:val="2"/>
          </w:tcPr>
          <w:p>
            <w:pPr>
              <w:ind w:left="860"/>
              <w:spacing w:after="0"/>
              <w:rPr>
                <w:sz w:val="20"/>
                <w:szCs w:val="20"/>
                <w:color w:val="auto"/>
              </w:rPr>
            </w:pPr>
            <w:r>
              <w:rPr>
                <w:rFonts w:ascii="Arial" w:cs="Arial" w:eastAsia="Arial" w:hAnsi="Arial"/>
                <w:sz w:val="18"/>
                <w:szCs w:val="18"/>
                <w:color w:val="auto"/>
                <w:w w:val="90"/>
              </w:rPr>
              <w:t>holders being issued 50,000 private shares if $500,000 of notes were so converted). Such</w:t>
            </w:r>
          </w:p>
        </w:tc>
      </w:tr>
      <w:tr>
        <w:trPr>
          <w:trHeight w:val="216"/>
        </w:trPr>
        <w:tc>
          <w:tcPr>
            <w:tcW w:w="3660" w:type="dxa"/>
            <w:vAlign w:val="bottom"/>
          </w:tcPr>
          <w:p>
            <w:pPr>
              <w:spacing w:after="0"/>
              <w:rPr>
                <w:sz w:val="18"/>
                <w:szCs w:val="18"/>
                <w:color w:val="auto"/>
              </w:rPr>
            </w:pPr>
          </w:p>
        </w:tc>
        <w:tc>
          <w:tcPr>
            <w:tcW w:w="7340" w:type="dxa"/>
            <w:vAlign w:val="bottom"/>
            <w:gridSpan w:val="2"/>
          </w:tcPr>
          <w:p>
            <w:pPr>
              <w:ind w:left="860"/>
              <w:spacing w:after="0"/>
              <w:rPr>
                <w:sz w:val="20"/>
                <w:szCs w:val="20"/>
                <w:color w:val="auto"/>
              </w:rPr>
            </w:pPr>
            <w:r>
              <w:rPr>
                <w:rFonts w:ascii="Arial" w:cs="Arial" w:eastAsia="Arial" w:hAnsi="Arial"/>
                <w:sz w:val="18"/>
                <w:szCs w:val="18"/>
                <w:color w:val="auto"/>
                <w:w w:val="95"/>
              </w:rPr>
              <w:t>private shares will be identical to the private shares to be issued at the closing of this</w:t>
            </w:r>
          </w:p>
        </w:tc>
      </w:tr>
      <w:tr>
        <w:trPr>
          <w:trHeight w:val="216"/>
        </w:trPr>
        <w:tc>
          <w:tcPr>
            <w:tcW w:w="3660" w:type="dxa"/>
            <w:vAlign w:val="bottom"/>
          </w:tcPr>
          <w:p>
            <w:pPr>
              <w:spacing w:after="0"/>
              <w:rPr>
                <w:sz w:val="18"/>
                <w:szCs w:val="18"/>
                <w:color w:val="auto"/>
              </w:rPr>
            </w:pPr>
          </w:p>
        </w:tc>
        <w:tc>
          <w:tcPr>
            <w:tcW w:w="7340" w:type="dxa"/>
            <w:vAlign w:val="bottom"/>
            <w:gridSpan w:val="2"/>
          </w:tcPr>
          <w:p>
            <w:pPr>
              <w:ind w:left="860"/>
              <w:spacing w:after="0"/>
              <w:rPr>
                <w:sz w:val="20"/>
                <w:szCs w:val="20"/>
                <w:color w:val="auto"/>
              </w:rPr>
            </w:pPr>
            <w:r>
              <w:rPr>
                <w:rFonts w:ascii="Arial" w:cs="Arial" w:eastAsia="Arial" w:hAnsi="Arial"/>
                <w:sz w:val="18"/>
                <w:szCs w:val="18"/>
                <w:color w:val="auto"/>
                <w:w w:val="99"/>
              </w:rPr>
              <w:t>offering. Our stockholders have approved the issuance of the private shares upon</w:t>
            </w:r>
          </w:p>
        </w:tc>
      </w:tr>
      <w:tr>
        <w:trPr>
          <w:trHeight w:val="216"/>
        </w:trPr>
        <w:tc>
          <w:tcPr>
            <w:tcW w:w="3660" w:type="dxa"/>
            <w:vAlign w:val="bottom"/>
          </w:tcPr>
          <w:p>
            <w:pPr>
              <w:spacing w:after="0"/>
              <w:rPr>
                <w:sz w:val="18"/>
                <w:szCs w:val="18"/>
                <w:color w:val="auto"/>
              </w:rPr>
            </w:pPr>
          </w:p>
        </w:tc>
        <w:tc>
          <w:tcPr>
            <w:tcW w:w="7340" w:type="dxa"/>
            <w:vAlign w:val="bottom"/>
            <w:gridSpan w:val="2"/>
          </w:tcPr>
          <w:p>
            <w:pPr>
              <w:ind w:left="860"/>
              <w:spacing w:after="0"/>
              <w:rPr>
                <w:sz w:val="20"/>
                <w:szCs w:val="20"/>
                <w:color w:val="auto"/>
              </w:rPr>
            </w:pPr>
            <w:r>
              <w:rPr>
                <w:rFonts w:ascii="Arial" w:cs="Arial" w:eastAsia="Arial" w:hAnsi="Arial"/>
                <w:sz w:val="18"/>
                <w:szCs w:val="18"/>
                <w:color w:val="auto"/>
                <w:w w:val="90"/>
              </w:rPr>
              <w:t>conversion of such notes, to the extent the holder wishes to so convert them at the time of</w:t>
            </w:r>
          </w:p>
        </w:tc>
      </w:tr>
      <w:tr>
        <w:trPr>
          <w:trHeight w:val="216"/>
        </w:trPr>
        <w:tc>
          <w:tcPr>
            <w:tcW w:w="3660" w:type="dxa"/>
            <w:vAlign w:val="bottom"/>
          </w:tcPr>
          <w:p>
            <w:pPr>
              <w:spacing w:after="0"/>
              <w:rPr>
                <w:sz w:val="18"/>
                <w:szCs w:val="18"/>
                <w:color w:val="auto"/>
              </w:rPr>
            </w:pPr>
          </w:p>
        </w:tc>
        <w:tc>
          <w:tcPr>
            <w:tcW w:w="7340" w:type="dxa"/>
            <w:vAlign w:val="bottom"/>
            <w:gridSpan w:val="2"/>
          </w:tcPr>
          <w:p>
            <w:pPr>
              <w:ind w:left="860"/>
              <w:spacing w:after="0"/>
              <w:rPr>
                <w:sz w:val="20"/>
                <w:szCs w:val="20"/>
                <w:color w:val="auto"/>
              </w:rPr>
            </w:pPr>
            <w:r>
              <w:rPr>
                <w:rFonts w:ascii="Arial" w:cs="Arial" w:eastAsia="Arial" w:hAnsi="Arial"/>
                <w:sz w:val="18"/>
                <w:szCs w:val="18"/>
                <w:color w:val="auto"/>
                <w:w w:val="93"/>
              </w:rPr>
              <w:t>the consummation of our initial business combination. If we do not complete a business</w:t>
            </w:r>
          </w:p>
        </w:tc>
      </w:tr>
      <w:tr>
        <w:trPr>
          <w:trHeight w:val="216"/>
        </w:trPr>
        <w:tc>
          <w:tcPr>
            <w:tcW w:w="3660" w:type="dxa"/>
            <w:vAlign w:val="bottom"/>
          </w:tcPr>
          <w:p>
            <w:pPr>
              <w:spacing w:after="0"/>
              <w:rPr>
                <w:sz w:val="18"/>
                <w:szCs w:val="18"/>
                <w:color w:val="auto"/>
              </w:rPr>
            </w:pPr>
          </w:p>
        </w:tc>
        <w:tc>
          <w:tcPr>
            <w:tcW w:w="7340" w:type="dxa"/>
            <w:vAlign w:val="bottom"/>
            <w:gridSpan w:val="2"/>
          </w:tcPr>
          <w:p>
            <w:pPr>
              <w:ind w:left="860"/>
              <w:spacing w:after="0"/>
              <w:rPr>
                <w:sz w:val="20"/>
                <w:szCs w:val="20"/>
                <w:color w:val="auto"/>
              </w:rPr>
            </w:pPr>
            <w:r>
              <w:rPr>
                <w:rFonts w:ascii="Arial" w:cs="Arial" w:eastAsia="Arial" w:hAnsi="Arial"/>
                <w:sz w:val="18"/>
                <w:szCs w:val="18"/>
                <w:color w:val="auto"/>
                <w:w w:val="92"/>
              </w:rPr>
              <w:t>combination, the loans will only be repaid with funds not held in the trust account, to the</w:t>
            </w:r>
          </w:p>
        </w:tc>
      </w:tr>
      <w:tr>
        <w:trPr>
          <w:trHeight w:val="230"/>
        </w:trPr>
        <w:tc>
          <w:tcPr>
            <w:tcW w:w="3660" w:type="dxa"/>
            <w:vAlign w:val="bottom"/>
          </w:tcPr>
          <w:p>
            <w:pPr>
              <w:spacing w:after="0"/>
              <w:rPr>
                <w:sz w:val="20"/>
                <w:szCs w:val="20"/>
                <w:color w:val="auto"/>
              </w:rPr>
            </w:pPr>
          </w:p>
        </w:tc>
        <w:tc>
          <w:tcPr>
            <w:tcW w:w="7340" w:type="dxa"/>
            <w:vAlign w:val="bottom"/>
            <w:gridSpan w:val="2"/>
          </w:tcPr>
          <w:p>
            <w:pPr>
              <w:ind w:left="860"/>
              <w:spacing w:after="0"/>
              <w:rPr>
                <w:sz w:val="20"/>
                <w:szCs w:val="20"/>
                <w:color w:val="auto"/>
              </w:rPr>
            </w:pPr>
            <w:r>
              <w:rPr>
                <w:rFonts w:ascii="Arial" w:cs="Arial" w:eastAsia="Arial" w:hAnsi="Arial"/>
                <w:sz w:val="18"/>
                <w:szCs w:val="18"/>
                <w:color w:val="auto"/>
              </w:rPr>
              <w:t>extent available.</w:t>
            </w:r>
          </w:p>
        </w:tc>
      </w:tr>
      <w:tr>
        <w:trPr>
          <w:trHeight w:val="458"/>
        </w:trPr>
        <w:tc>
          <w:tcPr>
            <w:tcW w:w="3660" w:type="dxa"/>
            <w:vAlign w:val="bottom"/>
          </w:tcPr>
          <w:p>
            <w:pPr>
              <w:spacing w:after="0"/>
              <w:rPr>
                <w:sz w:val="20"/>
                <w:szCs w:val="20"/>
                <w:color w:val="auto"/>
              </w:rPr>
            </w:pPr>
            <w:r>
              <w:rPr>
                <w:rFonts w:ascii="Arial" w:cs="Arial" w:eastAsia="Arial" w:hAnsi="Arial"/>
                <w:sz w:val="18"/>
                <w:szCs w:val="18"/>
                <w:b w:val="1"/>
                <w:bCs w:val="1"/>
                <w:color w:val="auto"/>
              </w:rPr>
              <w:t>Limited payments to insiders</w:t>
            </w:r>
          </w:p>
        </w:tc>
        <w:tc>
          <w:tcPr>
            <w:tcW w:w="7340" w:type="dxa"/>
            <w:vAlign w:val="bottom"/>
            <w:gridSpan w:val="2"/>
          </w:tcPr>
          <w:p>
            <w:pPr>
              <w:ind w:left="860"/>
              <w:spacing w:after="0"/>
              <w:rPr>
                <w:sz w:val="20"/>
                <w:szCs w:val="20"/>
                <w:color w:val="auto"/>
              </w:rPr>
            </w:pPr>
            <w:r>
              <w:rPr>
                <w:rFonts w:ascii="Arial" w:cs="Arial" w:eastAsia="Arial" w:hAnsi="Arial"/>
                <w:sz w:val="18"/>
                <w:szCs w:val="18"/>
                <w:color w:val="auto"/>
                <w:w w:val="98"/>
              </w:rPr>
              <w:t>Prior  to  the  consummation  of  a  business  combination,  there  will  be  no  fees,</w:t>
            </w:r>
          </w:p>
        </w:tc>
      </w:tr>
      <w:tr>
        <w:trPr>
          <w:trHeight w:val="216"/>
        </w:trPr>
        <w:tc>
          <w:tcPr>
            <w:tcW w:w="3660" w:type="dxa"/>
            <w:vAlign w:val="bottom"/>
          </w:tcPr>
          <w:p>
            <w:pPr>
              <w:spacing w:after="0"/>
              <w:rPr>
                <w:sz w:val="18"/>
                <w:szCs w:val="18"/>
                <w:color w:val="auto"/>
              </w:rPr>
            </w:pPr>
          </w:p>
        </w:tc>
        <w:tc>
          <w:tcPr>
            <w:tcW w:w="7340" w:type="dxa"/>
            <w:vAlign w:val="bottom"/>
            <w:gridSpan w:val="2"/>
          </w:tcPr>
          <w:p>
            <w:pPr>
              <w:ind w:left="860"/>
              <w:spacing w:after="0"/>
              <w:rPr>
                <w:sz w:val="20"/>
                <w:szCs w:val="20"/>
                <w:color w:val="auto"/>
              </w:rPr>
            </w:pPr>
            <w:r>
              <w:rPr>
                <w:rFonts w:ascii="Arial" w:cs="Arial" w:eastAsia="Arial" w:hAnsi="Arial"/>
                <w:sz w:val="18"/>
                <w:szCs w:val="18"/>
                <w:color w:val="auto"/>
                <w:w w:val="90"/>
              </w:rPr>
              <w:t>reimbursements or other cash payments paid to our initial stockholders, officers, directors</w:t>
            </w:r>
          </w:p>
        </w:tc>
      </w:tr>
      <w:tr>
        <w:trPr>
          <w:trHeight w:val="216"/>
        </w:trPr>
        <w:tc>
          <w:tcPr>
            <w:tcW w:w="3660" w:type="dxa"/>
            <w:vAlign w:val="bottom"/>
          </w:tcPr>
          <w:p>
            <w:pPr>
              <w:spacing w:after="0"/>
              <w:rPr>
                <w:sz w:val="18"/>
                <w:szCs w:val="18"/>
                <w:color w:val="auto"/>
              </w:rPr>
            </w:pPr>
          </w:p>
        </w:tc>
        <w:tc>
          <w:tcPr>
            <w:tcW w:w="7340" w:type="dxa"/>
            <w:vAlign w:val="bottom"/>
            <w:gridSpan w:val="2"/>
          </w:tcPr>
          <w:p>
            <w:pPr>
              <w:ind w:left="860"/>
              <w:spacing w:after="0"/>
              <w:rPr>
                <w:sz w:val="20"/>
                <w:szCs w:val="20"/>
                <w:color w:val="auto"/>
              </w:rPr>
            </w:pPr>
            <w:r>
              <w:rPr>
                <w:rFonts w:ascii="Arial" w:cs="Arial" w:eastAsia="Arial" w:hAnsi="Arial"/>
                <w:sz w:val="18"/>
                <w:szCs w:val="18"/>
                <w:color w:val="auto"/>
                <w:w w:val="99"/>
              </w:rPr>
              <w:t>or their affiliates prior to, or for any services they render in order to effectuate, the</w:t>
            </w:r>
          </w:p>
        </w:tc>
      </w:tr>
      <w:tr>
        <w:trPr>
          <w:trHeight w:val="216"/>
        </w:trPr>
        <w:tc>
          <w:tcPr>
            <w:tcW w:w="3660" w:type="dxa"/>
            <w:vAlign w:val="bottom"/>
          </w:tcPr>
          <w:p>
            <w:pPr>
              <w:spacing w:after="0"/>
              <w:rPr>
                <w:sz w:val="18"/>
                <w:szCs w:val="18"/>
                <w:color w:val="auto"/>
              </w:rPr>
            </w:pPr>
          </w:p>
        </w:tc>
        <w:tc>
          <w:tcPr>
            <w:tcW w:w="7340" w:type="dxa"/>
            <w:vAlign w:val="bottom"/>
            <w:gridSpan w:val="2"/>
          </w:tcPr>
          <w:p>
            <w:pPr>
              <w:ind w:left="860"/>
              <w:spacing w:after="0"/>
              <w:rPr>
                <w:sz w:val="20"/>
                <w:szCs w:val="20"/>
                <w:color w:val="auto"/>
              </w:rPr>
            </w:pPr>
            <w:r>
              <w:rPr>
                <w:rFonts w:ascii="Arial" w:cs="Arial" w:eastAsia="Arial" w:hAnsi="Arial"/>
                <w:sz w:val="18"/>
                <w:szCs w:val="18"/>
                <w:color w:val="auto"/>
                <w:w w:val="92"/>
              </w:rPr>
              <w:t>consummation of a business combination (regardless of the type of transaction that it is)</w:t>
            </w:r>
          </w:p>
        </w:tc>
      </w:tr>
      <w:tr>
        <w:trPr>
          <w:trHeight w:val="230"/>
        </w:trPr>
        <w:tc>
          <w:tcPr>
            <w:tcW w:w="3660" w:type="dxa"/>
            <w:vAlign w:val="bottom"/>
          </w:tcPr>
          <w:p>
            <w:pPr>
              <w:spacing w:after="0"/>
              <w:rPr>
                <w:sz w:val="20"/>
                <w:szCs w:val="20"/>
                <w:color w:val="auto"/>
              </w:rPr>
            </w:pPr>
          </w:p>
        </w:tc>
        <w:tc>
          <w:tcPr>
            <w:tcW w:w="1680" w:type="dxa"/>
            <w:vAlign w:val="bottom"/>
          </w:tcPr>
          <w:p>
            <w:pPr>
              <w:ind w:left="860"/>
              <w:spacing w:after="0"/>
              <w:rPr>
                <w:sz w:val="20"/>
                <w:szCs w:val="20"/>
                <w:color w:val="auto"/>
              </w:rPr>
            </w:pPr>
            <w:r>
              <w:rPr>
                <w:rFonts w:ascii="Arial" w:cs="Arial" w:eastAsia="Arial" w:hAnsi="Arial"/>
                <w:sz w:val="18"/>
                <w:szCs w:val="18"/>
                <w:color w:val="auto"/>
                <w:w w:val="92"/>
              </w:rPr>
              <w:t>other than:</w:t>
            </w:r>
          </w:p>
        </w:tc>
        <w:tc>
          <w:tcPr>
            <w:tcW w:w="5660" w:type="dxa"/>
            <w:vAlign w:val="bottom"/>
          </w:tcPr>
          <w:p>
            <w:pPr>
              <w:spacing w:after="0"/>
              <w:rPr>
                <w:sz w:val="20"/>
                <w:szCs w:val="20"/>
                <w:color w:val="auto"/>
              </w:rPr>
            </w:pPr>
          </w:p>
        </w:tc>
      </w:tr>
      <w:tr>
        <w:trPr>
          <w:trHeight w:val="432"/>
        </w:trPr>
        <w:tc>
          <w:tcPr>
            <w:tcW w:w="3660" w:type="dxa"/>
            <w:vAlign w:val="bottom"/>
          </w:tcPr>
          <w:p>
            <w:pPr>
              <w:spacing w:after="0"/>
              <w:rPr>
                <w:sz w:val="24"/>
                <w:szCs w:val="24"/>
                <w:color w:val="auto"/>
              </w:rPr>
            </w:pPr>
          </w:p>
        </w:tc>
        <w:tc>
          <w:tcPr>
            <w:tcW w:w="7340" w:type="dxa"/>
            <w:vAlign w:val="bottom"/>
            <w:gridSpan w:val="2"/>
          </w:tcPr>
          <w:p>
            <w:pPr>
              <w:ind w:left="1400"/>
              <w:spacing w:after="0"/>
              <w:rPr>
                <w:sz w:val="20"/>
                <w:szCs w:val="20"/>
                <w:color w:val="auto"/>
              </w:rPr>
            </w:pPr>
            <w:r>
              <w:rPr>
                <w:rFonts w:ascii="Arial" w:cs="Arial" w:eastAsia="Arial" w:hAnsi="Arial"/>
                <w:sz w:val="18"/>
                <w:szCs w:val="18"/>
                <w:color w:val="auto"/>
              </w:rPr>
              <w:t>●   repayment of loans of up to $300,000 made to us by our sponsor;</w:t>
            </w:r>
          </w:p>
        </w:tc>
      </w:tr>
      <w:tr>
        <w:trPr>
          <w:trHeight w:val="418"/>
        </w:trPr>
        <w:tc>
          <w:tcPr>
            <w:tcW w:w="3660" w:type="dxa"/>
            <w:vAlign w:val="bottom"/>
          </w:tcPr>
          <w:p>
            <w:pPr>
              <w:spacing w:after="0"/>
              <w:rPr>
                <w:sz w:val="24"/>
                <w:szCs w:val="24"/>
                <w:color w:val="auto"/>
              </w:rPr>
            </w:pPr>
          </w:p>
        </w:tc>
        <w:tc>
          <w:tcPr>
            <w:tcW w:w="1680" w:type="dxa"/>
            <w:vAlign w:val="bottom"/>
          </w:tcPr>
          <w:p>
            <w:pPr>
              <w:ind w:left="1400"/>
              <w:spacing w:after="0"/>
              <w:rPr>
                <w:sz w:val="20"/>
                <w:szCs w:val="20"/>
                <w:color w:val="auto"/>
              </w:rPr>
            </w:pPr>
            <w:r>
              <w:rPr>
                <w:rFonts w:ascii="Arial" w:cs="Arial" w:eastAsia="Arial" w:hAnsi="Arial"/>
                <w:sz w:val="18"/>
                <w:szCs w:val="18"/>
                <w:color w:val="auto"/>
              </w:rPr>
              <w:t>●</w:t>
            </w:r>
          </w:p>
        </w:tc>
        <w:tc>
          <w:tcPr>
            <w:tcW w:w="5660" w:type="dxa"/>
            <w:vAlign w:val="bottom"/>
          </w:tcPr>
          <w:p>
            <w:pPr>
              <w:ind w:left="100"/>
              <w:spacing w:after="0"/>
              <w:rPr>
                <w:sz w:val="20"/>
                <w:szCs w:val="20"/>
                <w:color w:val="auto"/>
              </w:rPr>
            </w:pPr>
            <w:r>
              <w:rPr>
                <w:rFonts w:ascii="Arial" w:cs="Arial" w:eastAsia="Arial" w:hAnsi="Arial"/>
                <w:sz w:val="18"/>
                <w:szCs w:val="18"/>
                <w:color w:val="auto"/>
                <w:w w:val="92"/>
              </w:rPr>
              <w:t>payment of $10,000 per month to an affiliate of our sponsor for office space</w:t>
            </w:r>
          </w:p>
        </w:tc>
      </w:tr>
      <w:tr>
        <w:trPr>
          <w:trHeight w:val="230"/>
        </w:trPr>
        <w:tc>
          <w:tcPr>
            <w:tcW w:w="36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5660" w:type="dxa"/>
            <w:vAlign w:val="bottom"/>
          </w:tcPr>
          <w:p>
            <w:pPr>
              <w:ind w:left="60"/>
              <w:spacing w:after="0"/>
              <w:rPr>
                <w:sz w:val="20"/>
                <w:szCs w:val="20"/>
                <w:color w:val="auto"/>
              </w:rPr>
            </w:pPr>
            <w:r>
              <w:rPr>
                <w:rFonts w:ascii="Arial" w:cs="Arial" w:eastAsia="Arial" w:hAnsi="Arial"/>
                <w:sz w:val="18"/>
                <w:szCs w:val="18"/>
                <w:color w:val="auto"/>
              </w:rPr>
              <w:t>and related services, subject to deferral as described herein;</w:t>
            </w:r>
          </w:p>
        </w:tc>
      </w:tr>
      <w:tr>
        <w:trPr>
          <w:trHeight w:val="418"/>
        </w:trPr>
        <w:tc>
          <w:tcPr>
            <w:tcW w:w="3660" w:type="dxa"/>
            <w:vAlign w:val="bottom"/>
          </w:tcPr>
          <w:p>
            <w:pPr>
              <w:spacing w:after="0"/>
              <w:rPr>
                <w:sz w:val="24"/>
                <w:szCs w:val="24"/>
                <w:color w:val="auto"/>
              </w:rPr>
            </w:pPr>
          </w:p>
        </w:tc>
        <w:tc>
          <w:tcPr>
            <w:tcW w:w="7340" w:type="dxa"/>
            <w:vAlign w:val="bottom"/>
            <w:gridSpan w:val="2"/>
          </w:tcPr>
          <w:p>
            <w:pPr>
              <w:ind w:left="1400"/>
              <w:spacing w:after="0"/>
              <w:rPr>
                <w:sz w:val="20"/>
                <w:szCs w:val="20"/>
                <w:color w:val="auto"/>
              </w:rPr>
            </w:pPr>
            <w:r>
              <w:rPr>
                <w:rFonts w:ascii="Arial" w:cs="Arial" w:eastAsia="Arial" w:hAnsi="Arial"/>
                <w:sz w:val="18"/>
                <w:szCs w:val="18"/>
                <w:color w:val="auto"/>
                <w:w w:val="93"/>
              </w:rPr>
              <w:t>●   repayment of loans which may be made by our insiders, officers, directors or</w:t>
            </w:r>
          </w:p>
        </w:tc>
      </w:tr>
      <w:tr>
        <w:trPr>
          <w:trHeight w:val="216"/>
        </w:trPr>
        <w:tc>
          <w:tcPr>
            <w:tcW w:w="36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660" w:type="dxa"/>
            <w:vAlign w:val="bottom"/>
          </w:tcPr>
          <w:p>
            <w:pPr>
              <w:ind w:left="60"/>
              <w:spacing w:after="0"/>
              <w:rPr>
                <w:sz w:val="20"/>
                <w:szCs w:val="20"/>
                <w:color w:val="auto"/>
              </w:rPr>
            </w:pPr>
            <w:r>
              <w:rPr>
                <w:rFonts w:ascii="Arial" w:cs="Arial" w:eastAsia="Arial" w:hAnsi="Arial"/>
                <w:sz w:val="18"/>
                <w:szCs w:val="18"/>
                <w:color w:val="auto"/>
                <w:w w:val="92"/>
              </w:rPr>
              <w:t>any of its or their affiliates to finance transaction costs in connection with an</w:t>
            </w:r>
          </w:p>
        </w:tc>
      </w:tr>
      <w:tr>
        <w:trPr>
          <w:trHeight w:val="230"/>
        </w:trPr>
        <w:tc>
          <w:tcPr>
            <w:tcW w:w="36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5660" w:type="dxa"/>
            <w:vAlign w:val="bottom"/>
          </w:tcPr>
          <w:p>
            <w:pPr>
              <w:ind w:left="60"/>
              <w:spacing w:after="0"/>
              <w:rPr>
                <w:sz w:val="20"/>
                <w:szCs w:val="20"/>
                <w:color w:val="auto"/>
              </w:rPr>
            </w:pPr>
            <w:r>
              <w:rPr>
                <w:rFonts w:ascii="Arial" w:cs="Arial" w:eastAsia="Arial" w:hAnsi="Arial"/>
                <w:sz w:val="18"/>
                <w:szCs w:val="18"/>
                <w:color w:val="auto"/>
                <w:w w:val="93"/>
              </w:rPr>
              <w:t>initial business combination, the terms of which have not been determined;</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10730" cy="74961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10730" cy="7496175"/>
                    </a:xfrm>
                    <a:prstGeom prst="rect">
                      <a:avLst/>
                    </a:prstGeom>
                    <a:noFill/>
                  </pic:spPr>
                </pic:pic>
              </a:graphicData>
            </a:graphic>
          </wp:anchor>
        </w:drawing>
      </w: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6985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20" w:top="1026" w:right="47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16"/>
        </w:trPr>
        <w:tc>
          <w:tcPr>
            <w:tcW w:w="4040" w:type="dxa"/>
            <w:vAlign w:val="bottom"/>
          </w:tcPr>
          <w:p>
            <w:pPr>
              <w:spacing w:after="0"/>
              <w:rPr>
                <w:sz w:val="18"/>
                <w:szCs w:val="18"/>
                <w:color w:val="auto"/>
              </w:rPr>
            </w:pPr>
          </w:p>
        </w:tc>
        <w:tc>
          <w:tcPr>
            <w:tcW w:w="1240" w:type="dxa"/>
            <w:vAlign w:val="bottom"/>
          </w:tcPr>
          <w:p>
            <w:pPr>
              <w:ind w:left="1020"/>
              <w:spacing w:after="0"/>
              <w:rPr>
                <w:sz w:val="20"/>
                <w:szCs w:val="20"/>
                <w:color w:val="auto"/>
              </w:rPr>
            </w:pPr>
            <w:r>
              <w:rPr>
                <w:rFonts w:ascii="Arial" w:cs="Arial" w:eastAsia="Arial" w:hAnsi="Arial"/>
                <w:sz w:val="18"/>
                <w:szCs w:val="18"/>
                <w:color w:val="auto"/>
              </w:rPr>
              <w:t>●</w:t>
            </w:r>
          </w:p>
        </w:tc>
        <w:tc>
          <w:tcPr>
            <w:tcW w:w="5720" w:type="dxa"/>
            <w:vAlign w:val="bottom"/>
          </w:tcPr>
          <w:p>
            <w:pPr>
              <w:jc w:val="right"/>
              <w:spacing w:after="0"/>
              <w:rPr>
                <w:sz w:val="20"/>
                <w:szCs w:val="20"/>
                <w:color w:val="auto"/>
              </w:rPr>
            </w:pPr>
            <w:r>
              <w:rPr>
                <w:rFonts w:ascii="Arial" w:cs="Arial" w:eastAsia="Arial" w:hAnsi="Arial"/>
                <w:sz w:val="18"/>
                <w:szCs w:val="18"/>
                <w:color w:val="auto"/>
                <w:w w:val="97"/>
              </w:rPr>
              <w:t>reimbursement of out-of-pocket expenses incurred by them in connection</w:t>
            </w:r>
          </w:p>
        </w:tc>
      </w:tr>
      <w:tr>
        <w:trPr>
          <w:trHeight w:val="216"/>
        </w:trPr>
        <w:tc>
          <w:tcPr>
            <w:tcW w:w="40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720" w:type="dxa"/>
            <w:vAlign w:val="bottom"/>
          </w:tcPr>
          <w:p>
            <w:pPr>
              <w:jc w:val="right"/>
              <w:spacing w:after="0"/>
              <w:rPr>
                <w:sz w:val="20"/>
                <w:szCs w:val="20"/>
                <w:color w:val="auto"/>
              </w:rPr>
            </w:pPr>
            <w:r>
              <w:rPr>
                <w:rFonts w:ascii="Arial" w:cs="Arial" w:eastAsia="Arial" w:hAnsi="Arial"/>
                <w:sz w:val="18"/>
                <w:szCs w:val="18"/>
                <w:color w:val="auto"/>
                <w:w w:val="99"/>
              </w:rPr>
              <w:t>with certain activities on our behalf, such as identifying and investigating</w:t>
            </w:r>
          </w:p>
        </w:tc>
      </w:tr>
      <w:tr>
        <w:trPr>
          <w:trHeight w:val="230"/>
        </w:trPr>
        <w:tc>
          <w:tcPr>
            <w:tcW w:w="40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720" w:type="dxa"/>
            <w:vAlign w:val="bottom"/>
          </w:tcPr>
          <w:p>
            <w:pPr>
              <w:ind w:left="120"/>
              <w:spacing w:after="0"/>
              <w:rPr>
                <w:sz w:val="20"/>
                <w:szCs w:val="20"/>
                <w:color w:val="auto"/>
              </w:rPr>
            </w:pPr>
            <w:r>
              <w:rPr>
                <w:rFonts w:ascii="Arial" w:cs="Arial" w:eastAsia="Arial" w:hAnsi="Arial"/>
                <w:sz w:val="18"/>
                <w:szCs w:val="18"/>
                <w:color w:val="auto"/>
              </w:rPr>
              <w:t>possible business targets and business combinations; and</w:t>
            </w:r>
          </w:p>
        </w:tc>
      </w:tr>
      <w:tr>
        <w:trPr>
          <w:trHeight w:val="418"/>
        </w:trPr>
        <w:tc>
          <w:tcPr>
            <w:tcW w:w="4040" w:type="dxa"/>
            <w:vAlign w:val="bottom"/>
          </w:tcPr>
          <w:p>
            <w:pPr>
              <w:spacing w:after="0"/>
              <w:rPr>
                <w:sz w:val="24"/>
                <w:szCs w:val="24"/>
                <w:color w:val="auto"/>
              </w:rPr>
            </w:pPr>
          </w:p>
        </w:tc>
        <w:tc>
          <w:tcPr>
            <w:tcW w:w="1240" w:type="dxa"/>
            <w:vAlign w:val="bottom"/>
          </w:tcPr>
          <w:p>
            <w:pPr>
              <w:ind w:left="1020"/>
              <w:spacing w:after="0"/>
              <w:rPr>
                <w:sz w:val="20"/>
                <w:szCs w:val="20"/>
                <w:color w:val="auto"/>
              </w:rPr>
            </w:pPr>
            <w:r>
              <w:rPr>
                <w:rFonts w:ascii="Arial" w:cs="Arial" w:eastAsia="Arial" w:hAnsi="Arial"/>
                <w:sz w:val="18"/>
                <w:szCs w:val="18"/>
                <w:color w:val="auto"/>
              </w:rPr>
              <w:t>●</w:t>
            </w:r>
          </w:p>
        </w:tc>
        <w:tc>
          <w:tcPr>
            <w:tcW w:w="5720" w:type="dxa"/>
            <w:vAlign w:val="bottom"/>
          </w:tcPr>
          <w:p>
            <w:pPr>
              <w:jc w:val="right"/>
              <w:spacing w:after="0"/>
              <w:rPr>
                <w:sz w:val="20"/>
                <w:szCs w:val="20"/>
                <w:color w:val="auto"/>
              </w:rPr>
            </w:pPr>
            <w:r>
              <w:rPr>
                <w:rFonts w:ascii="Arial" w:cs="Arial" w:eastAsia="Arial" w:hAnsi="Arial"/>
                <w:sz w:val="18"/>
                <w:szCs w:val="18"/>
                <w:color w:val="auto"/>
                <w:w w:val="98"/>
              </w:rPr>
              <w:t>repayment upon consummation of our initial business combination of any</w:t>
            </w:r>
          </w:p>
        </w:tc>
      </w:tr>
      <w:tr>
        <w:trPr>
          <w:trHeight w:val="216"/>
        </w:trPr>
        <w:tc>
          <w:tcPr>
            <w:tcW w:w="40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720" w:type="dxa"/>
            <w:vAlign w:val="bottom"/>
          </w:tcPr>
          <w:p>
            <w:pPr>
              <w:jc w:val="right"/>
              <w:spacing w:after="0"/>
              <w:rPr>
                <w:sz w:val="20"/>
                <w:szCs w:val="20"/>
                <w:color w:val="auto"/>
              </w:rPr>
            </w:pPr>
            <w:r>
              <w:rPr>
                <w:rFonts w:ascii="Arial" w:cs="Arial" w:eastAsia="Arial" w:hAnsi="Arial"/>
                <w:sz w:val="18"/>
                <w:szCs w:val="18"/>
                <w:color w:val="auto"/>
                <w:w w:val="95"/>
              </w:rPr>
              <w:t>loans which may be made by our initial stockholders or their affiliates or our</w:t>
            </w:r>
          </w:p>
        </w:tc>
      </w:tr>
      <w:tr>
        <w:trPr>
          <w:trHeight w:val="216"/>
        </w:trPr>
        <w:tc>
          <w:tcPr>
            <w:tcW w:w="40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720" w:type="dxa"/>
            <w:vAlign w:val="bottom"/>
          </w:tcPr>
          <w:p>
            <w:pPr>
              <w:jc w:val="right"/>
              <w:spacing w:after="0"/>
              <w:rPr>
                <w:sz w:val="20"/>
                <w:szCs w:val="20"/>
                <w:color w:val="auto"/>
              </w:rPr>
            </w:pPr>
            <w:r>
              <w:rPr>
                <w:rFonts w:ascii="Arial" w:cs="Arial" w:eastAsia="Arial" w:hAnsi="Arial"/>
                <w:sz w:val="18"/>
                <w:szCs w:val="18"/>
                <w:color w:val="auto"/>
              </w:rPr>
              <w:t>officers and directors to finance transaction costs in connection with an</w:t>
            </w:r>
          </w:p>
        </w:tc>
      </w:tr>
      <w:tr>
        <w:trPr>
          <w:trHeight w:val="216"/>
        </w:trPr>
        <w:tc>
          <w:tcPr>
            <w:tcW w:w="40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720" w:type="dxa"/>
            <w:vAlign w:val="bottom"/>
          </w:tcPr>
          <w:p>
            <w:pPr>
              <w:jc w:val="right"/>
              <w:spacing w:after="0"/>
              <w:rPr>
                <w:sz w:val="20"/>
                <w:szCs w:val="20"/>
                <w:color w:val="auto"/>
              </w:rPr>
            </w:pPr>
            <w:r>
              <w:rPr>
                <w:rFonts w:ascii="Arial" w:cs="Arial" w:eastAsia="Arial" w:hAnsi="Arial"/>
                <w:sz w:val="18"/>
                <w:szCs w:val="18"/>
                <w:color w:val="auto"/>
                <w:w w:val="92"/>
              </w:rPr>
              <w:t>intended initial business combination. Up to $1,500,000 of such loans may be</w:t>
            </w:r>
          </w:p>
        </w:tc>
      </w:tr>
      <w:tr>
        <w:trPr>
          <w:trHeight w:val="216"/>
        </w:trPr>
        <w:tc>
          <w:tcPr>
            <w:tcW w:w="40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720" w:type="dxa"/>
            <w:vAlign w:val="bottom"/>
          </w:tcPr>
          <w:p>
            <w:pPr>
              <w:jc w:val="right"/>
              <w:spacing w:after="0"/>
              <w:rPr>
                <w:sz w:val="20"/>
                <w:szCs w:val="20"/>
                <w:color w:val="auto"/>
              </w:rPr>
            </w:pPr>
            <w:r>
              <w:rPr>
                <w:rFonts w:ascii="Arial" w:cs="Arial" w:eastAsia="Arial" w:hAnsi="Arial"/>
                <w:sz w:val="18"/>
                <w:szCs w:val="18"/>
                <w:color w:val="auto"/>
                <w:w w:val="94"/>
              </w:rPr>
              <w:t>convertible into private shares at a price of $10.00 per share at the option of</w:t>
            </w:r>
          </w:p>
        </w:tc>
      </w:tr>
      <w:tr>
        <w:trPr>
          <w:trHeight w:val="230"/>
        </w:trPr>
        <w:tc>
          <w:tcPr>
            <w:tcW w:w="40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720" w:type="dxa"/>
            <w:vAlign w:val="bottom"/>
          </w:tcPr>
          <w:p>
            <w:pPr>
              <w:ind w:left="120"/>
              <w:spacing w:after="0"/>
              <w:rPr>
                <w:sz w:val="20"/>
                <w:szCs w:val="20"/>
                <w:color w:val="auto"/>
              </w:rPr>
            </w:pPr>
            <w:r>
              <w:rPr>
                <w:rFonts w:ascii="Arial" w:cs="Arial" w:eastAsia="Arial" w:hAnsi="Arial"/>
                <w:sz w:val="18"/>
                <w:szCs w:val="18"/>
                <w:color w:val="auto"/>
              </w:rPr>
              <w:t>the lender.</w:t>
            </w:r>
          </w:p>
        </w:tc>
      </w:tr>
      <w:tr>
        <w:trPr>
          <w:trHeight w:val="418"/>
        </w:trPr>
        <w:tc>
          <w:tcPr>
            <w:tcW w:w="4040" w:type="dxa"/>
            <w:vAlign w:val="bottom"/>
          </w:tcPr>
          <w:p>
            <w:pPr>
              <w:spacing w:after="0"/>
              <w:rPr>
                <w:sz w:val="24"/>
                <w:szCs w:val="24"/>
                <w:color w:val="auto"/>
              </w:rPr>
            </w:pPr>
          </w:p>
        </w:tc>
        <w:tc>
          <w:tcPr>
            <w:tcW w:w="6960" w:type="dxa"/>
            <w:vAlign w:val="bottom"/>
            <w:gridSpan w:val="2"/>
          </w:tcPr>
          <w:p>
            <w:pPr>
              <w:ind w:left="480"/>
              <w:spacing w:after="0"/>
              <w:rPr>
                <w:sz w:val="20"/>
                <w:szCs w:val="20"/>
                <w:color w:val="auto"/>
              </w:rPr>
            </w:pPr>
            <w:r>
              <w:rPr>
                <w:rFonts w:ascii="Arial" w:cs="Arial" w:eastAsia="Arial" w:hAnsi="Arial"/>
                <w:sz w:val="18"/>
                <w:szCs w:val="18"/>
                <w:color w:val="auto"/>
                <w:w w:val="92"/>
              </w:rPr>
              <w:t>There is no limit on the amount of out-of-pocket expenses reimbursable by us; provided,</w:t>
            </w:r>
          </w:p>
        </w:tc>
      </w:tr>
      <w:tr>
        <w:trPr>
          <w:trHeight w:val="216"/>
        </w:trPr>
        <w:tc>
          <w:tcPr>
            <w:tcW w:w="4040" w:type="dxa"/>
            <w:vAlign w:val="bottom"/>
          </w:tcPr>
          <w:p>
            <w:pPr>
              <w:spacing w:after="0"/>
              <w:rPr>
                <w:sz w:val="18"/>
                <w:szCs w:val="18"/>
                <w:color w:val="auto"/>
              </w:rPr>
            </w:pPr>
          </w:p>
        </w:tc>
        <w:tc>
          <w:tcPr>
            <w:tcW w:w="6960" w:type="dxa"/>
            <w:vAlign w:val="bottom"/>
            <w:gridSpan w:val="2"/>
          </w:tcPr>
          <w:p>
            <w:pPr>
              <w:ind w:left="480"/>
              <w:spacing w:after="0"/>
              <w:rPr>
                <w:sz w:val="20"/>
                <w:szCs w:val="20"/>
                <w:color w:val="auto"/>
              </w:rPr>
            </w:pPr>
            <w:r>
              <w:rPr>
                <w:rFonts w:ascii="Arial" w:cs="Arial" w:eastAsia="Arial" w:hAnsi="Arial"/>
                <w:sz w:val="18"/>
                <w:szCs w:val="18"/>
                <w:color w:val="auto"/>
                <w:w w:val="90"/>
              </w:rPr>
              <w:t>however, that to the extent such expenses exceed the available proceeds not deposited in</w:t>
            </w:r>
          </w:p>
        </w:tc>
      </w:tr>
      <w:tr>
        <w:trPr>
          <w:trHeight w:val="216"/>
        </w:trPr>
        <w:tc>
          <w:tcPr>
            <w:tcW w:w="4040" w:type="dxa"/>
            <w:vAlign w:val="bottom"/>
          </w:tcPr>
          <w:p>
            <w:pPr>
              <w:spacing w:after="0"/>
              <w:rPr>
                <w:sz w:val="18"/>
                <w:szCs w:val="18"/>
                <w:color w:val="auto"/>
              </w:rPr>
            </w:pPr>
          </w:p>
        </w:tc>
        <w:tc>
          <w:tcPr>
            <w:tcW w:w="6960" w:type="dxa"/>
            <w:vAlign w:val="bottom"/>
            <w:gridSpan w:val="2"/>
          </w:tcPr>
          <w:p>
            <w:pPr>
              <w:ind w:left="480"/>
              <w:spacing w:after="0"/>
              <w:rPr>
                <w:sz w:val="20"/>
                <w:szCs w:val="20"/>
                <w:color w:val="auto"/>
              </w:rPr>
            </w:pPr>
            <w:r>
              <w:rPr>
                <w:rFonts w:ascii="Arial" w:cs="Arial" w:eastAsia="Arial" w:hAnsi="Arial"/>
                <w:sz w:val="18"/>
                <w:szCs w:val="18"/>
                <w:color w:val="auto"/>
                <w:w w:val="90"/>
              </w:rPr>
              <w:t>the trust account and the interest income earned on the amounts held in the trust account</w:t>
            </w:r>
          </w:p>
        </w:tc>
      </w:tr>
      <w:tr>
        <w:trPr>
          <w:trHeight w:val="216"/>
        </w:trPr>
        <w:tc>
          <w:tcPr>
            <w:tcW w:w="4040" w:type="dxa"/>
            <w:vAlign w:val="bottom"/>
          </w:tcPr>
          <w:p>
            <w:pPr>
              <w:spacing w:after="0"/>
              <w:rPr>
                <w:sz w:val="18"/>
                <w:szCs w:val="18"/>
                <w:color w:val="auto"/>
              </w:rPr>
            </w:pPr>
          </w:p>
        </w:tc>
        <w:tc>
          <w:tcPr>
            <w:tcW w:w="6960" w:type="dxa"/>
            <w:vAlign w:val="bottom"/>
            <w:gridSpan w:val="2"/>
          </w:tcPr>
          <w:p>
            <w:pPr>
              <w:ind w:left="480"/>
              <w:spacing w:after="0"/>
              <w:rPr>
                <w:sz w:val="20"/>
                <w:szCs w:val="20"/>
                <w:color w:val="auto"/>
              </w:rPr>
            </w:pPr>
            <w:r>
              <w:rPr>
                <w:rFonts w:ascii="Arial" w:cs="Arial" w:eastAsia="Arial" w:hAnsi="Arial"/>
                <w:sz w:val="18"/>
                <w:szCs w:val="18"/>
                <w:color w:val="auto"/>
                <w:w w:val="90"/>
              </w:rPr>
              <w:t>available to us, such expenses would not be reimbursed by us unless we consummate an</w:t>
            </w:r>
          </w:p>
        </w:tc>
      </w:tr>
      <w:tr>
        <w:trPr>
          <w:trHeight w:val="216"/>
        </w:trPr>
        <w:tc>
          <w:tcPr>
            <w:tcW w:w="4040" w:type="dxa"/>
            <w:vAlign w:val="bottom"/>
          </w:tcPr>
          <w:p>
            <w:pPr>
              <w:spacing w:after="0"/>
              <w:rPr>
                <w:sz w:val="18"/>
                <w:szCs w:val="18"/>
                <w:color w:val="auto"/>
              </w:rPr>
            </w:pPr>
          </w:p>
        </w:tc>
        <w:tc>
          <w:tcPr>
            <w:tcW w:w="6960" w:type="dxa"/>
            <w:vAlign w:val="bottom"/>
            <w:gridSpan w:val="2"/>
          </w:tcPr>
          <w:p>
            <w:pPr>
              <w:ind w:left="480"/>
              <w:spacing w:after="0"/>
              <w:rPr>
                <w:sz w:val="20"/>
                <w:szCs w:val="20"/>
                <w:color w:val="auto"/>
              </w:rPr>
            </w:pPr>
            <w:r>
              <w:rPr>
                <w:rFonts w:ascii="Arial" w:cs="Arial" w:eastAsia="Arial" w:hAnsi="Arial"/>
                <w:sz w:val="18"/>
                <w:szCs w:val="18"/>
                <w:color w:val="auto"/>
                <w:w w:val="98"/>
              </w:rPr>
              <w:t>initial  business  combination.  Our  audit  committee  will  review  and  approve  all</w:t>
            </w:r>
          </w:p>
        </w:tc>
      </w:tr>
      <w:tr>
        <w:trPr>
          <w:trHeight w:val="216"/>
        </w:trPr>
        <w:tc>
          <w:tcPr>
            <w:tcW w:w="4040" w:type="dxa"/>
            <w:vAlign w:val="bottom"/>
          </w:tcPr>
          <w:p>
            <w:pPr>
              <w:spacing w:after="0"/>
              <w:rPr>
                <w:sz w:val="18"/>
                <w:szCs w:val="18"/>
                <w:color w:val="auto"/>
              </w:rPr>
            </w:pPr>
          </w:p>
        </w:tc>
        <w:tc>
          <w:tcPr>
            <w:tcW w:w="6960" w:type="dxa"/>
            <w:vAlign w:val="bottom"/>
            <w:gridSpan w:val="2"/>
          </w:tcPr>
          <w:p>
            <w:pPr>
              <w:ind w:left="480"/>
              <w:spacing w:after="0"/>
              <w:rPr>
                <w:sz w:val="20"/>
                <w:szCs w:val="20"/>
                <w:color w:val="auto"/>
              </w:rPr>
            </w:pPr>
            <w:r>
              <w:rPr>
                <w:rFonts w:ascii="Arial" w:cs="Arial" w:eastAsia="Arial" w:hAnsi="Arial"/>
                <w:sz w:val="18"/>
                <w:szCs w:val="18"/>
                <w:color w:val="auto"/>
              </w:rPr>
              <w:t>reimbursements and payments made to any initial stockholder or member of our</w:t>
            </w:r>
          </w:p>
        </w:tc>
      </w:tr>
      <w:tr>
        <w:trPr>
          <w:trHeight w:val="216"/>
        </w:trPr>
        <w:tc>
          <w:tcPr>
            <w:tcW w:w="4040" w:type="dxa"/>
            <w:vAlign w:val="bottom"/>
          </w:tcPr>
          <w:p>
            <w:pPr>
              <w:spacing w:after="0"/>
              <w:rPr>
                <w:sz w:val="18"/>
                <w:szCs w:val="18"/>
                <w:color w:val="auto"/>
              </w:rPr>
            </w:pPr>
          </w:p>
        </w:tc>
        <w:tc>
          <w:tcPr>
            <w:tcW w:w="6960" w:type="dxa"/>
            <w:vAlign w:val="bottom"/>
            <w:gridSpan w:val="2"/>
          </w:tcPr>
          <w:p>
            <w:pPr>
              <w:ind w:left="480"/>
              <w:spacing w:after="0"/>
              <w:rPr>
                <w:sz w:val="20"/>
                <w:szCs w:val="20"/>
                <w:color w:val="auto"/>
              </w:rPr>
            </w:pPr>
            <w:r>
              <w:rPr>
                <w:rFonts w:ascii="Arial" w:cs="Arial" w:eastAsia="Arial" w:hAnsi="Arial"/>
                <w:sz w:val="18"/>
                <w:szCs w:val="18"/>
                <w:color w:val="auto"/>
                <w:w w:val="92"/>
              </w:rPr>
              <w:t>management team, or their respective affiliates, and any reimbursements and payments</w:t>
            </w:r>
          </w:p>
        </w:tc>
      </w:tr>
      <w:tr>
        <w:trPr>
          <w:trHeight w:val="216"/>
        </w:trPr>
        <w:tc>
          <w:tcPr>
            <w:tcW w:w="4040" w:type="dxa"/>
            <w:vAlign w:val="bottom"/>
          </w:tcPr>
          <w:p>
            <w:pPr>
              <w:spacing w:after="0"/>
              <w:rPr>
                <w:sz w:val="18"/>
                <w:szCs w:val="18"/>
                <w:color w:val="auto"/>
              </w:rPr>
            </w:pPr>
          </w:p>
        </w:tc>
        <w:tc>
          <w:tcPr>
            <w:tcW w:w="6960" w:type="dxa"/>
            <w:vAlign w:val="bottom"/>
            <w:gridSpan w:val="2"/>
          </w:tcPr>
          <w:p>
            <w:pPr>
              <w:ind w:left="480"/>
              <w:spacing w:after="0"/>
              <w:rPr>
                <w:sz w:val="20"/>
                <w:szCs w:val="20"/>
                <w:color w:val="auto"/>
              </w:rPr>
            </w:pPr>
            <w:r>
              <w:rPr>
                <w:rFonts w:ascii="Arial" w:cs="Arial" w:eastAsia="Arial" w:hAnsi="Arial"/>
                <w:sz w:val="18"/>
                <w:szCs w:val="18"/>
                <w:color w:val="auto"/>
                <w:w w:val="92"/>
              </w:rPr>
              <w:t>made to members of our audit committee will be reviewed and approved by our board of</w:t>
            </w:r>
          </w:p>
        </w:tc>
      </w:tr>
      <w:tr>
        <w:trPr>
          <w:trHeight w:val="230"/>
        </w:trPr>
        <w:tc>
          <w:tcPr>
            <w:tcW w:w="4040" w:type="dxa"/>
            <w:vAlign w:val="bottom"/>
          </w:tcPr>
          <w:p>
            <w:pPr>
              <w:spacing w:after="0"/>
              <w:rPr>
                <w:sz w:val="20"/>
                <w:szCs w:val="20"/>
                <w:color w:val="auto"/>
              </w:rPr>
            </w:pPr>
          </w:p>
        </w:tc>
        <w:tc>
          <w:tcPr>
            <w:tcW w:w="6960" w:type="dxa"/>
            <w:vAlign w:val="bottom"/>
            <w:gridSpan w:val="2"/>
          </w:tcPr>
          <w:p>
            <w:pPr>
              <w:ind w:left="480"/>
              <w:spacing w:after="0"/>
              <w:rPr>
                <w:sz w:val="20"/>
                <w:szCs w:val="20"/>
                <w:color w:val="auto"/>
              </w:rPr>
            </w:pPr>
            <w:r>
              <w:rPr>
                <w:rFonts w:ascii="Arial" w:cs="Arial" w:eastAsia="Arial" w:hAnsi="Arial"/>
                <w:sz w:val="18"/>
                <w:szCs w:val="18"/>
                <w:color w:val="auto"/>
              </w:rPr>
              <w:t>directors, with any interested director abstaining from such review and approval.</w:t>
            </w:r>
          </w:p>
        </w:tc>
      </w:tr>
      <w:tr>
        <w:trPr>
          <w:trHeight w:val="418"/>
        </w:trPr>
        <w:tc>
          <w:tcPr>
            <w:tcW w:w="4040" w:type="dxa"/>
            <w:vAlign w:val="bottom"/>
          </w:tcPr>
          <w:p>
            <w:pPr>
              <w:spacing w:after="0"/>
              <w:rPr>
                <w:sz w:val="20"/>
                <w:szCs w:val="20"/>
                <w:color w:val="auto"/>
              </w:rPr>
            </w:pPr>
            <w:r>
              <w:rPr>
                <w:rFonts w:ascii="Arial" w:cs="Arial" w:eastAsia="Arial" w:hAnsi="Arial"/>
                <w:sz w:val="18"/>
                <w:szCs w:val="18"/>
                <w:b w:val="1"/>
                <w:bCs w:val="1"/>
                <w:color w:val="auto"/>
              </w:rPr>
              <w:t>Transfer Restriction on Founder Shares</w:t>
            </w:r>
          </w:p>
        </w:tc>
        <w:tc>
          <w:tcPr>
            <w:tcW w:w="6960" w:type="dxa"/>
            <w:vAlign w:val="bottom"/>
            <w:gridSpan w:val="2"/>
          </w:tcPr>
          <w:p>
            <w:pPr>
              <w:ind w:left="480"/>
              <w:spacing w:after="0"/>
              <w:rPr>
                <w:sz w:val="20"/>
                <w:szCs w:val="20"/>
                <w:color w:val="auto"/>
              </w:rPr>
            </w:pPr>
            <w:r>
              <w:rPr>
                <w:rFonts w:ascii="Arial" w:cs="Arial" w:eastAsia="Arial" w:hAnsi="Arial"/>
                <w:sz w:val="18"/>
                <w:szCs w:val="18"/>
                <w:color w:val="auto"/>
                <w:w w:val="92"/>
              </w:rPr>
              <w:t>Except as described herein, our sponsor and our management team have agreed not to</w:t>
            </w:r>
          </w:p>
        </w:tc>
      </w:tr>
      <w:tr>
        <w:trPr>
          <w:trHeight w:val="216"/>
        </w:trPr>
        <w:tc>
          <w:tcPr>
            <w:tcW w:w="4040" w:type="dxa"/>
            <w:vAlign w:val="bottom"/>
          </w:tcPr>
          <w:p>
            <w:pPr>
              <w:spacing w:after="0"/>
              <w:rPr>
                <w:sz w:val="18"/>
                <w:szCs w:val="18"/>
                <w:color w:val="auto"/>
              </w:rPr>
            </w:pPr>
          </w:p>
        </w:tc>
        <w:tc>
          <w:tcPr>
            <w:tcW w:w="6960" w:type="dxa"/>
            <w:vAlign w:val="bottom"/>
            <w:gridSpan w:val="2"/>
          </w:tcPr>
          <w:p>
            <w:pPr>
              <w:ind w:left="480"/>
              <w:spacing w:after="0"/>
              <w:rPr>
                <w:sz w:val="20"/>
                <w:szCs w:val="20"/>
                <w:color w:val="auto"/>
              </w:rPr>
            </w:pPr>
            <w:r>
              <w:rPr>
                <w:rFonts w:ascii="Arial" w:cs="Arial" w:eastAsia="Arial" w:hAnsi="Arial"/>
                <w:sz w:val="18"/>
                <w:szCs w:val="18"/>
                <w:color w:val="auto"/>
                <w:w w:val="93"/>
              </w:rPr>
              <w:t>transfer, assign or sell any of their founder shares until the earliest of (A) one year after</w:t>
            </w:r>
          </w:p>
        </w:tc>
      </w:tr>
      <w:tr>
        <w:trPr>
          <w:trHeight w:val="216"/>
        </w:trPr>
        <w:tc>
          <w:tcPr>
            <w:tcW w:w="4040" w:type="dxa"/>
            <w:vAlign w:val="bottom"/>
          </w:tcPr>
          <w:p>
            <w:pPr>
              <w:spacing w:after="0"/>
              <w:rPr>
                <w:sz w:val="18"/>
                <w:szCs w:val="18"/>
                <w:color w:val="auto"/>
              </w:rPr>
            </w:pPr>
          </w:p>
        </w:tc>
        <w:tc>
          <w:tcPr>
            <w:tcW w:w="6960" w:type="dxa"/>
            <w:vAlign w:val="bottom"/>
            <w:gridSpan w:val="2"/>
          </w:tcPr>
          <w:p>
            <w:pPr>
              <w:ind w:left="480"/>
              <w:spacing w:after="0"/>
              <w:rPr>
                <w:sz w:val="20"/>
                <w:szCs w:val="20"/>
                <w:color w:val="auto"/>
              </w:rPr>
            </w:pPr>
            <w:r>
              <w:rPr>
                <w:rFonts w:ascii="Arial" w:cs="Arial" w:eastAsia="Arial" w:hAnsi="Arial"/>
                <w:sz w:val="18"/>
                <w:szCs w:val="18"/>
                <w:color w:val="auto"/>
                <w:w w:val="99"/>
              </w:rPr>
              <w:t>the completion of our initial business combination and (B) subsequent to our initial</w:t>
            </w:r>
          </w:p>
        </w:tc>
      </w:tr>
      <w:tr>
        <w:trPr>
          <w:trHeight w:val="216"/>
        </w:trPr>
        <w:tc>
          <w:tcPr>
            <w:tcW w:w="4040" w:type="dxa"/>
            <w:vAlign w:val="bottom"/>
          </w:tcPr>
          <w:p>
            <w:pPr>
              <w:spacing w:after="0"/>
              <w:rPr>
                <w:sz w:val="18"/>
                <w:szCs w:val="18"/>
                <w:color w:val="auto"/>
              </w:rPr>
            </w:pPr>
          </w:p>
        </w:tc>
        <w:tc>
          <w:tcPr>
            <w:tcW w:w="6960" w:type="dxa"/>
            <w:vAlign w:val="bottom"/>
            <w:gridSpan w:val="2"/>
          </w:tcPr>
          <w:p>
            <w:pPr>
              <w:ind w:left="480"/>
              <w:spacing w:after="0"/>
              <w:rPr>
                <w:sz w:val="20"/>
                <w:szCs w:val="20"/>
                <w:color w:val="auto"/>
              </w:rPr>
            </w:pPr>
            <w:r>
              <w:rPr>
                <w:rFonts w:ascii="Arial" w:cs="Arial" w:eastAsia="Arial" w:hAnsi="Arial"/>
                <w:sz w:val="18"/>
                <w:szCs w:val="18"/>
                <w:color w:val="auto"/>
                <w:w w:val="95"/>
              </w:rPr>
              <w:t>business combination, (x) if the closing price of our common stock equals or exceeds</w:t>
            </w:r>
          </w:p>
        </w:tc>
      </w:tr>
      <w:tr>
        <w:trPr>
          <w:trHeight w:val="216"/>
        </w:trPr>
        <w:tc>
          <w:tcPr>
            <w:tcW w:w="4040" w:type="dxa"/>
            <w:vAlign w:val="bottom"/>
          </w:tcPr>
          <w:p>
            <w:pPr>
              <w:spacing w:after="0"/>
              <w:rPr>
                <w:sz w:val="18"/>
                <w:szCs w:val="18"/>
                <w:color w:val="auto"/>
              </w:rPr>
            </w:pPr>
          </w:p>
        </w:tc>
        <w:tc>
          <w:tcPr>
            <w:tcW w:w="6960" w:type="dxa"/>
            <w:vAlign w:val="bottom"/>
            <w:gridSpan w:val="2"/>
          </w:tcPr>
          <w:p>
            <w:pPr>
              <w:ind w:left="480"/>
              <w:spacing w:after="0"/>
              <w:rPr>
                <w:sz w:val="20"/>
                <w:szCs w:val="20"/>
                <w:color w:val="auto"/>
              </w:rPr>
            </w:pPr>
            <w:r>
              <w:rPr>
                <w:rFonts w:ascii="Arial" w:cs="Arial" w:eastAsia="Arial" w:hAnsi="Arial"/>
                <w:sz w:val="18"/>
                <w:szCs w:val="18"/>
                <w:color w:val="auto"/>
                <w:w w:val="96"/>
              </w:rPr>
              <w:t>$12.00 per share (as adjusted for share splits, share capitalizations, reorganizations,</w:t>
            </w:r>
          </w:p>
        </w:tc>
      </w:tr>
      <w:tr>
        <w:trPr>
          <w:trHeight w:val="216"/>
        </w:trPr>
        <w:tc>
          <w:tcPr>
            <w:tcW w:w="4040" w:type="dxa"/>
            <w:vAlign w:val="bottom"/>
          </w:tcPr>
          <w:p>
            <w:pPr>
              <w:spacing w:after="0"/>
              <w:rPr>
                <w:sz w:val="18"/>
                <w:szCs w:val="18"/>
                <w:color w:val="auto"/>
              </w:rPr>
            </w:pPr>
          </w:p>
        </w:tc>
        <w:tc>
          <w:tcPr>
            <w:tcW w:w="6960" w:type="dxa"/>
            <w:vAlign w:val="bottom"/>
            <w:gridSpan w:val="2"/>
          </w:tcPr>
          <w:p>
            <w:pPr>
              <w:ind w:left="480"/>
              <w:spacing w:after="0"/>
              <w:rPr>
                <w:sz w:val="20"/>
                <w:szCs w:val="20"/>
                <w:color w:val="auto"/>
              </w:rPr>
            </w:pPr>
            <w:r>
              <w:rPr>
                <w:rFonts w:ascii="Arial" w:cs="Arial" w:eastAsia="Arial" w:hAnsi="Arial"/>
                <w:sz w:val="18"/>
                <w:szCs w:val="18"/>
                <w:color w:val="auto"/>
                <w:w w:val="94"/>
              </w:rPr>
              <w:t>recapitalizations and the like) for any 20 trading days within any 30-trading day period</w:t>
            </w:r>
          </w:p>
        </w:tc>
      </w:tr>
      <w:tr>
        <w:trPr>
          <w:trHeight w:val="216"/>
        </w:trPr>
        <w:tc>
          <w:tcPr>
            <w:tcW w:w="4040" w:type="dxa"/>
            <w:vAlign w:val="bottom"/>
          </w:tcPr>
          <w:p>
            <w:pPr>
              <w:spacing w:after="0"/>
              <w:rPr>
                <w:sz w:val="18"/>
                <w:szCs w:val="18"/>
                <w:color w:val="auto"/>
              </w:rPr>
            </w:pPr>
          </w:p>
        </w:tc>
        <w:tc>
          <w:tcPr>
            <w:tcW w:w="6960" w:type="dxa"/>
            <w:vAlign w:val="bottom"/>
            <w:gridSpan w:val="2"/>
          </w:tcPr>
          <w:p>
            <w:pPr>
              <w:ind w:left="480"/>
              <w:spacing w:after="0"/>
              <w:rPr>
                <w:sz w:val="20"/>
                <w:szCs w:val="20"/>
                <w:color w:val="auto"/>
              </w:rPr>
            </w:pPr>
            <w:r>
              <w:rPr>
                <w:rFonts w:ascii="Arial" w:cs="Arial" w:eastAsia="Arial" w:hAnsi="Arial"/>
                <w:sz w:val="18"/>
                <w:szCs w:val="18"/>
                <w:color w:val="auto"/>
                <w:w w:val="94"/>
              </w:rPr>
              <w:t>commencing at least 150 days after our initial business combination, or (y) the date on</w:t>
            </w:r>
          </w:p>
        </w:tc>
      </w:tr>
      <w:tr>
        <w:trPr>
          <w:trHeight w:val="216"/>
        </w:trPr>
        <w:tc>
          <w:tcPr>
            <w:tcW w:w="4040" w:type="dxa"/>
            <w:vAlign w:val="bottom"/>
          </w:tcPr>
          <w:p>
            <w:pPr>
              <w:spacing w:after="0"/>
              <w:rPr>
                <w:sz w:val="18"/>
                <w:szCs w:val="18"/>
                <w:color w:val="auto"/>
              </w:rPr>
            </w:pPr>
          </w:p>
        </w:tc>
        <w:tc>
          <w:tcPr>
            <w:tcW w:w="6960" w:type="dxa"/>
            <w:vAlign w:val="bottom"/>
            <w:gridSpan w:val="2"/>
          </w:tcPr>
          <w:p>
            <w:pPr>
              <w:ind w:left="480"/>
              <w:spacing w:after="0"/>
              <w:rPr>
                <w:sz w:val="20"/>
                <w:szCs w:val="20"/>
                <w:color w:val="auto"/>
              </w:rPr>
            </w:pPr>
            <w:r>
              <w:rPr>
                <w:rFonts w:ascii="Arial" w:cs="Arial" w:eastAsia="Arial" w:hAnsi="Arial"/>
                <w:sz w:val="18"/>
                <w:szCs w:val="18"/>
                <w:color w:val="auto"/>
                <w:w w:val="91"/>
              </w:rPr>
              <w:t>which we complete a liquidation, merger, share exchange, reorganization or other similar</w:t>
            </w:r>
          </w:p>
        </w:tc>
      </w:tr>
      <w:tr>
        <w:trPr>
          <w:trHeight w:val="216"/>
        </w:trPr>
        <w:tc>
          <w:tcPr>
            <w:tcW w:w="4040" w:type="dxa"/>
            <w:vAlign w:val="bottom"/>
          </w:tcPr>
          <w:p>
            <w:pPr>
              <w:spacing w:after="0"/>
              <w:rPr>
                <w:sz w:val="18"/>
                <w:szCs w:val="18"/>
                <w:color w:val="auto"/>
              </w:rPr>
            </w:pPr>
          </w:p>
        </w:tc>
        <w:tc>
          <w:tcPr>
            <w:tcW w:w="6960" w:type="dxa"/>
            <w:vAlign w:val="bottom"/>
            <w:gridSpan w:val="2"/>
          </w:tcPr>
          <w:p>
            <w:pPr>
              <w:ind w:left="480"/>
              <w:spacing w:after="0"/>
              <w:rPr>
                <w:sz w:val="20"/>
                <w:szCs w:val="20"/>
                <w:color w:val="auto"/>
              </w:rPr>
            </w:pPr>
            <w:r>
              <w:rPr>
                <w:rFonts w:ascii="Arial" w:cs="Arial" w:eastAsia="Arial" w:hAnsi="Arial"/>
                <w:sz w:val="18"/>
                <w:szCs w:val="18"/>
                <w:color w:val="auto"/>
                <w:w w:val="91"/>
              </w:rPr>
              <w:t>transaction that results in all of our public shareholders having the right to exchange their</w:t>
            </w:r>
          </w:p>
        </w:tc>
      </w:tr>
      <w:tr>
        <w:trPr>
          <w:trHeight w:val="216"/>
        </w:trPr>
        <w:tc>
          <w:tcPr>
            <w:tcW w:w="4040" w:type="dxa"/>
            <w:vAlign w:val="bottom"/>
          </w:tcPr>
          <w:p>
            <w:pPr>
              <w:spacing w:after="0"/>
              <w:rPr>
                <w:sz w:val="18"/>
                <w:szCs w:val="18"/>
                <w:color w:val="auto"/>
              </w:rPr>
            </w:pPr>
          </w:p>
        </w:tc>
        <w:tc>
          <w:tcPr>
            <w:tcW w:w="6960" w:type="dxa"/>
            <w:vAlign w:val="bottom"/>
            <w:gridSpan w:val="2"/>
          </w:tcPr>
          <w:p>
            <w:pPr>
              <w:ind w:left="480"/>
              <w:spacing w:after="0"/>
              <w:rPr>
                <w:sz w:val="20"/>
                <w:szCs w:val="20"/>
                <w:color w:val="auto"/>
              </w:rPr>
            </w:pPr>
            <w:r>
              <w:rPr>
                <w:rFonts w:ascii="Arial" w:cs="Arial" w:eastAsia="Arial" w:hAnsi="Arial"/>
                <w:sz w:val="18"/>
                <w:szCs w:val="18"/>
                <w:color w:val="auto"/>
                <w:w w:val="91"/>
              </w:rPr>
              <w:t>shares of common stock for cash, securities or other property. Any permitted transferees</w:t>
            </w:r>
          </w:p>
        </w:tc>
      </w:tr>
      <w:tr>
        <w:trPr>
          <w:trHeight w:val="216"/>
        </w:trPr>
        <w:tc>
          <w:tcPr>
            <w:tcW w:w="4040" w:type="dxa"/>
            <w:vAlign w:val="bottom"/>
          </w:tcPr>
          <w:p>
            <w:pPr>
              <w:spacing w:after="0"/>
              <w:rPr>
                <w:sz w:val="18"/>
                <w:szCs w:val="18"/>
                <w:color w:val="auto"/>
              </w:rPr>
            </w:pPr>
          </w:p>
        </w:tc>
        <w:tc>
          <w:tcPr>
            <w:tcW w:w="6960" w:type="dxa"/>
            <w:vAlign w:val="bottom"/>
            <w:gridSpan w:val="2"/>
          </w:tcPr>
          <w:p>
            <w:pPr>
              <w:ind w:left="480"/>
              <w:spacing w:after="0"/>
              <w:rPr>
                <w:sz w:val="20"/>
                <w:szCs w:val="20"/>
                <w:color w:val="auto"/>
              </w:rPr>
            </w:pPr>
            <w:r>
              <w:rPr>
                <w:rFonts w:ascii="Arial" w:cs="Arial" w:eastAsia="Arial" w:hAnsi="Arial"/>
                <w:sz w:val="18"/>
                <w:szCs w:val="18"/>
                <w:color w:val="auto"/>
                <w:w w:val="97"/>
              </w:rPr>
              <w:t>would be subject to the same restrictions and other agreements of our sponsor and</w:t>
            </w:r>
          </w:p>
        </w:tc>
      </w:tr>
      <w:tr>
        <w:trPr>
          <w:trHeight w:val="230"/>
        </w:trPr>
        <w:tc>
          <w:tcPr>
            <w:tcW w:w="4040" w:type="dxa"/>
            <w:vAlign w:val="bottom"/>
          </w:tcPr>
          <w:p>
            <w:pPr>
              <w:spacing w:after="0"/>
              <w:rPr>
                <w:sz w:val="20"/>
                <w:szCs w:val="20"/>
                <w:color w:val="auto"/>
              </w:rPr>
            </w:pPr>
          </w:p>
        </w:tc>
        <w:tc>
          <w:tcPr>
            <w:tcW w:w="6960" w:type="dxa"/>
            <w:vAlign w:val="bottom"/>
            <w:gridSpan w:val="2"/>
          </w:tcPr>
          <w:p>
            <w:pPr>
              <w:ind w:left="480"/>
              <w:spacing w:after="0"/>
              <w:rPr>
                <w:sz w:val="20"/>
                <w:szCs w:val="20"/>
                <w:color w:val="auto"/>
              </w:rPr>
            </w:pPr>
            <w:r>
              <w:rPr>
                <w:rFonts w:ascii="Arial" w:cs="Arial" w:eastAsia="Arial" w:hAnsi="Arial"/>
                <w:sz w:val="18"/>
                <w:szCs w:val="18"/>
                <w:color w:val="auto"/>
              </w:rPr>
              <w:t>management team with respect to any founder shares.</w:t>
            </w:r>
          </w:p>
        </w:tc>
      </w:tr>
      <w:tr>
        <w:trPr>
          <w:trHeight w:val="418"/>
        </w:trPr>
        <w:tc>
          <w:tcPr>
            <w:tcW w:w="4040" w:type="dxa"/>
            <w:vAlign w:val="bottom"/>
          </w:tcPr>
          <w:p>
            <w:pPr>
              <w:spacing w:after="0"/>
              <w:rPr>
                <w:sz w:val="20"/>
                <w:szCs w:val="20"/>
                <w:color w:val="auto"/>
              </w:rPr>
            </w:pPr>
            <w:r>
              <w:rPr>
                <w:rFonts w:ascii="Arial" w:cs="Arial" w:eastAsia="Arial" w:hAnsi="Arial"/>
                <w:sz w:val="18"/>
                <w:szCs w:val="18"/>
                <w:b w:val="1"/>
                <w:bCs w:val="1"/>
                <w:color w:val="auto"/>
                <w:w w:val="99"/>
              </w:rPr>
              <w:t>Potential revisions to agreements with insiders</w:t>
            </w:r>
          </w:p>
        </w:tc>
        <w:tc>
          <w:tcPr>
            <w:tcW w:w="6960" w:type="dxa"/>
            <w:vAlign w:val="bottom"/>
            <w:gridSpan w:val="2"/>
          </w:tcPr>
          <w:p>
            <w:pPr>
              <w:ind w:left="480"/>
              <w:spacing w:after="0"/>
              <w:rPr>
                <w:sz w:val="20"/>
                <w:szCs w:val="20"/>
                <w:color w:val="auto"/>
              </w:rPr>
            </w:pPr>
            <w:r>
              <w:rPr>
                <w:rFonts w:ascii="Arial" w:cs="Arial" w:eastAsia="Arial" w:hAnsi="Arial"/>
                <w:sz w:val="18"/>
                <w:szCs w:val="18"/>
                <w:color w:val="auto"/>
                <w:w w:val="90"/>
              </w:rPr>
              <w:t>We could seek to amend certain agreements made by our management team disclosed in</w:t>
            </w:r>
          </w:p>
        </w:tc>
      </w:tr>
      <w:tr>
        <w:trPr>
          <w:trHeight w:val="216"/>
        </w:trPr>
        <w:tc>
          <w:tcPr>
            <w:tcW w:w="4040" w:type="dxa"/>
            <w:vAlign w:val="bottom"/>
          </w:tcPr>
          <w:p>
            <w:pPr>
              <w:spacing w:after="0"/>
              <w:rPr>
                <w:sz w:val="18"/>
                <w:szCs w:val="18"/>
                <w:color w:val="auto"/>
              </w:rPr>
            </w:pPr>
          </w:p>
        </w:tc>
        <w:tc>
          <w:tcPr>
            <w:tcW w:w="6960" w:type="dxa"/>
            <w:vAlign w:val="bottom"/>
            <w:gridSpan w:val="2"/>
          </w:tcPr>
          <w:p>
            <w:pPr>
              <w:ind w:left="480"/>
              <w:spacing w:after="0"/>
              <w:rPr>
                <w:sz w:val="20"/>
                <w:szCs w:val="20"/>
                <w:color w:val="auto"/>
              </w:rPr>
            </w:pPr>
            <w:r>
              <w:rPr>
                <w:rFonts w:ascii="Arial" w:cs="Arial" w:eastAsia="Arial" w:hAnsi="Arial"/>
                <w:sz w:val="18"/>
                <w:szCs w:val="18"/>
                <w:color w:val="auto"/>
                <w:w w:val="91"/>
              </w:rPr>
              <w:t>this prospectus without the approval of stockholders, although we have no intention to do</w:t>
            </w:r>
          </w:p>
        </w:tc>
      </w:tr>
      <w:tr>
        <w:trPr>
          <w:trHeight w:val="216"/>
        </w:trPr>
        <w:tc>
          <w:tcPr>
            <w:tcW w:w="4040" w:type="dxa"/>
            <w:vAlign w:val="bottom"/>
          </w:tcPr>
          <w:p>
            <w:pPr>
              <w:spacing w:after="0"/>
              <w:rPr>
                <w:sz w:val="18"/>
                <w:szCs w:val="18"/>
                <w:color w:val="auto"/>
              </w:rPr>
            </w:pPr>
          </w:p>
        </w:tc>
        <w:tc>
          <w:tcPr>
            <w:tcW w:w="6960" w:type="dxa"/>
            <w:vAlign w:val="bottom"/>
            <w:gridSpan w:val="2"/>
          </w:tcPr>
          <w:p>
            <w:pPr>
              <w:ind w:left="480"/>
              <w:spacing w:after="0"/>
              <w:rPr>
                <w:sz w:val="20"/>
                <w:szCs w:val="20"/>
                <w:color w:val="auto"/>
              </w:rPr>
            </w:pPr>
            <w:r>
              <w:rPr>
                <w:rFonts w:ascii="Arial" w:cs="Arial" w:eastAsia="Arial" w:hAnsi="Arial"/>
                <w:sz w:val="18"/>
                <w:szCs w:val="18"/>
                <w:color w:val="auto"/>
                <w:w w:val="92"/>
              </w:rPr>
              <w:t>so. For example, restrictions on our executives relating to the voting of securities owned</w:t>
            </w:r>
          </w:p>
        </w:tc>
      </w:tr>
      <w:tr>
        <w:trPr>
          <w:trHeight w:val="216"/>
        </w:trPr>
        <w:tc>
          <w:tcPr>
            <w:tcW w:w="4040" w:type="dxa"/>
            <w:vAlign w:val="bottom"/>
          </w:tcPr>
          <w:p>
            <w:pPr>
              <w:spacing w:after="0"/>
              <w:rPr>
                <w:sz w:val="18"/>
                <w:szCs w:val="18"/>
                <w:color w:val="auto"/>
              </w:rPr>
            </w:pPr>
          </w:p>
        </w:tc>
        <w:tc>
          <w:tcPr>
            <w:tcW w:w="6960" w:type="dxa"/>
            <w:vAlign w:val="bottom"/>
            <w:gridSpan w:val="2"/>
          </w:tcPr>
          <w:p>
            <w:pPr>
              <w:ind w:left="480"/>
              <w:spacing w:after="0"/>
              <w:rPr>
                <w:sz w:val="20"/>
                <w:szCs w:val="20"/>
                <w:color w:val="auto"/>
              </w:rPr>
            </w:pPr>
            <w:r>
              <w:rPr>
                <w:rFonts w:ascii="Arial" w:cs="Arial" w:eastAsia="Arial" w:hAnsi="Arial"/>
                <w:sz w:val="18"/>
                <w:szCs w:val="18"/>
                <w:color w:val="auto"/>
                <w:w w:val="92"/>
              </w:rPr>
              <w:t>by them, the agreement of our management team to remain with us until the closing of a</w:t>
            </w:r>
          </w:p>
        </w:tc>
      </w:tr>
      <w:tr>
        <w:trPr>
          <w:trHeight w:val="216"/>
        </w:trPr>
        <w:tc>
          <w:tcPr>
            <w:tcW w:w="4040" w:type="dxa"/>
            <w:vAlign w:val="bottom"/>
          </w:tcPr>
          <w:p>
            <w:pPr>
              <w:spacing w:after="0"/>
              <w:rPr>
                <w:sz w:val="18"/>
                <w:szCs w:val="18"/>
                <w:color w:val="auto"/>
              </w:rPr>
            </w:pPr>
          </w:p>
        </w:tc>
        <w:tc>
          <w:tcPr>
            <w:tcW w:w="6960" w:type="dxa"/>
            <w:vAlign w:val="bottom"/>
            <w:gridSpan w:val="2"/>
          </w:tcPr>
          <w:p>
            <w:pPr>
              <w:ind w:left="480"/>
              <w:spacing w:after="0"/>
              <w:rPr>
                <w:sz w:val="20"/>
                <w:szCs w:val="20"/>
                <w:color w:val="auto"/>
              </w:rPr>
            </w:pPr>
            <w:r>
              <w:rPr>
                <w:rFonts w:ascii="Arial" w:cs="Arial" w:eastAsia="Arial" w:hAnsi="Arial"/>
                <w:sz w:val="18"/>
                <w:szCs w:val="18"/>
                <w:color w:val="auto"/>
                <w:w w:val="95"/>
              </w:rPr>
              <w:t>business combination, the obligation of our management team to not propose certain</w:t>
            </w:r>
          </w:p>
        </w:tc>
      </w:tr>
      <w:tr>
        <w:trPr>
          <w:trHeight w:val="216"/>
        </w:trPr>
        <w:tc>
          <w:tcPr>
            <w:tcW w:w="4040" w:type="dxa"/>
            <w:vAlign w:val="bottom"/>
          </w:tcPr>
          <w:p>
            <w:pPr>
              <w:spacing w:after="0"/>
              <w:rPr>
                <w:sz w:val="18"/>
                <w:szCs w:val="18"/>
                <w:color w:val="auto"/>
              </w:rPr>
            </w:pPr>
          </w:p>
        </w:tc>
        <w:tc>
          <w:tcPr>
            <w:tcW w:w="6960" w:type="dxa"/>
            <w:vAlign w:val="bottom"/>
            <w:gridSpan w:val="2"/>
          </w:tcPr>
          <w:p>
            <w:pPr>
              <w:ind w:left="480"/>
              <w:spacing w:after="0"/>
              <w:rPr>
                <w:sz w:val="20"/>
                <w:szCs w:val="20"/>
                <w:color w:val="auto"/>
              </w:rPr>
            </w:pPr>
            <w:r>
              <w:rPr>
                <w:rFonts w:ascii="Arial" w:cs="Arial" w:eastAsia="Arial" w:hAnsi="Arial"/>
                <w:sz w:val="18"/>
                <w:szCs w:val="18"/>
                <w:color w:val="auto"/>
                <w:w w:val="91"/>
              </w:rPr>
              <w:t>changes to our organizational documents or the obligation of the management team and</w:t>
            </w:r>
          </w:p>
        </w:tc>
      </w:tr>
      <w:tr>
        <w:trPr>
          <w:trHeight w:val="216"/>
        </w:trPr>
        <w:tc>
          <w:tcPr>
            <w:tcW w:w="4040" w:type="dxa"/>
            <w:vAlign w:val="bottom"/>
          </w:tcPr>
          <w:p>
            <w:pPr>
              <w:spacing w:after="0"/>
              <w:rPr>
                <w:sz w:val="18"/>
                <w:szCs w:val="18"/>
                <w:color w:val="auto"/>
              </w:rPr>
            </w:pPr>
          </w:p>
        </w:tc>
        <w:tc>
          <w:tcPr>
            <w:tcW w:w="6960" w:type="dxa"/>
            <w:vAlign w:val="bottom"/>
            <w:gridSpan w:val="2"/>
          </w:tcPr>
          <w:p>
            <w:pPr>
              <w:ind w:left="480"/>
              <w:spacing w:after="0"/>
              <w:rPr>
                <w:sz w:val="20"/>
                <w:szCs w:val="20"/>
                <w:color w:val="auto"/>
              </w:rPr>
            </w:pPr>
            <w:r>
              <w:rPr>
                <w:rFonts w:ascii="Arial" w:cs="Arial" w:eastAsia="Arial" w:hAnsi="Arial"/>
                <w:sz w:val="18"/>
                <w:szCs w:val="18"/>
                <w:color w:val="auto"/>
                <w:w w:val="93"/>
              </w:rPr>
              <w:t>its affiliates to not receive any compensation in connection with a business combination</w:t>
            </w:r>
          </w:p>
        </w:tc>
      </w:tr>
      <w:tr>
        <w:trPr>
          <w:trHeight w:val="216"/>
        </w:trPr>
        <w:tc>
          <w:tcPr>
            <w:tcW w:w="4040" w:type="dxa"/>
            <w:vAlign w:val="bottom"/>
          </w:tcPr>
          <w:p>
            <w:pPr>
              <w:spacing w:after="0"/>
              <w:rPr>
                <w:sz w:val="18"/>
                <w:szCs w:val="18"/>
                <w:color w:val="auto"/>
              </w:rPr>
            </w:pPr>
          </w:p>
        </w:tc>
        <w:tc>
          <w:tcPr>
            <w:tcW w:w="6960" w:type="dxa"/>
            <w:vAlign w:val="bottom"/>
            <w:gridSpan w:val="2"/>
          </w:tcPr>
          <w:p>
            <w:pPr>
              <w:ind w:left="480"/>
              <w:spacing w:after="0"/>
              <w:rPr>
                <w:sz w:val="20"/>
                <w:szCs w:val="20"/>
                <w:color w:val="auto"/>
              </w:rPr>
            </w:pPr>
            <w:r>
              <w:rPr>
                <w:rFonts w:ascii="Arial" w:cs="Arial" w:eastAsia="Arial" w:hAnsi="Arial"/>
                <w:sz w:val="18"/>
                <w:szCs w:val="18"/>
                <w:color w:val="auto"/>
                <w:w w:val="93"/>
              </w:rPr>
              <w:t>could be modified without obtaining stockholder approval. Although stockholders would</w:t>
            </w:r>
          </w:p>
        </w:tc>
      </w:tr>
      <w:tr>
        <w:trPr>
          <w:trHeight w:val="216"/>
        </w:trPr>
        <w:tc>
          <w:tcPr>
            <w:tcW w:w="4040" w:type="dxa"/>
            <w:vAlign w:val="bottom"/>
          </w:tcPr>
          <w:p>
            <w:pPr>
              <w:spacing w:after="0"/>
              <w:rPr>
                <w:sz w:val="18"/>
                <w:szCs w:val="18"/>
                <w:color w:val="auto"/>
              </w:rPr>
            </w:pPr>
          </w:p>
        </w:tc>
        <w:tc>
          <w:tcPr>
            <w:tcW w:w="6960" w:type="dxa"/>
            <w:vAlign w:val="bottom"/>
            <w:gridSpan w:val="2"/>
          </w:tcPr>
          <w:p>
            <w:pPr>
              <w:ind w:left="480"/>
              <w:spacing w:after="0"/>
              <w:rPr>
                <w:sz w:val="20"/>
                <w:szCs w:val="20"/>
                <w:color w:val="auto"/>
              </w:rPr>
            </w:pPr>
            <w:r>
              <w:rPr>
                <w:rFonts w:ascii="Arial" w:cs="Arial" w:eastAsia="Arial" w:hAnsi="Arial"/>
                <w:sz w:val="18"/>
                <w:szCs w:val="18"/>
                <w:color w:val="auto"/>
                <w:w w:val="92"/>
              </w:rPr>
              <w:t>not be given the opportunity to redeem their shares in connection with such changes, in</w:t>
            </w:r>
          </w:p>
        </w:tc>
      </w:tr>
      <w:tr>
        <w:trPr>
          <w:trHeight w:val="216"/>
        </w:trPr>
        <w:tc>
          <w:tcPr>
            <w:tcW w:w="4040" w:type="dxa"/>
            <w:vAlign w:val="bottom"/>
          </w:tcPr>
          <w:p>
            <w:pPr>
              <w:spacing w:after="0"/>
              <w:rPr>
                <w:sz w:val="18"/>
                <w:szCs w:val="18"/>
                <w:color w:val="auto"/>
              </w:rPr>
            </w:pPr>
          </w:p>
        </w:tc>
        <w:tc>
          <w:tcPr>
            <w:tcW w:w="6960" w:type="dxa"/>
            <w:vAlign w:val="bottom"/>
            <w:gridSpan w:val="2"/>
          </w:tcPr>
          <w:p>
            <w:pPr>
              <w:ind w:left="480"/>
              <w:spacing w:after="0"/>
              <w:rPr>
                <w:sz w:val="20"/>
                <w:szCs w:val="20"/>
                <w:color w:val="auto"/>
              </w:rPr>
            </w:pPr>
            <w:r>
              <w:rPr>
                <w:rFonts w:ascii="Arial" w:cs="Arial" w:eastAsia="Arial" w:hAnsi="Arial"/>
                <w:sz w:val="18"/>
                <w:szCs w:val="18"/>
                <w:color w:val="auto"/>
              </w:rPr>
              <w:t>no event would we be able to modify the redemption or liquidation rights of our</w:t>
            </w:r>
          </w:p>
        </w:tc>
      </w:tr>
      <w:tr>
        <w:trPr>
          <w:trHeight w:val="216"/>
        </w:trPr>
        <w:tc>
          <w:tcPr>
            <w:tcW w:w="4040" w:type="dxa"/>
            <w:vAlign w:val="bottom"/>
          </w:tcPr>
          <w:p>
            <w:pPr>
              <w:spacing w:after="0"/>
              <w:rPr>
                <w:sz w:val="18"/>
                <w:szCs w:val="18"/>
                <w:color w:val="auto"/>
              </w:rPr>
            </w:pPr>
          </w:p>
        </w:tc>
        <w:tc>
          <w:tcPr>
            <w:tcW w:w="6960" w:type="dxa"/>
            <w:vAlign w:val="bottom"/>
            <w:gridSpan w:val="2"/>
          </w:tcPr>
          <w:p>
            <w:pPr>
              <w:ind w:left="480"/>
              <w:spacing w:after="0"/>
              <w:rPr>
                <w:sz w:val="20"/>
                <w:szCs w:val="20"/>
                <w:color w:val="auto"/>
              </w:rPr>
            </w:pPr>
            <w:r>
              <w:rPr>
                <w:rFonts w:ascii="Arial" w:cs="Arial" w:eastAsia="Arial" w:hAnsi="Arial"/>
                <w:sz w:val="18"/>
                <w:szCs w:val="18"/>
                <w:color w:val="auto"/>
                <w:w w:val="98"/>
              </w:rPr>
              <w:t>stockholders without permitting our stockholders the right to redeem their shares in</w:t>
            </w:r>
          </w:p>
        </w:tc>
      </w:tr>
      <w:tr>
        <w:trPr>
          <w:trHeight w:val="216"/>
        </w:trPr>
        <w:tc>
          <w:tcPr>
            <w:tcW w:w="4040" w:type="dxa"/>
            <w:vAlign w:val="bottom"/>
          </w:tcPr>
          <w:p>
            <w:pPr>
              <w:spacing w:after="0"/>
              <w:rPr>
                <w:sz w:val="18"/>
                <w:szCs w:val="18"/>
                <w:color w:val="auto"/>
              </w:rPr>
            </w:pPr>
          </w:p>
        </w:tc>
        <w:tc>
          <w:tcPr>
            <w:tcW w:w="6960" w:type="dxa"/>
            <w:vAlign w:val="bottom"/>
            <w:gridSpan w:val="2"/>
          </w:tcPr>
          <w:p>
            <w:pPr>
              <w:ind w:left="480"/>
              <w:spacing w:after="0"/>
              <w:rPr>
                <w:sz w:val="20"/>
                <w:szCs w:val="20"/>
                <w:color w:val="auto"/>
              </w:rPr>
            </w:pPr>
            <w:r>
              <w:rPr>
                <w:rFonts w:ascii="Arial" w:cs="Arial" w:eastAsia="Arial" w:hAnsi="Arial"/>
                <w:sz w:val="18"/>
                <w:szCs w:val="18"/>
                <w:color w:val="auto"/>
                <w:w w:val="96"/>
              </w:rPr>
              <w:t>connection with any such change. We will not agree to any such changes unless we</w:t>
            </w:r>
          </w:p>
        </w:tc>
      </w:tr>
      <w:tr>
        <w:trPr>
          <w:trHeight w:val="216"/>
        </w:trPr>
        <w:tc>
          <w:tcPr>
            <w:tcW w:w="4040" w:type="dxa"/>
            <w:vAlign w:val="bottom"/>
          </w:tcPr>
          <w:p>
            <w:pPr>
              <w:spacing w:after="0"/>
              <w:rPr>
                <w:sz w:val="18"/>
                <w:szCs w:val="18"/>
                <w:color w:val="auto"/>
              </w:rPr>
            </w:pPr>
          </w:p>
        </w:tc>
        <w:tc>
          <w:tcPr>
            <w:tcW w:w="6960" w:type="dxa"/>
            <w:vAlign w:val="bottom"/>
            <w:gridSpan w:val="2"/>
          </w:tcPr>
          <w:p>
            <w:pPr>
              <w:ind w:left="480"/>
              <w:spacing w:after="0"/>
              <w:rPr>
                <w:sz w:val="20"/>
                <w:szCs w:val="20"/>
                <w:color w:val="auto"/>
              </w:rPr>
            </w:pPr>
            <w:r>
              <w:rPr>
                <w:rFonts w:ascii="Arial" w:cs="Arial" w:eastAsia="Arial" w:hAnsi="Arial"/>
                <w:sz w:val="18"/>
                <w:szCs w:val="18"/>
                <w:color w:val="auto"/>
                <w:w w:val="91"/>
              </w:rPr>
              <w:t>believed that such changes were in the best interests of our stockholders (for example, if</w:t>
            </w:r>
          </w:p>
        </w:tc>
      </w:tr>
      <w:tr>
        <w:trPr>
          <w:trHeight w:val="230"/>
        </w:trPr>
        <w:tc>
          <w:tcPr>
            <w:tcW w:w="4040" w:type="dxa"/>
            <w:vAlign w:val="bottom"/>
          </w:tcPr>
          <w:p>
            <w:pPr>
              <w:spacing w:after="0"/>
              <w:rPr>
                <w:sz w:val="20"/>
                <w:szCs w:val="20"/>
                <w:color w:val="auto"/>
              </w:rPr>
            </w:pPr>
          </w:p>
        </w:tc>
        <w:tc>
          <w:tcPr>
            <w:tcW w:w="6960" w:type="dxa"/>
            <w:vAlign w:val="bottom"/>
            <w:gridSpan w:val="2"/>
          </w:tcPr>
          <w:p>
            <w:pPr>
              <w:ind w:left="480"/>
              <w:spacing w:after="0"/>
              <w:rPr>
                <w:sz w:val="20"/>
                <w:szCs w:val="20"/>
                <w:color w:val="auto"/>
              </w:rPr>
            </w:pPr>
            <w:r>
              <w:rPr>
                <w:rFonts w:ascii="Arial" w:cs="Arial" w:eastAsia="Arial" w:hAnsi="Arial"/>
                <w:sz w:val="18"/>
                <w:szCs w:val="18"/>
                <w:color w:val="auto"/>
              </w:rPr>
              <w:t>such a modification were necessary to complete a business combination).</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10730" cy="69989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10730" cy="6998970"/>
                    </a:xfrm>
                    <a:prstGeom prst="rect">
                      <a:avLst/>
                    </a:prstGeom>
                    <a:noFill/>
                  </pic:spPr>
                </pic:pic>
              </a:graphicData>
            </a:graphic>
          </wp:anchor>
        </w:drawing>
      </w: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6985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20" w:top="1030" w:right="47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Purchase Commitment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Stockholder approval of, or tender offer in connection with, initial business combination</w:t>
      </w:r>
    </w:p>
    <w:p>
      <w:pPr>
        <w:spacing w:after="0" w:line="20" w:lineRule="exact"/>
        <w:rPr>
          <w:sz w:val="20"/>
          <w:szCs w:val="20"/>
          <w:color w:val="auto"/>
        </w:rPr>
      </w:pPr>
      <w:r>
        <w:rPr>
          <w:sz w:val="20"/>
          <w:szCs w:val="20"/>
          <w:color w:val="auto"/>
        </w:rPr>
        <w:br w:type="column"/>
      </w:r>
    </w:p>
    <w:p>
      <w:pPr>
        <w:jc w:val="both"/>
        <w:spacing w:after="0" w:line="272" w:lineRule="auto"/>
        <w:rPr>
          <w:sz w:val="20"/>
          <w:szCs w:val="20"/>
          <w:color w:val="auto"/>
        </w:rPr>
      </w:pPr>
      <w:r>
        <w:rPr>
          <w:rFonts w:ascii="Arial" w:cs="Arial" w:eastAsia="Arial" w:hAnsi="Arial"/>
          <w:sz w:val="17"/>
          <w:szCs w:val="17"/>
          <w:color w:val="auto"/>
        </w:rPr>
        <w:t>Our sponsor has entered into an agreement with us to purchase at least an aggregate of 2,500,000 shares of common stock for an aggregate purchase price of $25,000,000, or $10.00 per share of common stock, prior to, concurrently with, or following the closing of our business combination in a private placement. The capital from such transaction may be used as part of the consideration to the sellers in our initial business combination, and any excess capital from such private placement would be used for working capital in the post-transaction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-2926080</wp:posOffset>
            </wp:positionH>
            <wp:positionV relativeFrom="paragraph">
              <wp:posOffset>-1169670</wp:posOffset>
            </wp:positionV>
            <wp:extent cx="7110730" cy="54730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10730" cy="5473065"/>
                    </a:xfrm>
                    <a:prstGeom prst="rect">
                      <a:avLst/>
                    </a:prstGeom>
                    <a:noFill/>
                  </pic:spPr>
                </pic:pic>
              </a:graphicData>
            </a:graphic>
          </wp:anchor>
        </w:drawing>
      </w:r>
    </w:p>
    <w:p>
      <w:pPr>
        <w:spacing w:after="0" w:line="157"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In connection with any proposed initial business combination, we will either (1) seek stockholder approval of such initial business combination at a meeting called for such purpose at which public stockholders may seek to convert their public shares, regardless of whether they vote for or against the proposed business combination, into their pro rata share of the aggregate amount then on deposit in the trust account (net of taxes payable) or (2) provide our public stockholders with the opportunity to sell their public shares to us by means of a tender offer (and thereby avoid the need for a stockholder vote) for an amount equal to their pro rata share of the aggregate amount then on deposit in the trust account (net of taxes payable), in each case subject to the limitations described herein. Notwithstanding the foregoing, our initial stockholders have agreed, pursuant to written letter agreements with us, not to convert any public shares held by them into their pro rata share of the aggregate amount then on deposit in the trust account. If we determine to engage in a tender offer, such tender offer will be structured so that each public stockholder may tender any or all of his, her or its public shares rather than some pro rata portion of his, her or its shares. If enough stockholders tender their shares so that we are unable to satisfy any applicable closing condition set forth in the definitive agreement related to our initial business combination, or we are unable to maintain net tangible assets of at least $5,000,001, we will not consummate such initial business combination. The decision as to whether we will seek stockholder approval of a proposed business combination or will allow stockholders to sell their shares to us in a tender offer will be made by us based on a variety of factors such as the timing of the transaction or whether the terms of the transaction would otherwise require us to seek stockholder approval. If we provide stockholders with the opportunity to sell their shares to us by means of a tender offer, we will file tender offer documents with the SEC which will contain substantially the same financial and other information about the initial business combination as is required under the SEC’s proxy rules. If we seek stockholder approval of our initial business combination, we will consummate the business combination only if a majority of the outstanding shares of common stock voted are voted in favor of the business combination.</w:t>
      </w:r>
    </w:p>
    <w:p>
      <w:pPr>
        <w:spacing w:after="0" w:line="200" w:lineRule="exact"/>
        <w:rPr>
          <w:sz w:val="20"/>
          <w:szCs w:val="20"/>
          <w:color w:val="auto"/>
        </w:rPr>
      </w:pPr>
    </w:p>
    <w:p>
      <w:pPr>
        <w:sectPr>
          <w:pgSz w:w="11900" w:h="16838" w:orient="portrait"/>
          <w:cols w:equalWidth="0" w:num="2">
            <w:col w:w="4160" w:space="360"/>
            <w:col w:w="6480"/>
          </w:cols>
          <w:pgMar w:left="420" w:top="999" w:right="47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29210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20" w:top="999" w:right="479" w:bottom="1440" w:gutter="0" w:footer="0" w:header="0"/>
          <w:type w:val="continuous"/>
        </w:sectPr>
      </w:pPr>
    </w:p>
    <w:bookmarkStart w:id="17" w:name="page18"/>
    <w:bookmarkEnd w:id="17"/>
    <w:p>
      <w:pPr>
        <w:jc w:val="both"/>
        <w:ind w:left="350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10730" cy="56273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10730" cy="5627370"/>
                    </a:xfrm>
                    <a:prstGeom prst="rect">
                      <a:avLst/>
                    </a:prstGeom>
                    <a:noFill/>
                  </pic:spPr>
                </pic:pic>
              </a:graphicData>
            </a:graphic>
          </wp:anchor>
        </w:drawing>
        <w:t>We have determined not to consummate any business combination unless we have net tangible assets of at least $5,000,001 upon such consummation in order to avoid being subject to Rule 419 promulgated under the Securities Act. However, if we seek to consummate an initial business combination with a target business that imposes any type of working capital closing condition or requires us to have a minimum amount of funds available from the trust account upon consummation of such initial business combination, our net tangible asset threshold may limit our ability to consummate such initial business combination (as we may be required to have a lesser number of shares redeemed) and may force us to seek third party financing which may not be available on terms acceptable to us or at all. As a result, we may not be able to consummate such initial business combination and we may not be able to locate another suitable target within the applicable time period, if at all.</w:t>
      </w:r>
    </w:p>
    <w:p>
      <w:pPr>
        <w:spacing w:after="0" w:line="179" w:lineRule="exact"/>
        <w:rPr>
          <w:sz w:val="20"/>
          <w:szCs w:val="20"/>
          <w:color w:val="auto"/>
        </w:rPr>
      </w:pPr>
    </w:p>
    <w:p>
      <w:pPr>
        <w:jc w:val="both"/>
        <w:ind w:left="3500"/>
        <w:spacing w:after="0" w:line="284" w:lineRule="auto"/>
        <w:rPr>
          <w:sz w:val="20"/>
          <w:szCs w:val="20"/>
          <w:color w:val="auto"/>
        </w:rPr>
      </w:pPr>
      <w:r>
        <w:rPr>
          <w:rFonts w:ascii="Arial" w:cs="Arial" w:eastAsia="Arial" w:hAnsi="Arial"/>
          <w:sz w:val="16"/>
          <w:szCs w:val="16"/>
          <w:color w:val="auto"/>
        </w:rPr>
        <w:t>Our initial stockholders have agreed (A) to vote their founder shares and any public shares in favor of any proposed business combination, (B) not to propose, or vote in favor of, prior to and unrelated to an initial business combination, an amendment to our certificate of incorporation that would affect the substance or timing of our redemption obligation to redeem all public shares if we cannot complete an initial business combination within 24 months unless we provide public stockholder an opportunity to redeem their public shares in conjunction with any such amendment, (C) not to convert any shares (including the founder shares) into the right to receive cash from the trust account in connection with a stockholder vote to approve our proposed initial business combination or sell any shares to us in a tender offer in connection with our proposed initial business combination, and (D) that the founder shares shall not participate in any liquidating distribution upon winding up if a business combination is not consummated. None of our initial stockholders or their affiliates has indicated any intention to purchase public shares in this offering or any shares of common stock in the open market or in private transactions. However, if a significant number of stockholders vote, or indicate an intention to vote, against a proposed business combination, our initial stockholders, officers, directors or their affiliates could make such purchases in the open market or in private transactions in order to influence the vote. Our initial stockholders, officers, directors and their affiliates could purchase sufficient shares so that the initial business combination may be approved without the majority vote of public shares held by non-affiliates. Notwithstanding the foregoing, our officers, directors, initial stockholders and their affiliates will not make purchases of shares of common stock if the purchases would violate Section 9(a)(2) or Rule 10b-5 of the Exchange Act, which are rules designed to stop potential manipulation of a company’s stock or purchasing shares when the buyer is in possession of material non-public information about the Company.</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980"/>
          </w:cols>
          <w:pgMar w:left="1440" w:top="1003" w:right="479" w:bottom="1440" w:gutter="0" w:footer="0" w:header="0"/>
        </w:sectPr>
      </w:pPr>
    </w:p>
    <w:bookmarkStart w:id="18" w:name="page19"/>
    <w:bookmarkEnd w:id="18"/>
    <w:p>
      <w:pPr>
        <w:ind w:right="360"/>
        <w:spacing w:after="0" w:line="282" w:lineRule="auto"/>
        <w:rPr>
          <w:sz w:val="20"/>
          <w:szCs w:val="20"/>
          <w:color w:val="auto"/>
        </w:rPr>
      </w:pPr>
      <w:r>
        <w:rPr>
          <w:rFonts w:ascii="Arial" w:cs="Arial" w:eastAsia="Arial" w:hAnsi="Arial"/>
          <w:sz w:val="18"/>
          <w:szCs w:val="18"/>
          <w:b w:val="1"/>
          <w:bCs w:val="1"/>
          <w:color w:val="auto"/>
        </w:rPr>
        <w:t>Conditions to completing our initial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rights</w:t>
      </w:r>
    </w:p>
    <w:p>
      <w:pPr>
        <w:spacing w:after="0" w:line="20" w:lineRule="exact"/>
        <w:rPr>
          <w:sz w:val="20"/>
          <w:szCs w:val="20"/>
          <w:color w:val="auto"/>
        </w:rPr>
      </w:pPr>
      <w:r>
        <w:rPr>
          <w:sz w:val="20"/>
          <w:szCs w:val="20"/>
          <w:color w:val="auto"/>
        </w:rPr>
        <w:br w:type="column"/>
      </w:r>
    </w:p>
    <w:p>
      <w:pPr>
        <w:jc w:val="both"/>
        <w:spacing w:after="0" w:line="272" w:lineRule="auto"/>
        <w:rPr>
          <w:sz w:val="20"/>
          <w:szCs w:val="20"/>
          <w:color w:val="auto"/>
        </w:rPr>
      </w:pPr>
      <w:r>
        <w:rPr>
          <w:rFonts w:ascii="Arial" w:cs="Arial" w:eastAsia="Arial" w:hAnsi="Arial"/>
          <w:sz w:val="17"/>
          <w:szCs w:val="17"/>
          <w:color w:val="auto"/>
        </w:rPr>
        <w:t>Further, there is no limitation on our ability to raise funds privately or through loans in connection with our initial business combination. Our initial business combination must occur with one or more target businesses that together have an aggregate fair market value of at least 80% of the value of the trust account (excluding any deferred underwriters’ fees and taxes payable on the income earned on the trust account) at the time of the agreement to enter into the initial business combination. If we are no longer listed on Nasdaq, we will not be required to satisfy the 80% 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-2926080</wp:posOffset>
            </wp:positionH>
            <wp:positionV relativeFrom="paragraph">
              <wp:posOffset>-1169670</wp:posOffset>
            </wp:positionV>
            <wp:extent cx="7110730" cy="72732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10730" cy="7273290"/>
                    </a:xfrm>
                    <a:prstGeom prst="rect">
                      <a:avLst/>
                    </a:prstGeom>
                    <a:noFill/>
                  </pic:spPr>
                </pic:pic>
              </a:graphicData>
            </a:graphic>
          </wp:anchor>
        </w:drawing>
      </w:r>
    </w:p>
    <w:p>
      <w:pPr>
        <w:spacing w:after="0" w:line="15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If our board is not able to independently determine the fair market value of the target business or businesses, we may obtain an opinion from an independent investment banking or accounting firm as to the fair market value of the target business. We will complete our initial business combination only if the post-transaction company in which our public stockholders own shares will own or acquire 50% or more of the outstanding voting securities of the target or otherwise acquires a controlling interest in the target sufficient for it not to be required to register as an investment company under the Investment Company Act. Even if the post-transaction company owns 50% or more of the voting securities of the target, our stockholders prior to the business combination may collectively own a minority interest in the post business combination company, depending on valuations ascribed to the target and us in the business combination transaction. If less than 100% of the equity interests or assets of a target business or businesses are owned or acquired by the post-transaction company, the portion of such business or businesses that is owned or acquired is what will be valued for purposes of the 80% test, provided that in the event that the business combination involves more than one target business, the 80% test will be based on the aggregate value of all of the target businesses.</w:t>
      </w:r>
    </w:p>
    <w:p>
      <w:pPr>
        <w:spacing w:after="0" w:line="19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connection with any stockholder meeting called to approve a proposed initial business combination, each public stockholder will have the right, regardless of whether he, she or it is voting for or against such proposed business combination, to demand that we convert his, her or its public shares into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share of the trust account upon consummation of the business combination.</w:t>
      </w:r>
    </w:p>
    <w:p>
      <w:pPr>
        <w:spacing w:after="0" w:line="18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may require public stockholders wishing to exercise conversion rights, whether they are a record holder or hold their shares in “street name,” to either tender the certificates they are seeking to convert to our transfer agent or to deliver the shares they are seeking to convert to the transfer agent electronically using Depository Trust Company’s DWAC (Deposit/Withdrawal At Custodian) System, at the holder’s option, at any time at or prior to the vote on the business combination. There is a nominal cost associated with this tendering process and the act of certificating the shares or delivering them through the DWAC System. The transfer agent will typically charge the tendering broker $45 and it would be up to the broker whether or not to pass this cost on to the converting holder. However, this fee would be incurred regardless of whether or not we require holders to deliver their shares prior to the vote on the business combination in order to exercise conversion rights. This is because a holder would need to deliver shares to exercise conversion rights regardless of the timing of when such delivery must be effectuated. However, in the event we require stockholders to deliver their shares prior to the vote on the proposed business combination and the proposed business combination is not consummated, this may result in an increased cost to stockholders. The conversion rights will include the requirement that a beneficial holder must identify itself in order to validly redeem its shares.</w:t>
      </w:r>
    </w:p>
    <w:p>
      <w:pPr>
        <w:spacing w:after="0" w:line="200" w:lineRule="exact"/>
        <w:rPr>
          <w:sz w:val="20"/>
          <w:szCs w:val="20"/>
          <w:color w:val="auto"/>
        </w:rPr>
      </w:pPr>
    </w:p>
    <w:p>
      <w:pPr>
        <w:sectPr>
          <w:pgSz w:w="11900" w:h="16838" w:orient="portrait"/>
          <w:cols w:equalWidth="0" w:num="2">
            <w:col w:w="3800" w:space="720"/>
            <w:col w:w="6480"/>
          </w:cols>
          <w:pgMar w:left="420" w:top="999" w:right="479" w:bottom="1440" w:gutter="0" w:footer="0" w:header="0"/>
        </w:sectPr>
      </w:pPr>
    </w:p>
    <w:p>
      <w:pPr>
        <w:spacing w:after="0" w:line="315"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29210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20" w:top="999" w:right="479" w:bottom="1440" w:gutter="0" w:footer="0" w:header="0"/>
          <w:type w:val="continuous"/>
        </w:sectPr>
      </w:pPr>
    </w:p>
    <w:bookmarkStart w:id="19" w:name="page20"/>
    <w:bookmarkEnd w:id="1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Release of funds in trust account upon closing of our initial business combination</w:t>
      </w:r>
    </w:p>
    <w:p>
      <w:pPr>
        <w:spacing w:after="0" w:line="20" w:lineRule="exact"/>
        <w:rPr>
          <w:sz w:val="20"/>
          <w:szCs w:val="20"/>
          <w:color w:val="auto"/>
        </w:rPr>
      </w:pPr>
      <w:r>
        <w:rPr>
          <w:sz w:val="20"/>
          <w:szCs w:val="20"/>
          <w:color w:val="auto"/>
        </w:rPr>
        <w:br w:type="column"/>
      </w:r>
    </w:p>
    <w:p>
      <w:pPr>
        <w:jc w:val="both"/>
        <w:spacing w:after="0" w:line="272" w:lineRule="auto"/>
        <w:rPr>
          <w:sz w:val="20"/>
          <w:szCs w:val="20"/>
          <w:color w:val="auto"/>
        </w:rPr>
      </w:pPr>
      <w:r>
        <w:rPr>
          <w:rFonts w:ascii="Arial" w:cs="Arial" w:eastAsia="Arial" w:hAnsi="Arial"/>
          <w:sz w:val="17"/>
          <w:szCs w:val="17"/>
          <w:color w:val="auto"/>
        </w:rPr>
        <w:t xml:space="preserve">Under Delaware law, we may be required to give a minimum of only ten days’ notice for each general meeting. As a result, if we require public stockholders who wish to convert their shares of common stock into the right to receive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portion of the funds in the trust account to comply with the foregoing delivery requirements, holders may not have sufficient time to receive the notice and deliver their shares for conversion. Accordingly, investors may not be able to exercise their conversion rights and may be forced to retain our securities when they otherwise would not want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-2926080</wp:posOffset>
            </wp:positionH>
            <wp:positionV relativeFrom="paragraph">
              <wp:posOffset>-1186815</wp:posOffset>
            </wp:positionV>
            <wp:extent cx="7110730" cy="59016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10730" cy="5901690"/>
                    </a:xfrm>
                    <a:prstGeom prst="rect">
                      <a:avLst/>
                    </a:prstGeom>
                    <a:noFill/>
                  </pic:spPr>
                </pic:pic>
              </a:graphicData>
            </a:graphic>
          </wp:anchor>
        </w:drawing>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we require public stockholders who wish to convert their shares of common stock to comply with specific delivery requirements for conversion described above and such proposed business combination is not consummated, we will promptly return such certificates to the tendering public stockholders.</w:t>
      </w:r>
    </w:p>
    <w:p>
      <w:pPr>
        <w:spacing w:after="0" w:line="18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the completion of our initial business combination, all amounts held in the trust account will be released to us. We will use these funds to pay amounts due to any public stockholders who exercise their conversion rights as described above under “— Conversion rights” to pay all or a portion of the consideration payable to the target or targets or owners of the target or targets of our initial business combination and to pay other expenses associated with our initial business combination. If our initial business combination is paid for using stock or debt securities, or not all of the funds released from the trust account are used for payment of the consideration in connection with our initial business combination, we may apply the balance of the cash released to us from the trust account for general corporate purposes, including for maintenance or expansion of operations of post-transaction businesses, the payment of principal or interest due on indebtedness incurred in completing our initial business combination, to fund the purchase of other companies or for working capital.</w:t>
      </w:r>
    </w:p>
    <w:p>
      <w:pPr>
        <w:spacing w:after="0" w:line="182" w:lineRule="exact"/>
        <w:rPr>
          <w:sz w:val="20"/>
          <w:szCs w:val="20"/>
          <w:color w:val="auto"/>
        </w:rPr>
      </w:pPr>
    </w:p>
    <w:p>
      <w:pPr>
        <w:sectPr>
          <w:pgSz w:w="11900" w:h="16838" w:orient="portrait"/>
          <w:cols w:equalWidth="0" w:num="2">
            <w:col w:w="4040" w:space="480"/>
            <w:col w:w="6480"/>
          </w:cols>
          <w:pgMar w:left="420" w:top="1030" w:right="479" w:bottom="1440" w:gutter="0" w:footer="0" w:header="0"/>
        </w:sectPr>
      </w:pPr>
    </w:p>
    <w:p>
      <w:pPr>
        <w:spacing w:after="0"/>
        <w:tabs>
          <w:tab w:leader="none" w:pos="4500" w:val="left"/>
        </w:tabs>
        <w:rPr>
          <w:sz w:val="20"/>
          <w:szCs w:val="20"/>
          <w:color w:val="auto"/>
        </w:rPr>
      </w:pPr>
      <w:r>
        <w:rPr>
          <w:rFonts w:ascii="Arial" w:cs="Arial" w:eastAsia="Arial" w:hAnsi="Arial"/>
          <w:sz w:val="18"/>
          <w:szCs w:val="18"/>
          <w:b w:val="1"/>
          <w:bCs w:val="1"/>
          <w:color w:val="auto"/>
        </w:rPr>
        <w:t>Liquidation if no business combination</w:t>
      </w:r>
      <w:r>
        <w:rPr>
          <w:sz w:val="20"/>
          <w:szCs w:val="20"/>
          <w:color w:val="auto"/>
        </w:rPr>
        <w:tab/>
      </w:r>
      <w:r>
        <w:rPr>
          <w:rFonts w:ascii="Arial" w:cs="Arial" w:eastAsia="Arial" w:hAnsi="Arial"/>
          <w:sz w:val="16"/>
          <w:szCs w:val="16"/>
          <w:color w:val="auto"/>
        </w:rPr>
        <w:t>If we are unable to complete our initial business combination within 24 months from the</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closing of this offering, we will (i) cease all operations except for the purpose of winding</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up, (ii) as promptly as reasonably possible but not more than five business days</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thereafter, redeem 100% of the outstanding public shares (including any public shares in</w:t>
      </w:r>
    </w:p>
    <w:p>
      <w:pPr>
        <w:spacing w:after="0" w:line="32"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this offering or any public shares that our initial stockholders or their affiliates purchased</w:t>
      </w:r>
    </w:p>
    <w:p>
      <w:pPr>
        <w:spacing w:after="0" w:line="32"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in this offering or later acquired in the open market or in private transactions), which</w:t>
      </w:r>
    </w:p>
    <w:p>
      <w:pPr>
        <w:spacing w:after="0" w:line="2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redemption will completely extinguish public stockholders’ rights as stockholders</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(including the right to receive further liquidation distributions, if any), subject to</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applicable law, and (iii) as promptly as reasonably practicable following such redemption,</w:t>
      </w:r>
    </w:p>
    <w:p>
      <w:pPr>
        <w:spacing w:after="0" w:line="32"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subject to the approval of our remaining holders of common stock and our board of</w:t>
      </w:r>
    </w:p>
    <w:p>
      <w:pPr>
        <w:spacing w:after="0" w:line="21"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directors, proceed to commence a voluntary liquidation and thereby a formal dissolution</w:t>
      </w:r>
    </w:p>
    <w:p>
      <w:pPr>
        <w:spacing w:after="0" w:line="32"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of the Company, subject (in the case of (ii) and (iii) above) to our obligations to provide</w:t>
      </w:r>
    </w:p>
    <w:p>
      <w:pPr>
        <w:spacing w:after="0" w:line="3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for claims of creditors and the requirements of applicable law.</w:t>
      </w: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6985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20" w:top="1030" w:right="479" w:bottom="1440" w:gutter="0" w:footer="0" w:header="0"/>
          <w:type w:val="continuous"/>
        </w:sectPr>
      </w:pPr>
    </w:p>
    <w:bookmarkStart w:id="20" w:name="page21"/>
    <w:bookmarkEnd w:id="20"/>
    <w:p>
      <w:pPr>
        <w:jc w:val="both"/>
        <w:ind w:left="350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10730" cy="50615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10730" cy="5061585"/>
                    </a:xfrm>
                    <a:prstGeom prst="rect">
                      <a:avLst/>
                    </a:prstGeom>
                    <a:noFill/>
                  </pic:spPr>
                </pic:pic>
              </a:graphicData>
            </a:graphic>
          </wp:anchor>
        </w:drawing>
        <w:t>In connection with our redemption of 100% of our outstanding public shares for a portion of the funds held in the trust account, each holder will receive a full pro rata portion of the amount then in the trust account, plus any pro rata interest earned on the funds held in the trust account and not necessary to pay our taxes payable on such funds.</w:t>
      </w:r>
    </w:p>
    <w:p>
      <w:pPr>
        <w:spacing w:after="0" w:line="157" w:lineRule="exact"/>
        <w:rPr>
          <w:sz w:val="20"/>
          <w:szCs w:val="20"/>
          <w:color w:val="auto"/>
        </w:rPr>
      </w:pPr>
    </w:p>
    <w:p>
      <w:pPr>
        <w:jc w:val="both"/>
        <w:ind w:left="3500"/>
        <w:spacing w:after="0" w:line="290" w:lineRule="auto"/>
        <w:rPr>
          <w:sz w:val="20"/>
          <w:szCs w:val="20"/>
          <w:color w:val="auto"/>
        </w:rPr>
      </w:pPr>
      <w:r>
        <w:rPr>
          <w:rFonts w:ascii="Arial" w:cs="Arial" w:eastAsia="Arial" w:hAnsi="Arial"/>
          <w:sz w:val="16"/>
          <w:szCs w:val="16"/>
          <w:color w:val="auto"/>
        </w:rPr>
        <w:t>We may not have funds sufficient to pay or provide for all creditors’ claims. Although we will seek to have all third parties (including any vendors or other entities we engage after this offering, other than our independent registered public accounting firm) and any prospective target businesses enter into valid and enforceable agreements with us waiving any right, title, interest or claim of any kind in or to any monies held in the trust account, there is no guarantee that they will execute such agreements. There is also no guarantee that the third parties would not challenge the enforceability of these waivers and bring claims against the trust account for monies owed them.</w:t>
      </w:r>
    </w:p>
    <w:p>
      <w:pPr>
        <w:spacing w:after="0" w:line="165" w:lineRule="exact"/>
        <w:rPr>
          <w:sz w:val="20"/>
          <w:szCs w:val="20"/>
          <w:color w:val="auto"/>
        </w:rPr>
      </w:pPr>
    </w:p>
    <w:p>
      <w:pPr>
        <w:jc w:val="both"/>
        <w:ind w:left="3500"/>
        <w:spacing w:after="0" w:line="263" w:lineRule="auto"/>
        <w:rPr>
          <w:sz w:val="20"/>
          <w:szCs w:val="20"/>
          <w:color w:val="auto"/>
        </w:rPr>
      </w:pPr>
      <w:r>
        <w:rPr>
          <w:rFonts w:ascii="Arial" w:cs="Arial" w:eastAsia="Arial" w:hAnsi="Arial"/>
          <w:sz w:val="18"/>
          <w:szCs w:val="18"/>
          <w:color w:val="auto"/>
        </w:rPr>
        <w:t>The holders of the founder shares and private shares will not participate in any redemption distribution with respect to their founder shares and private shares, but may have any public shares redeemed upon liquidation.</w:t>
      </w:r>
    </w:p>
    <w:p>
      <w:pPr>
        <w:spacing w:after="0" w:line="184" w:lineRule="exact"/>
        <w:rPr>
          <w:sz w:val="20"/>
          <w:szCs w:val="20"/>
          <w:color w:val="auto"/>
        </w:rPr>
      </w:pPr>
    </w:p>
    <w:p>
      <w:pPr>
        <w:jc w:val="both"/>
        <w:ind w:left="3500"/>
        <w:spacing w:after="0" w:line="285" w:lineRule="auto"/>
        <w:rPr>
          <w:sz w:val="20"/>
          <w:szCs w:val="20"/>
          <w:color w:val="auto"/>
        </w:rPr>
      </w:pPr>
      <w:r>
        <w:rPr>
          <w:rFonts w:ascii="Arial" w:cs="Arial" w:eastAsia="Arial" w:hAnsi="Arial"/>
          <w:sz w:val="16"/>
          <w:szCs w:val="16"/>
          <w:color w:val="auto"/>
        </w:rPr>
        <w:t>If we are unable to conclude our initial business combination and we expend all of the net proceeds of this offering not deposited in the trust account, without taking into account any interest earned on the trust account, we expect that the initial per-share redemption price will be approximately $10.00. The proceeds deposited in the trust account could, however, become subject to claims of our creditors that are in preference to the claims of our stockholders. Furthermore, our underwriters may seek recourse against the proceeds in the trust account relating to any future claims they may have against us. In addition, if we are forced to file a bankruptcy case or an involuntary bankruptcy case is filed against us that is not dismissed, the proceeds held in the trust account could be subject to applicable bankruptcy law, and may be included in our bankruptcy estate and subject to the claims of third parties with priority over the claims of our stockholders. Therefore, the actual per-share redemption price may be less than approximately $10.00. We will pay the costs of any subsequent liquidation from our remaining assets outside of the trust account. If such funds are insufficient, our sponsor has agreed to pay the funds necessary to complete such liquidation and has agreed not to seek repayment for such expenses. We currently do not anticipate that such funds will be insufficient.</w:t>
      </w:r>
    </w:p>
    <w:p>
      <w:pPr>
        <w:spacing w:after="0" w:line="200" w:lineRule="exact"/>
        <w:rPr>
          <w:sz w:val="20"/>
          <w:szCs w:val="20"/>
          <w:color w:val="auto"/>
        </w:rPr>
      </w:pPr>
    </w:p>
    <w:p>
      <w:pPr>
        <w:spacing w:after="0" w:line="293"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980"/>
          </w:cols>
          <w:pgMar w:left="1440" w:top="1003" w:right="47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10730" cy="16332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10730" cy="1633220"/>
                    </a:xfrm>
                    <a:prstGeom prst="rect">
                      <a:avLst/>
                    </a:prstGeom>
                    <a:noFill/>
                  </pic:spPr>
                </pic:pic>
              </a:graphicData>
            </a:graphic>
          </wp:anchor>
        </w:drawing>
        <w:t>RISKS</w:t>
      </w:r>
    </w:p>
    <w:p>
      <w:pPr>
        <w:spacing w:after="0" w:line="22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are a newly formed company that has conducted no operations and has generated no revenues. Until we complete our initial business combination, we will have no operations and will generate no operating revenues. In making your decision on whether to invest in our securities, you should take into account not only the background of our management team, but also the special risks we face as a blank check company, as well as the fact that this offering is not being conducted in compliance with Rule 419 promulgated under the Securities Act, and, therefore, you will not be entitled to protections normally afforded to investors in Rule 419 blank check offerings. For additional information concerning how Rule 419 blank check offerings differ from this offering, please see “</w:t>
      </w:r>
      <w:r>
        <w:rPr>
          <w:rFonts w:ascii="Arial" w:cs="Arial" w:eastAsia="Arial" w:hAnsi="Arial"/>
          <w:sz w:val="16"/>
          <w:szCs w:val="16"/>
          <w:i w:val="1"/>
          <w:iCs w:val="1"/>
          <w:color w:val="auto"/>
        </w:rPr>
        <w:t>Proposed Business — Comparison to offerings of blank check companies subject to Rule 419</w:t>
      </w:r>
      <w:r>
        <w:rPr>
          <w:rFonts w:ascii="Arial" w:cs="Arial" w:eastAsia="Arial" w:hAnsi="Arial"/>
          <w:sz w:val="16"/>
          <w:szCs w:val="16"/>
          <w:color w:val="auto"/>
        </w:rPr>
        <w:t>.” You should carefully consider these and the other risks set forth in the section entitled “Risk Factors” beginning on page 19 of this prospectus.</w:t>
      </w: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6985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20" w:top="999" w:right="45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10730" cy="23615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10730" cy="2361565"/>
                    </a:xfrm>
                    <a:prstGeom prst="rect">
                      <a:avLst/>
                    </a:prstGeom>
                    <a:noFill/>
                  </pic:spPr>
                </pic:pic>
              </a:graphicData>
            </a:graphic>
          </wp:anchor>
        </w:drawing>
        <w:t>SUMMARY FINANCIAL DATA</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summarizes the relevant financial data for our business and should be read with our financial statements, which are included in this prospectus. We have not had any significant operations to date, so only balance sheet data are presented.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85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2020</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8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Actual</w:t>
            </w:r>
          </w:p>
        </w:tc>
        <w:tc>
          <w:tcPr>
            <w:tcW w:w="1100" w:type="dxa"/>
            <w:vAlign w:val="bottom"/>
            <w:gridSpan w:val="2"/>
          </w:tcPr>
          <w:p>
            <w:pPr>
              <w:ind w:left="80"/>
              <w:spacing w:after="0"/>
              <w:rPr>
                <w:sz w:val="20"/>
                <w:szCs w:val="20"/>
                <w:color w:val="auto"/>
              </w:rPr>
            </w:pPr>
            <w:r>
              <w:rPr>
                <w:rFonts w:ascii="Arial" w:cs="Arial" w:eastAsia="Arial" w:hAnsi="Arial"/>
                <w:sz w:val="18"/>
                <w:szCs w:val="18"/>
                <w:b w:val="1"/>
                <w:bCs w:val="1"/>
                <w:color w:val="auto"/>
                <w:w w:val="95"/>
              </w:rPr>
              <w:t>As Adjusted</w:t>
            </w:r>
          </w:p>
        </w:tc>
        <w:tc>
          <w:tcPr>
            <w:tcW w:w="100" w:type="dxa"/>
            <w:vAlign w:val="bottom"/>
          </w:tcPr>
          <w:p>
            <w:pPr>
              <w:spacing w:after="0"/>
              <w:rPr>
                <w:sz w:val="20"/>
                <w:szCs w:val="20"/>
                <w:color w:val="auto"/>
              </w:rPr>
            </w:pPr>
          </w:p>
        </w:tc>
      </w:tr>
      <w:tr>
        <w:trPr>
          <w:trHeight w:val="216"/>
        </w:trPr>
        <w:tc>
          <w:tcPr>
            <w:tcW w:w="8500" w:type="dxa"/>
            <w:vAlign w:val="bottom"/>
          </w:tcPr>
          <w:p>
            <w:pPr>
              <w:spacing w:after="0"/>
              <w:rPr>
                <w:sz w:val="20"/>
                <w:szCs w:val="20"/>
                <w:color w:val="auto"/>
              </w:rPr>
            </w:pPr>
            <w:r>
              <w:rPr>
                <w:rFonts w:ascii="Arial" w:cs="Arial" w:eastAsia="Arial" w:hAnsi="Arial"/>
                <w:sz w:val="18"/>
                <w:szCs w:val="18"/>
                <w:b w:val="1"/>
                <w:bCs w:val="1"/>
                <w:color w:val="auto"/>
              </w:rPr>
              <w:t>Balance Sheet Data:</w:t>
            </w: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 (deficiency)</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(13,972)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121,899,528</w:t>
            </w:r>
          </w:p>
        </w:tc>
      </w:tr>
      <w:tr>
        <w:trPr>
          <w:trHeight w:val="216"/>
        </w:trPr>
        <w:tc>
          <w:tcPr>
            <w:tcW w:w="8500" w:type="dxa"/>
            <w:vAlign w:val="bottom"/>
          </w:tcPr>
          <w:p>
            <w:pPr>
              <w:spacing w:after="0"/>
              <w:rPr>
                <w:sz w:val="20"/>
                <w:szCs w:val="20"/>
                <w:color w:val="auto"/>
              </w:rPr>
            </w:pPr>
            <w:r>
              <w:rPr>
                <w:rFonts w:ascii="Arial" w:cs="Arial" w:eastAsia="Arial" w:hAnsi="Arial"/>
                <w:sz w:val="18"/>
                <w:szCs w:val="18"/>
                <w:color w:val="auto"/>
              </w:rPr>
              <w:t>Total assets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63,493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126,274,528</w:t>
            </w:r>
          </w:p>
        </w:tc>
      </w:tr>
      <w:tr>
        <w:trPr>
          <w:trHeight w:val="216"/>
        </w:trPr>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38,965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4,375,000</w:t>
            </w:r>
          </w:p>
        </w:tc>
      </w:tr>
      <w:tr>
        <w:trPr>
          <w:trHeight w:val="216"/>
        </w:trPr>
        <w:tc>
          <w:tcPr>
            <w:tcW w:w="8500" w:type="dxa"/>
            <w:vAlign w:val="bottom"/>
          </w:tcPr>
          <w:p>
            <w:pPr>
              <w:spacing w:after="0"/>
              <w:rPr>
                <w:sz w:val="20"/>
                <w:szCs w:val="20"/>
                <w:color w:val="auto"/>
              </w:rPr>
            </w:pPr>
            <w:r>
              <w:rPr>
                <w:rFonts w:ascii="Arial" w:cs="Arial" w:eastAsia="Arial" w:hAnsi="Arial"/>
                <w:sz w:val="18"/>
                <w:szCs w:val="18"/>
                <w:color w:val="auto"/>
              </w:rPr>
              <w:t>Value of common stock subject to possible redemption</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116,899,520</w:t>
            </w:r>
          </w:p>
        </w:tc>
      </w:tr>
      <w:tr>
        <w:trPr>
          <w:trHeight w:val="216"/>
        </w:trPr>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24,528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5,000,008</w:t>
            </w:r>
          </w:p>
        </w:tc>
      </w:tr>
    </w:tbl>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6985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20" w:top="999" w:right="47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An investment in our securities involves a high degree of risk. You should consider carefully all of the risks described below, together with the other information contained in this prospectus, before making a decision to invest in our common stock. If any of the following events occur, our business, financial condition and operating results may be materially adversely affected. In that event, the trading price of our securities could decline, and you could lose all or part of your investment.</w:t>
      </w:r>
    </w:p>
    <w:p>
      <w:pPr>
        <w:spacing w:after="0" w:line="18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are a newly formed blank check company in the early stage with no operating history and no revenues, and you have no basis on which to evaluate our ability to achieve our business objective.</w:t>
      </w:r>
    </w:p>
    <w:p>
      <w:pPr>
        <w:spacing w:after="0" w:line="16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are a recently formed blank check company with no operating results, and we will not commence operations until obtaining funding through this offering and consummating our initial business combination. Because we lack an operating history, you have no basis upon which to evaluate our ability to achieve our business objective of completing our initial business combination with one or more target businesses. We have no plans, arrangements or understandings with any prospective target business concerning our initial business combination and may be unable to complete our initial business combination. If we fail to complete our initial business combination, we will never generate any operating revenues.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Past performance by Boxer Capital, including our management team, may not be indicative of future performance of an investment in us.</w:t>
      </w:r>
    </w:p>
    <w:p>
      <w:pPr>
        <w:spacing w:after="0" w:line="24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Information regarding performance by, or businesses associated with, Boxer Capital is presented for informational purposes only. Any past experience and performance of Boxer Capital or our management team is not a guarantee either: (1) that we will be able to successfully identify a suitable candidate for our initial business combination; or (2) of any results with respect to any initial business combination we may consummate. You should not rely on the historical record of Boxer Capital or our management team’s performance as indicative of the future performance of an investment in us or the returns we will, or are likely to, generate going forward. An investment in us is not an investment in Boxer Capital. None of our sponsor, officers, directors or Boxer Capital has had experience with a blank check company or special purpose acquisition company in the past.</w:t>
      </w:r>
    </w:p>
    <w:p>
      <w:pPr>
        <w:spacing w:after="0" w:line="174"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The requirement that the target business or businesses that we acquire must collectively have a fair market value equal to at least 80% of the balance of the funds in the trust account (excluding any taxes payable) at the time of the execution of a definitive agreement for our initial business combination may limit the type and number of companies with which we may complete such a business combination.</w:t>
      </w:r>
    </w:p>
    <w:p>
      <w:pPr>
        <w:spacing w:after="0" w:line="16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Pursuant to Nasdaq listing rules, the target business or businesses that we acquire must collectively have a fair market value equal to at least 80% of the balance of the funds in the trust account (excluding any taxes payable) at the time of the execution of a definitive agreement for our initial business combination. This restriction may limit the type and number of companies that we may complete a business combination with. If we are unable to locate a target business or businesses that satisfy this fair market value test, we may be forced to liquidate and you will only be entitled to receive your pro rata portion of the funds in the trust account, which may be less than $10.00 per share.</w:t>
      </w:r>
    </w:p>
    <w:p>
      <w:pPr>
        <w:spacing w:after="0" w:line="172" w:lineRule="exact"/>
        <w:rPr>
          <w:sz w:val="20"/>
          <w:szCs w:val="20"/>
          <w:color w:val="auto"/>
        </w:rPr>
      </w:pPr>
    </w:p>
    <w:p>
      <w:pPr>
        <w:jc w:val="both"/>
        <w:ind w:right="20"/>
        <w:spacing w:after="0" w:line="312" w:lineRule="auto"/>
        <w:rPr>
          <w:sz w:val="20"/>
          <w:szCs w:val="20"/>
          <w:color w:val="auto"/>
        </w:rPr>
      </w:pPr>
      <w:r>
        <w:rPr>
          <w:rFonts w:ascii="Arial" w:cs="Arial" w:eastAsia="Arial" w:hAnsi="Arial"/>
          <w:sz w:val="17"/>
          <w:szCs w:val="17"/>
          <w:b w:val="1"/>
          <w:bCs w:val="1"/>
          <w:color w:val="auto"/>
        </w:rPr>
        <w:t>Our public stockholders may not be afforded an opportunity to vote on our proposed business combination, which means we may consummate our initial business combination even though a majority of our public stockholders do not support such a combination.</w:t>
      </w:r>
    </w:p>
    <w:p>
      <w:pPr>
        <w:spacing w:after="0" w:line="14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If a stockholder vote is not required, we may conduct redemptions via a tender offer. Accordingly, we may consummate our initial business combination even if holders of a majority of our public shares do not approve the business combination.</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jc w:val="both"/>
        <w:spacing w:after="0" w:line="282" w:lineRule="auto"/>
        <w:rPr>
          <w:sz w:val="20"/>
          <w:szCs w:val="20"/>
          <w:color w:val="auto"/>
        </w:rPr>
      </w:pPr>
      <w:r>
        <w:rPr>
          <w:rFonts w:ascii="Arial" w:cs="Arial" w:eastAsia="Arial" w:hAnsi="Arial"/>
          <w:sz w:val="18"/>
          <w:szCs w:val="18"/>
          <w:b w:val="1"/>
          <w:bCs w:val="1"/>
          <w:color w:val="auto"/>
        </w:rPr>
        <w:t>Your only opportunity to affect the investment decision regarding a potential business combination may be limited to the exercise of your right to redeem your shares from us for cash.</w:t>
      </w:r>
    </w:p>
    <w:p>
      <w:pPr>
        <w:spacing w:after="0" w:line="16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At the time of your investment in us, you will not be provided with an opportunity to evaluate the specific merits or risks of one or more target businesses. Because our board of directors may consummate our initial business combination without seeking stockholder approval, public stockholders may not have the right or opportunity to vote on the business combination. Accordingly, your only opportunity to affect the investment decision regarding a potential business combination may be limited to exercising your redemption rights within the period of time (which will be at least 20 business days) set forth in our tender offer documents mailed to our public stockholders in which we describe our business combination.</w:t>
      </w:r>
    </w:p>
    <w:p>
      <w:pPr>
        <w:spacing w:after="0" w:line="17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The ability of our public stockholders to redeem their shares for cash may make our financial condition unattractive to potential business combination targets, which may make it difficult for us to enter into our initial business combination with a target.</w:t>
      </w:r>
    </w:p>
    <w:p>
      <w:pPr>
        <w:spacing w:after="0" w:line="16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may enter into a transaction agreement with a prospective target that requires as a closing condition that we have a minimum net worth or a certain amount of cash. If too many public stockholders exercise their redemption rights, we may not be able to meet such closing condition, and as a result, would not be able to proceed with the business combination. Furthermore, in no event will we redeem our public shares in an amount that would cause our net tangible assets to be less than $5,000,001. Consequently, if accepting all properly submitted redemption requests would cause our net tangible assets to be less than $5,000,001 or such greater amount necessary to satisfy a closing condition as described above, we would not proceed with such redemption and the related business combination and may instead search for an alternate business combination. Prospective targets would be aware of these risks and, thus, may be reluctant to enter into our initial business combination transaction with us.</w:t>
      </w:r>
    </w:p>
    <w:p>
      <w:pPr>
        <w:spacing w:after="0" w:line="17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ability of a large number of our stockholders to exercise redemption rights may not allow us to consummate the most desirable business combination or optimize our capital structure.</w:t>
      </w:r>
    </w:p>
    <w:p>
      <w:pPr>
        <w:spacing w:after="0" w:line="16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connection with the successful consummation of our business combination, we may redeem up to that number of shares of common stock that would permit us to maintain net tangible assets of $5,000,001. If our business combination requires us to use substantially all of our cash to pay the purchase price, the redemption threshold may be further limited. Alternatively, we may need to arrange third party financing to help fund our business combination in case a larger percentage of stockholders exercise their redemption rights than we expect. If the acquisition involves the issuance of our shares as consideration, we may be required to issue a higher percentage of our shares to the target or its stockholders to make up for the failure to satisfy a minimum cash requirement. Raising additional funds to cover any shortfall may involve dilutive equity financing or incurring indebtedness at higher than desirable levels. This may limit our ability to effectuate the most attractive business combination available to us.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jc w:val="both"/>
        <w:spacing w:after="0" w:line="282" w:lineRule="auto"/>
        <w:rPr>
          <w:sz w:val="20"/>
          <w:szCs w:val="20"/>
          <w:color w:val="auto"/>
        </w:rPr>
      </w:pPr>
      <w:r>
        <w:rPr>
          <w:rFonts w:ascii="Arial" w:cs="Arial" w:eastAsia="Arial" w:hAnsi="Arial"/>
          <w:sz w:val="18"/>
          <w:szCs w:val="18"/>
          <w:b w:val="1"/>
          <w:bCs w:val="1"/>
          <w:color w:val="auto"/>
        </w:rPr>
        <w:t>The requirement that we maintain a minimum net worth or retain a certain amount of cash could increase the probability that we cannot consummate our business combination and that you would have to wait for liquidation in order to redeem your shares.</w:t>
      </w:r>
    </w:p>
    <w:p>
      <w:pPr>
        <w:spacing w:after="0" w:line="16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If, pursuant to the terms of our proposed business combination, we are required to maintain a minimum net worth or retain a certain amount of cash in trust in order to consummate the business combination and regardless of whether we proceed with redemptions under the tender offer or proxy rules, the probability that we cannot consummate our business combination is increased. If we do not consummate our business combination, you would not receive your pro rata portion of the trust account until we liquidate. If you are in need of immediate liquidity, you could attempt to sell your shares in the open market; however, at such time our shares may trade at a discount to the pro rata amount in our trust account. In either situation, you may suffer a material loss on your investment or lose the benefit of funds expected in connection with our redemption until we liquidate or you are able to sell your shares in the open market.</w:t>
      </w:r>
    </w:p>
    <w:p>
      <w:pPr>
        <w:spacing w:after="0" w:line="19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requirement that we complete our initial business combination within 24 months from the closing of this offering may give potential target businesses leverage over us in negotiating our initial business combination.</w:t>
      </w:r>
    </w:p>
    <w:p>
      <w:pPr>
        <w:spacing w:after="0" w:line="16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Any potential target business with which we enter into negotiations concerning our initial business combination will be aware that we must consummate our initial business combination within 24 months from the closing of this offering. Consequently, such target businesses may obtain leverage over us in negotiating our initial business combination, knowing that if we do not complete our initial business combination with that particular target business, we may be unable to complete our initial business combination with any target business. This risk will increase as we get closer to the timeframe described above. In addition, we may have limited time to conduct due diligence and may enter into our initial business combination on terms that we would have rejected upon a more comprehensive investigation.</w:t>
      </w:r>
    </w:p>
    <w:p>
      <w:pPr>
        <w:spacing w:after="0" w:line="188"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We may not be able to consummate our initial business combination within the required time period, in which case we would cease all operations except for the purpose of winding up and we would redeem our public shares and liquidate.</w:t>
      </w:r>
    </w:p>
    <w:p>
      <w:pPr>
        <w:spacing w:after="0" w:line="16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sponsor, officers and directors have agreed that we must complete our initial business combination within 24 months from the closing of this offering. We may not be able to find a suitable target business and consummate our initial business combination within such time period. If we are unable to consummate our initial business combination within the required time period, we will, as promptly as reasonably possible but not more than five business days thereafter (subject to our certificate of incorporation and Delaware law), distribute the aggregate amount then on deposit in the trust account (net of taxes payable), pro rata to our public stockholders by way of redemption and cease all operations except for the purposes of winding up of our affairs, as further described herein. This redemption of public stockholders from the trust account shall be effected as required by function of our certificate of incorporation and prior to any voluntary winding up.</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jc w:val="both"/>
        <w:ind w:right="20"/>
        <w:spacing w:after="0" w:line="347" w:lineRule="auto"/>
        <w:rPr>
          <w:sz w:val="20"/>
          <w:szCs w:val="20"/>
          <w:color w:val="auto"/>
        </w:rPr>
      </w:pPr>
      <w:r>
        <w:rPr>
          <w:rFonts w:ascii="Arial" w:cs="Arial" w:eastAsia="Arial" w:hAnsi="Arial"/>
          <w:sz w:val="16"/>
          <w:szCs w:val="16"/>
          <w:b w:val="1"/>
          <w:bCs w:val="1"/>
          <w:color w:val="auto"/>
        </w:rPr>
        <w:t>If we seek stockholder approval of our business combination, our sponsor, directors, officers, advisors and their affiliates may elect to purchase shares from stockholders, in which case they may influence a vote in favor of a proposed business combination that you do not support.</w:t>
      </w:r>
    </w:p>
    <w:p>
      <w:pPr>
        <w:spacing w:after="0" w:line="120"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If we seek stockholder approval of our business combination and we do not conduct redemptions in connection with our business combination pursuant to the tender offer rules, our sponsor, directors, officers, advisors or their affiliates may purchase shares in privately negotiated transactions either prior to or following the consummation of our initial business combination. Such purchases will not be made if our sponsor, directors, officers, advisors or their affiliates are in possession of any material non-public information that has not been disclosed to the selling stockholder. Such a purchase would include a contractual acknowledgement that such stockholder, although still the record holder of our shares is no longer the beneficial owner thereof and therefore agrees not to exercise its redemption rights. In the event that our sponsor, directors, officers, advisors or their affiliates purchase shares in privately negotiated transactions from public stockholders who have already elected to exercise their redemption rights, such selling stockholders would be required to revoke their prior elections to redeem their shares. It is intended that, if Rule 10b-18 would apply to purchases by our sponsor, directors, officers, advisors or their affiliates, then such purchases will comply with Rule 10b-18 under the Exchange Act, to the extent it applies, which provides a safe harbor for purchases made under certain conditions, including with respect to timing, pricing and volume of purchases.</w:t>
      </w:r>
    </w:p>
    <w:p>
      <w:pPr>
        <w:spacing w:after="0" w:line="16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purpose of such purchases would be to (1) increase the likelihood of obtaining stockholder approval of the business combination or (2) satisfy a closing condition in an agreement with a target that requires us to have a minimum net worth or a certain amount of cash at the closing of the business combination, where it appears that such requirement would otherwise not be met. This may result in the consummation of an initial business combination that may not otherwise have been possible.</w:t>
      </w:r>
    </w:p>
    <w:p>
      <w:pPr>
        <w:spacing w:after="0" w:line="18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Purchases of shares of common stock in the open market or in privately negotiated transactions by our sponsor, directors, officers, advisors or their affiliates may make it difficult for us to maintain the listing of our shares on a national securities exchange following the consummation of an initial business combination.</w:t>
      </w:r>
    </w:p>
    <w:p>
      <w:pPr>
        <w:spacing w:after="0" w:line="18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If our sponsor, directors, officers, advisors or their affiliates purchase shares of common stock in the open market or in privately negotiated transactions, the public “float” of our shares of common stock and the number of beneficial holders of our securities would both be reduced, possibly making it difficult to maintain the listing or trading of our securities on a national securities exchange following consummation of the business combination.</w:t>
      </w:r>
    </w:p>
    <w:p>
      <w:pPr>
        <w:spacing w:after="0" w:line="18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You will not have any rights or interests in funds from the trust account, except under certain limited circumstances. To liquidate your investment, therefore, you may be forced to sell your public shares, potentially at a loss.</w:t>
      </w:r>
    </w:p>
    <w:p>
      <w:pPr>
        <w:spacing w:after="0" w:line="16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public stockholders shall be entitled to receive funds from the trust account only in the event of a redemption to public stockholders prior to any winding up in the event we do not consummate our initial business combination or our liquidation, if they redeem their shares in connection with an initial business combination that we consummate or if we seek to amend our certificate of incorporation to affect the substance or timing of our redemption obligation to redeem all public shares if we cannot complete an initial business combination within 24 months of the closing of this offering. In no other circumstances will a stockholder have any right or interest of any kind to the funds in the trust account. Accordingly, to liquidate your investment, you may be forced to sell your public shares, potentially at a loss.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 will not be entitled to protections normally afforded to investors of many other blank check companies.</w:t>
      </w:r>
    </w:p>
    <w:p>
      <w:pPr>
        <w:spacing w:after="0" w:line="22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Because the net proceeds of this offering are intended to be used to complete our initial business combination with a target business that has not been identified, we may be deemed to be a “blank check” company under the United States securities laws. However, because we will have net tangible assets in excess of $5,000,000 upon the successful consummation of this offering and will expect to file a Current Report on Form 8-K, including an audited balance sheet demonstrating this fact, we are exempt from rules promulgated by the SEC to protect investors in blank check companies, such as Rule 419. Accordingly, investors will not be afforded the benefits or protections of those rules. Among other things, this means our common stock will be immediately tradable and we will have a longer period of time to complete our initial business combination than do companies subject to Rule 419. Moreover, offerings subject to Rule 419 would prohibit the release of any interest earned on funds held in the trust account to us. For a more detailed comparison of our offering to offerings that comply with Rule 419, please see “Proposed Business — Comparison of This Offering to Those of Blank Check Companies Subject to Rule 419.”</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jc w:val="both"/>
        <w:spacing w:after="0" w:line="266" w:lineRule="auto"/>
        <w:rPr>
          <w:sz w:val="20"/>
          <w:szCs w:val="20"/>
          <w:color w:val="auto"/>
        </w:rPr>
      </w:pPr>
      <w:r>
        <w:rPr>
          <w:rFonts w:ascii="Arial" w:cs="Arial" w:eastAsia="Arial" w:hAnsi="Arial"/>
          <w:sz w:val="18"/>
          <w:szCs w:val="18"/>
          <w:b w:val="1"/>
          <w:bCs w:val="1"/>
          <w:color w:val="auto"/>
        </w:rPr>
        <w:t>If we seek stockholder approval of our business combination and we do not conduct redemptions pursuant to the tender offer rules, and if you or a “group” of stockholders are deemed to hold in excess of 20% of our shares of common stock, you will lose the ability to redeem all such shares in excess of 20% of our shares of common stock.</w:t>
      </w:r>
    </w:p>
    <w:p>
      <w:pPr>
        <w:spacing w:after="0" w:line="18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If we seek stockholder approval of our initial business combination and we do not conduct redemptions in connection with our business combination pursuant to the tender offer rules, our certificate of incorporation provides that a public stockholder, individually or together with any affiliate of such stockholder or any other person with whom such stockholder is acting in concert or as a “group” (as defined under Section 13 of the Exchange Act), will be restricted from seeking redemption rights with respect to more than an aggregate of 20% of the shares sold in this offering. Your inability to redeem more than an aggregate of 20% of the shares sold in this offering will reduce your influence over our ability to consummate our initial business combination and you could suffer a material loss on your investment in us if you sell such excess shares in open market transactions. As a result, you will continue to hold that number of shares exceeding 20% and, in order to dispose of such shares, you would be required to sell your shares in open market transaction, potentially at a loss.</w:t>
      </w:r>
    </w:p>
    <w:p>
      <w:pPr>
        <w:spacing w:after="0" w:line="18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the net proceeds of this offering not being held in the trust account are insufficient to allow us to operate for at least the next 24 months, we may be unable to complete our initial business combination.</w:t>
      </w:r>
    </w:p>
    <w:p>
      <w:pPr>
        <w:spacing w:after="0" w:line="16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funds available to us outside of the trust account may not be sufficient to allow us to operate for at least the next 24 months, assuming that our initial business combination is not consummated during that time. Of the funds available to us, we could use a portion of the funds available to us to pay fees to consultants to assist us with our search for a target business. We could also use a portion of the funds as a down payment or to fund a “no-shop” provision (a provision in letters of intent designed to keep target businesses from “shopping” around for transactions with other companies on terms more favorable to such target businesses) with respect to a particular proposed business combination, although we do not have any current intention to do so. If we are unable to fund such down payments or “no shop” provisions, our ability to close a contemplated transaction could be impaired. Furthermore, if we entered into a letter of intent where we paid for the right to receive exclusivity from a target business and were subsequently required to forfeit such funds (whether as a result of our breach or otherwise), we might not have sufficient funds to continue searching for, or conduct due diligence with respect to, a target business. If we are unable to complete our initial business combination, our public stockholders may only receive a pro rata portion of the amount then in the trust account (which may be less than $10.00 per share) (whether or not the underwriters’ over-allotment option is exercised in full) on our redemption.</w:t>
      </w:r>
    </w:p>
    <w:p>
      <w:pPr>
        <w:spacing w:after="0" w:line="17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Subsequent to our consummation of our initial business combination, we may be required to take write-downs or write-offs, restructuring and impairment or other charges.</w:t>
      </w:r>
    </w:p>
    <w:p>
      <w:pPr>
        <w:spacing w:after="0" w:line="16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Even if we conduct thorough due diligence on a target business with which we combine, this diligence may not surface all material issues that may be present inside a particular target business, that it would be possible to uncover all material issues through a customary amount of due diligence, or that factors outside of the target business and outside of our control will not later arise. As a result of these factors, we may be forced to later write-down or write-off assets, restructure our operations, or incur impairment or other charges that could result in our reporting losses. Even if our due diligence successfully identifies certain risks, unexpected risks may arise and previously known risks may materialize in a manner not consistent with our preliminary risk analysis. Even though these charges may be non-cash items and not have an immediate impact on our liquidity, the fact that we report charges of this nature could contribute to negative market perceptions about us or our securities. In addition, charges of this nature may cause us to violate net worth or other covenants to which we may be subject as a result of assuming pre-existing debt held by a target business or by virtue of our obtaining post-combination debt financing.</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jc w:val="both"/>
        <w:spacing w:after="0" w:line="282" w:lineRule="auto"/>
        <w:rPr>
          <w:sz w:val="20"/>
          <w:szCs w:val="20"/>
          <w:color w:val="auto"/>
        </w:rPr>
      </w:pPr>
      <w:r>
        <w:rPr>
          <w:rFonts w:ascii="Arial" w:cs="Arial" w:eastAsia="Arial" w:hAnsi="Arial"/>
          <w:sz w:val="18"/>
          <w:szCs w:val="18"/>
          <w:b w:val="1"/>
          <w:bCs w:val="1"/>
          <w:color w:val="auto"/>
        </w:rPr>
        <w:t>Our directors may decide not to enforce indemnification obligations against BCTG Holdings, LLC, our sponsor, resulting in a reduction in the amount of funds in the trust account available for distribution to our public stockholders.</w:t>
      </w:r>
    </w:p>
    <w:p>
      <w:pPr>
        <w:spacing w:after="0" w:line="16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the event that the proceeds in the trust account are reduced below $10.00 per share (whether or not the underwriters’ overallotment option is exercised in full) and BCTG Holdings, LLC, our sponsor, asserts that it is unable to satisfy its obligations or that it has no indemnification obligations related to a particular claim, our independent directors would determine on our behalf whether to take legal action against our sponsor to enforce its indemnification obligations. While we currently expect that our independent directors would take legal action on our behalf against our sponsor to enforce its indemnification obligations to us, it is possible that our independent directors in exercising their business judgment may choose not to do so in any particular instance. If our independent directors choose not to enforce these indemnification obligations on our behalf, the amount of funds in the trust account available for distribution to our public stockholders may be reduced below $10.00 per share.</w:t>
      </w:r>
    </w:p>
    <w:p>
      <w:pPr>
        <w:spacing w:after="0" w:line="173"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If we are deemed to be an investment company under the Investment Company Act, we may be required to institute burdensome compliance requirements and our activities may be restricted, which may make it difficult for us to complete our initial business combination.</w:t>
      </w:r>
    </w:p>
    <w:p>
      <w:pPr>
        <w:spacing w:after="0" w:line="12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If we are deemed to be an investment company under the Investment Company Act, our activities may be restricted, including restrictions on the nature of our investments and restrictions on the issuance of securities, each of which may make it difficult for us to complete our initial business combination. In addition, we may have imposed upon us burdensome requirements, including registration as an investment company, adoption of a specific form of corporate structure and reporting, record keeping, voting, proxy and disclosure requirements and other rules and regulations.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If we were deemed to be subject to the Investment Company Act, compliance with these additional regulatory burdens would require additional expenses for which we have not allotted funds and may hinder our ability to consummate our initial business combination.</w:t>
      </w:r>
    </w:p>
    <w:p>
      <w:pPr>
        <w:spacing w:after="0" w:line="166"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Changes in laws or regulations, or a failure to comply with any laws and regulations, may adversely affect our business, investments and results of operations.</w:t>
      </w:r>
    </w:p>
    <w:p>
      <w:pPr>
        <w:spacing w:after="0" w:line="16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are subject to laws and regulations enacted by national, regional and local governments, in particular, the Securities Exchange and Commission, or the “SEC”. Compliance with, and monitoring of, applicable laws and regulations may be difficult, time consuming and costly. Those laws and regulations and their interpretation and application also may change from time to time and those changes could have a material adverse effect on our business, investments and results of operations. In addition, a failure to comply with applicable laws or regulations, as interpreted and applied, could have a material adverse effect on our business and results of operations.</w:t>
      </w:r>
    </w:p>
    <w:p>
      <w:pPr>
        <w:spacing w:after="0" w:line="184"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If we are unable to consummate our initial business combination, our public stockholders may be forced to wait up to 24 months or longer before redemption from our trust account.</w:t>
      </w:r>
    </w:p>
    <w:p>
      <w:pPr>
        <w:spacing w:after="0" w:line="166"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If we are unable to consummate our initial business combination within 24 months from the closing of this offering, we will, as promptly as reasonably possible but not more than five business days thereafter (subject to our certificate of incorporation and applicable law), distribute the aggregate amount then on deposit in the trust account (net of taxes payable), pro rata to our public stockholders by way of redemption and cease all operations except for the purposes of winding up of our affairs by way of a voluntary liquidation, as further described herein. Any redemption of public stockholders from the trust account shall be effected as required by our certificate of incorporation prior to our commencing any voluntary liquidation. Except as otherwise described herein, we have no obligation to return funds to investors prior to the date of any redemption required as a result of our failure to consummate our initial business combination within the period described above or our liquidation, unless we consummate our initial business combination prior thereto and only then in cases where investors have sought to redeem their shares of common stock. Only upon any such redemption of public shares as we are required to effect or any liquidation will public stockholders be entitled to distributions if we are unable to complete our initial business combination.</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jc w:val="both"/>
        <w:spacing w:after="0" w:line="282" w:lineRule="auto"/>
        <w:rPr>
          <w:sz w:val="20"/>
          <w:szCs w:val="20"/>
          <w:color w:val="auto"/>
        </w:rPr>
      </w:pPr>
      <w:r>
        <w:rPr>
          <w:rFonts w:ascii="Arial" w:cs="Arial" w:eastAsia="Arial" w:hAnsi="Arial"/>
          <w:sz w:val="18"/>
          <w:szCs w:val="18"/>
          <w:b w:val="1"/>
          <w:bCs w:val="1"/>
          <w:color w:val="auto"/>
        </w:rPr>
        <w:t>The grant of registration rights to our initial stockholders may make it more difficult to complete our initial business combination, and the future exercise of such rights may adversely affect the market price of our shares of common stock.</w:t>
      </w:r>
    </w:p>
    <w:p>
      <w:pPr>
        <w:spacing w:after="0" w:line="16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Pursuant to an agreement to be entered into on the date of this prospectus, our initial stockholders, our sponsor (and/or our sponsor’s designees) and their permitted transferees can demand that we register the founder shares, the private shares. We will bear the cost of registering these securities. The registration and availability of such a significant number of securities for trading in the public market may have an adverse effect on the market price of our shares of common stock. In addition, the existence of the registration rights may make our initial business combination more costly or difficult to conclude. This is because the stockholder of the target business may increase the equity stake they seek in the combined entity or ask for more cash consideration to offset the negative impact on the market price of our shares of common stock that is expected when the securities owned by our sponsor, holders of our private shares or their respective permitted transferees are registered.</w:t>
      </w:r>
    </w:p>
    <w:p>
      <w:pPr>
        <w:spacing w:after="0" w:line="173" w:lineRule="exact"/>
        <w:rPr>
          <w:sz w:val="20"/>
          <w:szCs w:val="20"/>
          <w:color w:val="auto"/>
        </w:rPr>
      </w:pPr>
    </w:p>
    <w:p>
      <w:pPr>
        <w:jc w:val="both"/>
        <w:spacing w:after="0" w:line="312" w:lineRule="auto"/>
        <w:rPr>
          <w:sz w:val="20"/>
          <w:szCs w:val="20"/>
          <w:color w:val="auto"/>
        </w:rPr>
      </w:pPr>
      <w:r>
        <w:rPr>
          <w:rFonts w:ascii="Arial" w:cs="Arial" w:eastAsia="Arial" w:hAnsi="Arial"/>
          <w:sz w:val="17"/>
          <w:szCs w:val="17"/>
          <w:b w:val="1"/>
          <w:bCs w:val="1"/>
          <w:color w:val="auto"/>
        </w:rPr>
        <w:t>Because we have not selected a particular business or specific geographic location or any specific target businesses with which to pursue our initial business combination, you will be unable to ascertain the merits or risks of any particular target business’ operations.</w:t>
      </w:r>
    </w:p>
    <w:p>
      <w:pPr>
        <w:spacing w:after="0" w:line="144"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Although we have a stated focus on certain target businesses in a specific geographic location as indicated elsewhere in this prospectus, we may pursue acquisition opportunities in any geographic region, but may rely upon our management team’s background. While we may pursue an acquisition opportunity in any business industry or sector, we intend to initially focus on those industries or sectors that complement our management team’s background. Except for the limitations that a target business have a fair market value of at least 80% of the value of the trust account (excluding any taxes payable) and that we are not permitted to effectuate our initial business combination with another blank check company or similar company with nominal operations, we will have virtually unrestricted flexibility in identifying and selecting a prospective acquisition candidate. Because we have not yet identified or approached any specific target business with respect to our initial business combination, there is no basis to evaluate the possible merits or risks of any particular target business’s operations, results of operations, cash flows, liquidity, financial condition or prospects. To the extent we consummate our initial business combination, we may be affected by numerous risks inherent in the business operations with which we combine. For example, if we combine with a financially unstable business or an entity lacking an established record of sales or earnings, we may be affected by the risks inherent in the business and operations of a financially unstable or a development stage entity. Although our officers and directors will endeavor to evaluate the risks inherent in a particular target business, we may not properly ascertain or assess all of the significant risk factors or that we will have adequate time to complete due diligence. Furthermore, some of these risks may be outside of our control and leave us with no ability to control or reduce the chances that those risks will adversely impact a target business. In addition, investors will be relying on the business judgment of our board of directors, which will have significant discretion in choosing the standard used to establish the fair market value of a particular target business. An investment in our common stock may not ultimately prove to be more favorable to investors than a direct investment, if such opportunity were available, in an acquisition target.</w:t>
      </w:r>
    </w:p>
    <w:p>
      <w:pPr>
        <w:spacing w:after="0" w:line="17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may seek investment opportunities outside our management’s area of expertise and our management may not be able to adequately ascertain or assess all significant risks associated with the target company.</w:t>
      </w:r>
    </w:p>
    <w:p>
      <w:pPr>
        <w:spacing w:after="0" w:line="16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There is no limitation on the industry or business sector we may consider when contemplating our initial business combination. We may therefore be presented with a business combination candidate in an industry unfamiliar to our management team, but determine that such candidate offers an attractive investment opportunity for our company. In the event we elect to pursue an investment outside of our management’s expertise, our management’s experience may not be directly applicable to the target business or their evaluation of its operations.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jc w:val="both"/>
        <w:spacing w:after="0" w:line="314" w:lineRule="auto"/>
        <w:rPr>
          <w:sz w:val="20"/>
          <w:szCs w:val="20"/>
          <w:color w:val="auto"/>
        </w:rPr>
      </w:pPr>
      <w:r>
        <w:rPr>
          <w:rFonts w:ascii="Arial" w:cs="Arial" w:eastAsia="Arial" w:hAnsi="Arial"/>
          <w:sz w:val="16"/>
          <w:szCs w:val="16"/>
          <w:b w:val="1"/>
          <w:bCs w:val="1"/>
          <w:color w:val="auto"/>
        </w:rPr>
        <w:t>Although we identified general criteria and guidelines that we believe are important in evaluating prospective target businesses, we may enter into our initial business combination with a target that does not meet such criteria and guidelines, and as a result, the target business with which we enter into our initial business combination may not have attributes entirely consistent with our general criteria and guidelines.</w:t>
      </w:r>
    </w:p>
    <w:p>
      <w:pPr>
        <w:spacing w:after="0" w:line="14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Although we have identified specific criteria and guidelines for evaluating prospective target businesses, it is possible that a target business with which we enter into our initial business combination will not have all of these positive attributes. If we consummate our initial business combination with a target that does not meet some or all of these guidelines, such combination may not be as successful as a combination with a business that does meet all of our general criteria and guidelines. In addition, if we announce our initial business combination with a target that does not meet our general criteria and guidelines, a greater number of stockholders may exercise their redemption rights, which may make it difficult for us to meet any closing condition with a target business that requires us to have a minimum net worth or a certain amount of cash. In addition, if stockholder approval of the transaction is required by law or Nasdaq, or we decide to obtain stockholder approval for business or other legal reasons, it may be more difficult for us to attain stockholder approval of our initial business combination if the target business does not meet our general criteria and guidelines. If we are unable to complete our initial business combination, our public stockholders may only receive $10.00 per share or even less (whether or not the underwriters’ over-allotment option is exercised in full) on our redemption.</w:t>
      </w:r>
    </w:p>
    <w:p>
      <w:pPr>
        <w:spacing w:after="0" w:line="18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Management’s flexibility in identifying and selecting a prospective acquisition candidate, along with our management’s financial interest in consummating our initial business combination, may lead management to enter into an acquisition agreement that is not in the best interest of our stockholders.</w:t>
      </w:r>
    </w:p>
    <w:p>
      <w:pPr>
        <w:spacing w:after="0" w:line="18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Subject to the requirement that our initial business combination must be with one or more target businesses or assets having an aggregate fair market value of at least 80% of the value of the trust account (excluding any taxes payable) at the time of the agreement to enter into such initial business combination, we will have virtually unrestricted flexibility in identifying and selecting a prospective acquisition candidate. Investors will be relying on management’s ability to identify business combinations, evaluate their merits, conduct or monitor diligence and conduct negotiations. Management’s flexibility in identifying and selecting a prospective acquisition candidate, along with management’s financial interest in consummating our initial business combination, may lead management to enter into an acquisition agreement that is not in the best interest of our stockholders, which would be the case if the trading price of our shares of common stock after giving effect to such business combination was less than the per-share trust liquidation value that our stockholders would have received if we had dissolved without consummating our initial business combination.</w:t>
      </w:r>
    </w:p>
    <w:p>
      <w:pPr>
        <w:spacing w:after="0" w:line="17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are not required to obtain an opinion from an independent investment banking firm, and consequently, an independent source may not confirm that the price we are paying for the business is fair to our stockholders from a financial point of view.</w:t>
      </w:r>
    </w:p>
    <w:p>
      <w:pPr>
        <w:spacing w:after="0" w:line="16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Unless we consummate our initial business combination with an affiliated entity, we are not required to obtain an opinion from an independent investment banking firm that the price we are paying is fair to our stockholders from a financial point of view. If no opinion is obtained, our stockholders will be relying on the judgment of our board of directors, who will determine fair market value based on standards generally accepted by the financial community. Such standards used will be disclosed in our tender offer documents or proxy solicitation materials, as applicable, related to our initial business combination.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Resources could be wasted in researching acquisitions that are not consummated.</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anticipate that the investigation of each specific target business and the negotiation, drafting, and execution of relevant agreements, disclosure documents, and other instruments will require substantial management time and attention and substantial costs for accountants, attorneys and others. If we decide not to complete a specific initial business combination, the costs incurred up to that point for the proposed transaction likely would not be recoverable. Furthermore, if we reach an agreement relating to a specific target business, we may fail to consummate our initial business combination for any number of reasons including those beyond our control. Any such event will result in a loss to us of the related costs incurred, which could materially adversely affect subsequent attempts to locate and acquire or merge with another business. If we are unable to complete our initial business combination, our public stockholders may only receive $10.00 per share or even less (whether or not the underwriters’ over-allotment option is exercised in full) on our redemption.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jc w:val="both"/>
        <w:ind w:right="20"/>
        <w:spacing w:after="0" w:line="282" w:lineRule="auto"/>
        <w:rPr>
          <w:sz w:val="20"/>
          <w:szCs w:val="20"/>
          <w:color w:val="auto"/>
        </w:rPr>
      </w:pPr>
      <w:r>
        <w:rPr>
          <w:rFonts w:ascii="Arial" w:cs="Arial" w:eastAsia="Arial" w:hAnsi="Arial"/>
          <w:sz w:val="18"/>
          <w:szCs w:val="18"/>
          <w:b w:val="1"/>
          <w:bCs w:val="1"/>
          <w:color w:val="auto"/>
        </w:rPr>
        <w:t>Our ability to successfully effect our initial business combination and to be successful thereafter will be largely dependent upon the efforts of our officers, directors and key personnel, some of whom may join us following our initial business combination.</w:t>
      </w:r>
    </w:p>
    <w:p>
      <w:pPr>
        <w:spacing w:after="0" w:line="16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operations are dependent upon a relatively small group of individuals and, in particular, our officers and directors. We believe that our success depends on the continued service of our officers and directors, at least until we have consummated our initial business combination. In addition, our officers and directors are not required to commit any specified amount of time to our affairs and, accordingly, will have conflicts of interest in allocating management time among various business activities, including identifying potential business combinations and monitoring the related due diligence. We do not have an employment agreement with, or key-man insurance on the life of, any of our directors or officers. The unexpected loss of the services of one or more of our directors or officers could have a detrimental effect on us.</w:t>
      </w:r>
    </w:p>
    <w:p>
      <w:pPr>
        <w:spacing w:after="0" w:line="17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role of such persons in the target business, however, cannot presently be ascertained. Although some of such persons may remain with the target business in senior management or advisory positions following our initial business combination, it is likely that some or all of the management of the target business will remain in place. While we intend to closely scrutinize any individuals we engage after our initial business combination, our assessment of these individuals may not prove to be correct. These individuals may be unfamiliar with the requirements of operating a company regulated by the SEC, which could cause us to have to expend time and resources helping them become familiar with such requirements.</w:t>
      </w:r>
    </w:p>
    <w:p>
      <w:pPr>
        <w:spacing w:after="0" w:line="172"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Our key personnel may negotiate employment or consulting agreements with a target business in connection with a particular business combination. These agreements may provide for them to receive compensation following our initial business combination and as a result, may cause them to have conflicts of interest in determining whether a particular business combination is the most advantageous.</w:t>
      </w:r>
    </w:p>
    <w:p>
      <w:pPr>
        <w:spacing w:after="0" w:line="16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key personnel may be able to remain with us after the consummation of our initial business combination only if they are able to negotiate employment or consulting agreements in connection with the business combination. Such negotiations would take place simultaneously with the negotiation of the business combination and could provide for such individuals to receive compensation in the form of cash payments and/or our securities for services they would render to us after the consummation of the business combination. The personal and financial interests of such individuals may influence their motivation in identifying and selecting a target business. However, we believe the ability of such individuals to remain with us after the consummation of our initial business combination will not be the determining factor in our decision as to whether or not we will proceed with any potential business combination. There is no certainty, however, that any of our key personnel will remain with us after the consummation of our initial business combination. Our key personnel may not remain in senior management or advisory positions with us. The determination as to whether any of our key personnel will remain with us will be made at the time of our initial business combination. In addition, pursuant to an agreement to be entered into concurrently with the issuance and sale of the securities in this offering, our sponsor, upon consummation of an initial business combination, will be entitled to nominate three individuals for election to our board of directors.</w:t>
      </w:r>
    </w:p>
    <w:p>
      <w:pPr>
        <w:spacing w:after="0" w:line="17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search for a business combination, and any target business with which we ultimately consummate a business combination, may be materially adversely affected by the recent COVID-19 coronavirus pandemic and the status of debt and equity markets.</w:t>
      </w:r>
    </w:p>
    <w:p>
      <w:pPr>
        <w:spacing w:after="0" w:line="16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COVID-19 pandemic could materially and adversely affect the business of any potential target business with which we consummate a business combination. Furthermore, we may be unable to complete a business combination if continued concerns relating to COVID-19 restrict travel, limit the ability to have meetings with potential investors, if the target company’s personnel, vendors and service providers are unavailable to negotiate and consummate a transaction in a timely manner, or if COVID-19 causes a prolonged economic downturn. The extent to which COVID-19 impacts our search for a business combination will depend on future developments, which are highly uncertain and cannot be predicted, including new information which may emerge concerning the severity of COVID-19 and the actions to contain COVID-19 or treat its impact, among others. If the disruptions posed by COVID-19 or other matters of global concern continue for an extensive period of time, our ability to consummate a business combination, or the operations of a target business with which we ultimately consummate a business combination, may be materially adversely affected.</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jc w:val="both"/>
        <w:spacing w:after="0" w:line="277" w:lineRule="auto"/>
        <w:rPr>
          <w:sz w:val="20"/>
          <w:szCs w:val="20"/>
          <w:color w:val="auto"/>
        </w:rPr>
      </w:pPr>
      <w:r>
        <w:rPr>
          <w:rFonts w:ascii="Arial" w:cs="Arial" w:eastAsia="Arial" w:hAnsi="Arial"/>
          <w:sz w:val="18"/>
          <w:szCs w:val="18"/>
          <w:color w:val="auto"/>
        </w:rPr>
        <w:t>In addition, our ability to consummate a business combination may be dependent on the ability to raise equity and debt financing which may be impacted by COVID-19 and other events.</w:t>
      </w:r>
    </w:p>
    <w:p>
      <w:pPr>
        <w:spacing w:after="0" w:line="166" w:lineRule="exact"/>
        <w:rPr>
          <w:sz w:val="20"/>
          <w:szCs w:val="20"/>
          <w:color w:val="auto"/>
        </w:rPr>
      </w:pPr>
    </w:p>
    <w:p>
      <w:pPr>
        <w:jc w:val="both"/>
        <w:spacing w:after="0" w:line="312" w:lineRule="auto"/>
        <w:rPr>
          <w:sz w:val="20"/>
          <w:szCs w:val="20"/>
          <w:color w:val="auto"/>
        </w:rPr>
      </w:pPr>
      <w:r>
        <w:rPr>
          <w:rFonts w:ascii="Arial" w:cs="Arial" w:eastAsia="Arial" w:hAnsi="Arial"/>
          <w:sz w:val="17"/>
          <w:szCs w:val="17"/>
          <w:b w:val="1"/>
          <w:bCs w:val="1"/>
          <w:color w:val="auto"/>
        </w:rPr>
        <w:t>The securities in which we invest the funds held in the trust account could bear a negative rate of interest, which could reduce the value of the assets held in trust such that the per-share redemption amount received by public shareholders may be less than $10.00 per share.</w:t>
      </w:r>
    </w:p>
    <w:p>
      <w:pPr>
        <w:spacing w:after="0" w:line="14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proceeds held in the trust account will be invested only in U.S. government treasury obligations with a maturity of 185 days or less or in money market funds meeting certain conditions under Rule 2a-7 under the Investment Company Act, which invest only in direct U.S. government treasury obligations. While short-term U.S. government treasury obligations currently yield a positive rate of interest, they have briefly yielded negative interest rates in recent years. Central banks in Europe and Japan pursued interest rates below zero in recent years, and the Open Market Committee of the Federal Reserve has not ruled out the possibility that it may in the future adopt similar policies in the United States. In the event that we are unable to complete our initial business combination or make certain amendments to our amended and restated certificate of incorporation, our public shareholders are entitled to receive their prorate share of the proceeds held in the trust account, plus any interest income, net of taxes paid or payable (less, in the case we are unable to complete our initial business combination, $100,000 of interest). Negative interest rates could reduce the value of the assets held in trust such that the per-share redemption amount received by public shareholders may be less than $10.00 per share.</w:t>
      </w:r>
    </w:p>
    <w:p>
      <w:pPr>
        <w:spacing w:after="0" w:line="17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Because we intend to seek a business combination with a target business in the healthcare industry, we expect our future operations to be subject to risks associated with the healthcare industry.</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Healthcare and biotechnology related companies are generally subject to greater governmental regulation than most other industries at the U.S. state and federal levels, and internationally. In recent years, both local and national governmental budgets have come under pressure to reduce spending and control healthcare costs, which could both adversely affect regulatory processes and public funding available for healthcare products, services and facilities. In March 2010, comprehensive healthcare reform legislation was enacted in the United States. These laws are intended to increase health insurance coverage through individual and employer mandates, subsidies offered to lower income individuals, tax credits available to smaller employers and broadening of Medicaid eligibility.</w:t>
      </w:r>
    </w:p>
    <w:p>
      <w:pPr>
        <w:spacing w:after="0" w:line="19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While one intent of healthcare reform is to expand health insurance coverage to more individuals, it may also involve additional regulatory mandates and other measures designed to constrain medical costs, including coverage and reimbursement for healthcare services. Healthcare reform has had a significant impact on the healthcare industry in the United States and consequently has the ability to affect companies within the healthcare industry and the biotechnology sector. The ultimate effects of federal healthcare reform or any future legislation or regulation, or healthcare initiatives, if any, on the healthcare industry, including the biotechnology sector, whether implemented at the federal or state level or internationally, cannot be predicted with certainty and such reform, legislation, regulation or initiatives may adversely affect the performance of a potential business combination.</w:t>
      </w:r>
    </w:p>
    <w:p>
      <w:pPr>
        <w:spacing w:after="0" w:line="16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Changes in governmental policies may have a material effect on the demand for or costs of certain products and services. A healthcare or biotechnology related company must receive government approval before introducing new drugs and medical devices or procedures. This process may delay the introduction of these products and services to the marketplace, resulting in increased development costs, delayed cost recovery and loss of competitive advantage to the extent that rival companies have developed competing products or procedures, adversely affecting the company’s revenues and profitability. Failure to obtain governmental approval of a key drug or device or other regulatory action could have a material adverse effect on the business of a target company. Additionally, expansion of facilities by healthcare related providers is subject to “determinations of need” by the appropriate government authorities. This process not only increases the time and cost involved in these expansions, but also makes expansion plans uncertain, limiting the revenue and profitability growth potential of healthcare related facilities operators.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3" w:name="page34"/>
    <w:bookmarkEnd w:id="33"/>
    <w:p>
      <w:pPr>
        <w:jc w:val="both"/>
        <w:spacing w:after="0" w:line="290" w:lineRule="auto"/>
        <w:rPr>
          <w:sz w:val="20"/>
          <w:szCs w:val="20"/>
          <w:color w:val="auto"/>
        </w:rPr>
      </w:pPr>
      <w:r>
        <w:rPr>
          <w:rFonts w:ascii="Arial" w:cs="Arial" w:eastAsia="Arial" w:hAnsi="Arial"/>
          <w:sz w:val="16"/>
          <w:szCs w:val="16"/>
          <w:color w:val="auto"/>
        </w:rPr>
        <w:t>Certain healthcare and biotechnology related companies depend on the exclusive rights or patents for the products they develop and distribute. Patents have a limited duration and, upon expiration, other companies may market substantially similar “generic” products that are typically sold at a lower price than the patented product, causing the original developer of the product to lose market share and/or reduce the price charged for the product, resulting in lower profits for the original developer. As a result, the expiration of patents may adversely affect the profitability of these companies. The profitability of healthcare and biotechnology related companies may also be affected, among other factors, by restrictions on government reimbursement for medical expenses, rising or falling costs of medical products and services, pricing pressure, an increased emphasis on outpatient services, a limited product offering, industry innovation, changes in technologies and other market developments. Finally, because the products and services of healthcare and biotechnology related companies affect the health and well-being of many individuals, these companies are especially susceptible to product liability lawsuits.</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healthcare industry and the biotechnology sector spend heavily on research and development. Research findings (e.g., regarding side effects or comparative benefits of one or more particular treatments, services or products) and technological innovation (together with patent expirations) may make any particular treatment, service or product less attractive if previously unknown or underappreciated risks are revealed, or if a more effective, less costly or less risky solution is or becomes available. Any such development could have a material adverse effect on the companies that are target businesses for investment.</w:t>
      </w:r>
    </w:p>
    <w:p>
      <w:pPr>
        <w:spacing w:after="0" w:line="184"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We may have a limited ability to assess the management of a prospective target business and, as a result, may effectuate our initial business combination with a target business whose management may not have the skills, qualifications or abilities to manage a public company.</w:t>
      </w:r>
    </w:p>
    <w:p>
      <w:pPr>
        <w:spacing w:after="0" w:line="12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When evaluating the desirability of effecting our initial business combination with a prospective target business, our ability to assess the target business’ management may be limited due to a lack of time, resources or information. Our assessment of the capabilities of the target’s management, therefore, may prove to be incorrect and such management may lack the skills, qualifications or abilities we suspected. Should the target’s management not possess the skills, qualifications or abilities necessary to manage a public company, the operations and profitability of the post-combination business may be negatively impacted.</w:t>
      </w:r>
    </w:p>
    <w:p>
      <w:pPr>
        <w:spacing w:after="0" w:line="184" w:lineRule="exact"/>
        <w:rPr>
          <w:sz w:val="20"/>
          <w:szCs w:val="20"/>
          <w:color w:val="auto"/>
        </w:rPr>
      </w:pPr>
    </w:p>
    <w:p>
      <w:pPr>
        <w:jc w:val="both"/>
        <w:ind w:right="20"/>
        <w:spacing w:after="0" w:line="312" w:lineRule="auto"/>
        <w:rPr>
          <w:sz w:val="20"/>
          <w:szCs w:val="20"/>
          <w:color w:val="auto"/>
        </w:rPr>
      </w:pPr>
      <w:r>
        <w:rPr>
          <w:rFonts w:ascii="Arial" w:cs="Arial" w:eastAsia="Arial" w:hAnsi="Arial"/>
          <w:sz w:val="17"/>
          <w:szCs w:val="17"/>
          <w:b w:val="1"/>
          <w:bCs w:val="1"/>
          <w:color w:val="auto"/>
        </w:rPr>
        <w:t>The officers and directors of an acquisition candidate may resign upon consummation of our initial business combination. The loss of an acquisition target’s key personnel could negatively impact the operations and profitability of our post-combination business.</w:t>
      </w:r>
    </w:p>
    <w:p>
      <w:pPr>
        <w:spacing w:after="0" w:line="14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role of an acquisition candidate’s key personnel upon the consummation of our initial business combination cannot be ascertained at this time. Although we contemplate that certain members of an acquisition candidate’s management team will remain associated with the acquisition candidate following our initial business combination, it is possible that some members of the management team of an acquisition candidate will not wish to remain in place.</w:t>
      </w:r>
    </w:p>
    <w:p>
      <w:pPr>
        <w:spacing w:after="0" w:line="18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Certain of our officers and directors are affiliated with entities engaged in business activities similar to those intended to be conducted by us and, accordingly, may have conflicts of interest in allocating their time and determining to which entity a particular business opportunity should be presented.</w:t>
      </w:r>
    </w:p>
    <w:p>
      <w:pPr>
        <w:spacing w:after="0" w:line="180"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Following the completion of this offering and until we consummate our business combination, we intend to engage in the business of identifying and combining with one or more businesses. Certain of our executive officers and directors are affiliated with entities that are engaged in a similar business.</w:t>
      </w:r>
    </w:p>
    <w:p>
      <w:pPr>
        <w:spacing w:after="0" w:line="12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officers may become aware of business opportunities which may be appropriate for presentation to us and the other entities to which they owe certain fiduciary duties. Accordingly, they may have conflicts of interest in determining to which entity a particular business opportunity should be presented.</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4" w:name="page35"/>
    <w:bookmarkEnd w:id="34"/>
    <w:p>
      <w:pPr>
        <w:ind w:left="340"/>
        <w:spacing w:after="0"/>
        <w:rPr>
          <w:sz w:val="20"/>
          <w:szCs w:val="20"/>
          <w:color w:val="auto"/>
        </w:rPr>
      </w:pPr>
      <w:r>
        <w:rPr>
          <w:rFonts w:ascii="Arial" w:cs="Arial" w:eastAsia="Arial" w:hAnsi="Arial"/>
          <w:sz w:val="16"/>
          <w:szCs w:val="16"/>
          <w:color w:val="auto"/>
        </w:rPr>
        <w:t>Any conflict of interest may not be resolved in our favor and potential target businesses may be presented to another entity prior to its presentation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us.</w:t>
      </w:r>
    </w:p>
    <w:p>
      <w:pPr>
        <w:spacing w:after="0" w:line="207"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Certain shares beneficially owned by our officers and directors will not participate in liquidation distributions and, therefore, our officers and directors may have a conflict of interest in determining whether a particular target business is appropriate for our initial business combination.</w:t>
      </w:r>
    </w:p>
    <w:p>
      <w:pPr>
        <w:spacing w:after="0" w:line="12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officers and directors have waived their right to redeem any shares in connection with our initial business combination, or to receive distributions with respect to their founder shares upon our liquidation if we are unable to consummate our initial business combination. Accordingly, these securities will be worthless if we do not consummate our initial business combination. The personal and financial interests of our directors and officers may influence their motivation in timely identifying and selecting a target business and completing a business combination. Consequently, our directors’ and officers’ discretion in identifying and selecting a suitable target business may result in a conflict of interest when determining whether the terms, conditions and timing of a particular business combination are appropriate and in our stockholders’ best interest.</w:t>
      </w:r>
    </w:p>
    <w:p>
      <w:pPr>
        <w:spacing w:after="0" w:line="17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may engage in our initial business combination with one or more target businesses that have relationships with entities that may be affiliated with our executive officers, directors or existing holders, which may raise potential conflicts of interest.</w:t>
      </w:r>
    </w:p>
    <w:p>
      <w:pPr>
        <w:spacing w:after="0" w:line="16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We have not adopted a policy that expressly prohibits our directors, officers, security holders or affiliates from having a direct or indirect pecuniary or financial interest in any investment to be acquired or disposed of by us or in any transaction to which we are a party or have an interest. In light of the involvement of our sponsor, officers and directors with other entities, we may decide to acquire one or more businesses affiliated with our sponsor, officers and directors. Our directors also serve as officers and board members for other entities. Our sponsor, officers and directors are not currently aware of any specific opportunities for us to consummate our initial business combination with any entities with which they are affiliated, and there have been no preliminary discussions concerning a business combination with any entity or entities. Although we will not be specifically focusing on, or targeting, any transaction with any affiliated entities, we would pursue such a transaction if we determined that such affiliated entity met our criteria for our initial business combination as set forth in “Proposed Business — Effecting our initial business combination — Selection of a target business and structuring of our initial business combination” and such transaction was approved by a majority of our disinterested directors. Despite our agreement to obtain an opinion from an independent investment banking firm, or another independent entity that commonly renders valuation opinions on the type of target business we seek to acquire, regarding the fairness to our stockholders from a financial point of view of a business combination with one or more domestic or international businesses affiliated with our executive officers, directors or existing holders, potential conflicts of interest still may exist and, as a result, the terms of the business combination may not be as advantageous to our public stockholders as they would be absent any conflicts of interest. Our directors have a fiduciary duty to act in the best interests of our stockholders, whether or not a conflict of interest may exist.</w:t>
      </w:r>
    </w:p>
    <w:p>
      <w:pPr>
        <w:spacing w:after="0" w:line="167"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Because our sponsor will lose its entire initial investment in us if our initial business combination is not consummated and our officers and directors have significant financial interests in us, a conflict of interest may arise in determining whether a particular acquisition target is appropriate for our initial business combination.</w:t>
      </w:r>
    </w:p>
    <w:p>
      <w:pPr>
        <w:spacing w:after="0" w:line="18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On June 4, 2020 our sponsor purchased 3,593,750 shares, which we refer to herein as “founder shares” or “insider shares,” for an aggregate purchase price of $25,000. The founder shares include an aggregate of up to 468,750 shares that are subject to forfeiture to the extent that the underwriters’ over-allotment option is not exercised in full or in part. The founder shares will be worthless if we do not consummate an initial business combination. In addition, our sponsor has committed to purchase from us an aggregate of 450,000 shares of common stock (or 487,500 shares if the underwriters’ over-allotment option is exercised in full), in a private placement that will close simultaneously with the closing of this offering at a purchase price of $10.00 per share. We refer to these shares as the “private shares”. The aggregate purchase price of $4,500,000 (or $4,875,000 if the underwriters’ over-allotment option is exercised in full) for the private shares will also be worthless if we do not consummate our initial business combination.</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5" w:name="page36"/>
    <w:bookmarkEnd w:id="35"/>
    <w:p>
      <w:pPr>
        <w:jc w:val="both"/>
        <w:spacing w:after="0" w:line="282" w:lineRule="auto"/>
        <w:rPr>
          <w:sz w:val="20"/>
          <w:szCs w:val="20"/>
          <w:color w:val="auto"/>
        </w:rPr>
      </w:pPr>
      <w:r>
        <w:rPr>
          <w:rFonts w:ascii="Arial" w:cs="Arial" w:eastAsia="Arial" w:hAnsi="Arial"/>
          <w:sz w:val="18"/>
          <w:szCs w:val="18"/>
          <w:b w:val="1"/>
          <w:bCs w:val="1"/>
          <w:color w:val="auto"/>
        </w:rPr>
        <w:t>We may issue notes or other debt securities, or otherwise incur substantial debt, to complete our initial business combination, which may adversely affect our financial condition and thus negatively impact the value of our stockholders’ investment in us.</w:t>
      </w:r>
    </w:p>
    <w:p>
      <w:pPr>
        <w:spacing w:after="0" w:line="16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Although we have no commitments as of the date of this prospectus to issue any notes or other debt securities, or to otherwise incur outstanding debt, we may choose to incur substantial debt to complete our initial business combination. If we incur any indebtedness without a waiver from the lender of any right, title, interest or claim of any kind in or to any monies held in the trust account, the incurrence of debt could have a variety of negative effects, including:</w:t>
      </w:r>
    </w:p>
    <w:p>
      <w:pPr>
        <w:spacing w:after="0" w:line="187"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default and foreclosure on our assets if our operating revenues after our initial business combination are insufficient to repay our debt obligations;</w:t>
      </w:r>
    </w:p>
    <w:p>
      <w:pPr>
        <w:spacing w:after="0" w:line="248" w:lineRule="exact"/>
        <w:rPr>
          <w:rFonts w:ascii="Arial" w:cs="Arial" w:eastAsia="Arial" w:hAnsi="Arial"/>
          <w:sz w:val="16"/>
          <w:szCs w:val="16"/>
          <w:color w:val="auto"/>
        </w:rPr>
      </w:pPr>
    </w:p>
    <w:p>
      <w:pPr>
        <w:ind w:left="660" w:hanging="328"/>
        <w:spacing w:after="0" w:line="308"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security is payable on demand;</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inability to obtain necessary additional financing if the debt security contains covenants restricting our ability to obtain such financing while the debt security is outstanding;</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inability to pay dividends on our shares of common stock;</w:t>
      </w:r>
    </w:p>
    <w:p>
      <w:pPr>
        <w:spacing w:after="0" w:line="22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using a substantial portion of our cash flow to pay principal and interest on our debt, which will reduce the funds available for dividends on our shares of common stock if declared, expenses, capital expenditures, acquisitions and other general corporate purposes;</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limitations on our flexibility in planning for and reacting to changes in our business and in the industry in which we operate;</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increased vulnerability to adverse changes in general economic, industry and competitive conditions and adverse changes in government regulation;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limitations on our ability to borrow additional amounts for expenses, capital expenditures, acquisitions, debt service requirements, execution of our strategy and other purposes and other disadvantages compared to our competitors who have less debt.</w:t>
      </w:r>
    </w:p>
    <w:p>
      <w:pPr>
        <w:spacing w:after="0" w:line="16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We may only be able to complete one business combination with the proceeds of this offering, which will cause us to be solely dependent on a single business, which may have a limited number of products or services. This lack of diversification may negatively impact our operations and profitability.</w:t>
      </w:r>
    </w:p>
    <w:p>
      <w:pPr>
        <w:spacing w:after="0" w:line="18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net proceeds from this offering together with the funds we will receive from the sale of the private shares (excluding $1,250,000 of net proceeds that will not be held in the trust account) will provide us with approximately $125,000,000 (or approximately $143,750,000 if the underwriters’ over-allotment option is exercised in full) that we may use to complete our initial business combination.</w:t>
      </w:r>
    </w:p>
    <w:p>
      <w:pPr>
        <w:spacing w:after="0" w:line="184"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We may effectuate our initial business combination with a single target business or multiple target businesses simultaneously. However, we may not be able to effectuate our initial business combination with more than one target business because of various factors, including the existence of complex accounting issues and the requirement that we prepare and file pro forma financial statements with the SEC that present operating results and the financial condition of several target businesses as if they had been operated on a combined basis. By consummating our initial business combination with only a single entity, our lack of diversification may subject us to numerous economic, competitive and regulatory developments. Further, we would not be able to diversify our operations or benefit from the possible spreading of risks or offsetting of losses, unlike other entities, which may have the resources to complete several business combinations in different industries or different areas of a single industry. Accordingly, the prospects for our success may be solely dependent upon the performance of a single business, property or asset, or dependent upon the development or market acceptance of a single or limited number of products or services. This lack of diversification may subject us to numerous economic, competitive and regulatory developments, any or all of which may have a substantial adverse impact upon the particular industry in which we may operate subsequent to our initial business combination.</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jc w:val="both"/>
        <w:spacing w:after="0" w:line="266" w:lineRule="auto"/>
        <w:rPr>
          <w:sz w:val="20"/>
          <w:szCs w:val="20"/>
          <w:color w:val="auto"/>
        </w:rPr>
      </w:pPr>
      <w:r>
        <w:rPr>
          <w:rFonts w:ascii="Arial" w:cs="Arial" w:eastAsia="Arial" w:hAnsi="Arial"/>
          <w:sz w:val="18"/>
          <w:szCs w:val="18"/>
          <w:b w:val="1"/>
          <w:bCs w:val="1"/>
          <w:color w:val="auto"/>
        </w:rPr>
        <w:t>We may attempt to simultaneously consummate business combinations with multiple prospective targets, which may hinder our ability to consummate our initial business combination and give rise to increased costs and risks that could negatively impact our operations and profitability.</w:t>
      </w:r>
    </w:p>
    <w:p>
      <w:pPr>
        <w:spacing w:after="0" w:line="18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If we determine to simultaneously acquire several businesses that are owned by different sellers, we will need for each of such sellers to agree that our purchase of its business is contingent on the simultaneous closings of the other business combinations, which may make it more difficult for us, and delay our ability, to complete the initial business combination. With multiple business combinations, we could also face additional risks, including additional burdens and costs with respect to possible multiple negotiations and due diligence investigations (if there are multiple sellers) and the additional risks associated with the subsequent assimilation of the operations and services or products of the acquired companies in a single operating business. If we are unable to adequately address these risks, it could negatively impact our profitability and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attempt to consummate our initial business combination with a private company about which little information is available.</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pursuing our acquisition strategy, we may seek to effectuate our initial business combination with a privately held company. By definition, very little public information exists about private companies, and we could be required to make our decision on whether to pursue a potential initial business combination on the basis of limited information, which may result in our initial business combination with a company that is not as profitable as we suspected, if at all.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maintain control of a target business after our initial business combination.</w:t>
      </w:r>
    </w:p>
    <w:p>
      <w:pPr>
        <w:spacing w:after="0" w:line="22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may structure our initial business combination to acquire less than 100% of the equity interests or assets of a target business, but we will only consummate such business combination if we will become the majority stockholder of the target (or control the target through contractual arrangements in limited circumstances for regulatory compliance purposes) or are otherwise not required to register as an investment company under the Investment Company Act or to the extent permitted by law we may acquire interests in a variable interest entity, in which we may have less than a majority of the voting rights in such entity, but in which we are the primary beneficiary. Even though we may own a majority interest in the target, our stockholders prior to the business combination may collectively own a minority interest in the post business combination company, depending on valuations ascribed to the target and us in the business combination transaction. For example, we could pursue a transaction in which we issue a substantial number of new shares in exchange for all of the outstanding capital stock of a target. In this case, we acquire a 100% controlling interest in the target. However, as a result of the issuance of a substantial number of new shares, our stockholders immediately prior to such transaction could own less than a majority of our outstanding shares subsequent to such transaction. In addition, other minority stockholders may subsequently combine their holdings resulting in a single person or group obtaining a larger share of the company’s stock than we initially acquired. Accordingly, this may make it more likely that we will not be able to maintain our control of the target business.</w:t>
      </w:r>
    </w:p>
    <w:p>
      <w:pPr>
        <w:spacing w:after="0" w:line="17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ability of our public stockholders to exercise their redemption rights may not allow us to effectuate the most desirable business combination or optimize our capital structure.</w:t>
      </w:r>
    </w:p>
    <w:p>
      <w:pPr>
        <w:spacing w:after="0" w:line="16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If our initial business combination requires us to use substantially all of our cash to pay the purchase price, because we will not know how many public stockholders may exercise redemption rights, we may either need to reserve part of the trust account for possible payment upon such redemption, or we may need to arrange third party financing to help fund our initial business combination. In the event that the acquisition involves the issuance of our stock as consideration, we may be required to issue a higher percentage of our stock to make up for a shortfall in funds. Raising additional funds to cover any shortfall may involve dilutive equity financing or incurring indebtedness at higher than desirable levels. This may limit our ability to effectuate the most attractive business combination available to us.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jc w:val="both"/>
        <w:spacing w:after="0" w:line="282" w:lineRule="auto"/>
        <w:rPr>
          <w:sz w:val="20"/>
          <w:szCs w:val="20"/>
          <w:color w:val="auto"/>
        </w:rPr>
      </w:pPr>
      <w:r>
        <w:rPr>
          <w:rFonts w:ascii="Arial" w:cs="Arial" w:eastAsia="Arial" w:hAnsi="Arial"/>
          <w:sz w:val="18"/>
          <w:szCs w:val="18"/>
          <w:b w:val="1"/>
          <w:bCs w:val="1"/>
          <w:color w:val="auto"/>
        </w:rPr>
        <w:t>In connection with any meeting held to approve an initial business combination, we will offer each public stockholder the option to vote in favor of the proposed business combination and still seek redemption of his, her or its shares.</w:t>
      </w:r>
    </w:p>
    <w:p>
      <w:pPr>
        <w:spacing w:after="0" w:line="16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connection with any meeting held to approve an initial business combination, we will offer each public stockholder (but not our initial stockholders, officers or directors) the right to have his, her or its shares of common stock redeemed for cash (subject to the limitations described elsewhere in this prospectus) regardless of whether such stockholder votes for or against such proposed business combination; provided that a stockholder must in fact vote for or against a proposed business combination in order to have his, her or its shares of common stock redeemed for cash. If a stockholder fails to vote for or against a proposed business combination, that stockholder would not be able to have his shares of common stock so redeemed. We will consummate our initial business combination only if we have net tangible assets of at least $5,000,001 upon such consummation and a majority of the outstanding shares of common stock voted are voted in favor of the business combination. This is different than other similarly structured blank check companies where stockholders are offered the right to redeem their shares only when they vote against a proposed business combination. This threshold and the ability to seek redemption while voting in favor of a proposed business combination may make it more likely that we will consummate our initial business combination.</w:t>
      </w:r>
    </w:p>
    <w:p>
      <w:pPr>
        <w:spacing w:after="0" w:line="19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A public stockholder who fails to vote either in favor of or against a proposed business combination will not be able to have his shares redeemed for cash.</w:t>
      </w:r>
    </w:p>
    <w:p>
      <w:pPr>
        <w:spacing w:after="0" w:line="16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order for a public stockholder to have his shares redeemed for cash in connection with any proposed business combination, that public stockholder must vote either in favor of or against a proposed business combination. If a public stockholder fails to vote in favor of or against a proposed business combination, whether that stockholder abstains from the vote or simply does not vote, that stockholder would not be able to have his shares of common stock so redeemed to cash in connection with such business combination.</w:t>
      </w:r>
    </w:p>
    <w:p>
      <w:pPr>
        <w:spacing w:after="0" w:line="18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We will require public stockholders who wish to redeem their shares of common stock in connection with a proposed business combination or amendment to our certificate of incorporation to effect the substance or timing of their redemption obligation if we fail to timely complete a business combination to comply with specific requirements for redemption that may make it more difficult for them to exercise their redemption rights prior to the deadline for exercising their rights.</w:t>
      </w:r>
    </w:p>
    <w:p>
      <w:pPr>
        <w:spacing w:after="0" w:line="184"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We will require our public stockholders seeking to exercise their redemption rights, whether they are record holders or hold their shares in “street name,” to either tender their certificates to our transfer agent prior to the expiration date set forth in the tender offer documents mailed to such holders, or in the event we distribute proxy materials, up to two business days prior to the vote on the proposal to approve the business combination or amendment to our certificate of incorporation to affect the substance or timing of our redemption obligation to redeem all public shares if we cannot complete an initial business combination, or to deliver their shares to the transfer agent electronically using Depository Trust Company’s DWAC (Deposit/Withdrawal At Custodian) System, at the holder’s option. In order to obtain a physical stock certificate, a stockholder’s broker and/or clearing broker, DTC and our transfer agent will need to act to facilitate this request. It is our understanding that stockholders should generally allot at least two weeks to obtain physical certificates from the transfer agent. However, because we do not have any control over this process or over the brokers or DTC, it may take significantly longer than two weeks to obtain a physical stock certificate. While we have been advised that it takes a short time to deliver shares through the DWAC System, this may not be the case. Under our certificate of incorporation, we are required to provide at least 10 days advance notice of any stockholder meeting, which would be the minimum amount of time a stockholder would have to determine whether to exercise redemption rights. Accordingly, if it takes longer than we anticipate for stockholders to deliver their shares, stockholders who wish to redeem may be unable to meet the deadline for exercising their redemption rights and thus may be unable to redeem their shares.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jc w:val="both"/>
        <w:spacing w:after="0" w:line="282" w:lineRule="auto"/>
        <w:rPr>
          <w:sz w:val="20"/>
          <w:szCs w:val="20"/>
          <w:color w:val="auto"/>
        </w:rPr>
      </w:pPr>
      <w:r>
        <w:rPr>
          <w:rFonts w:ascii="Arial" w:cs="Arial" w:eastAsia="Arial" w:hAnsi="Arial"/>
          <w:sz w:val="18"/>
          <w:szCs w:val="18"/>
          <w:b w:val="1"/>
          <w:bCs w:val="1"/>
          <w:color w:val="auto"/>
        </w:rPr>
        <w:t>Redeeming stockholders may be unable to sell their securities when they wish to in the event that the proposed business combination is not approved.</w:t>
      </w:r>
    </w:p>
    <w:p>
      <w:pPr>
        <w:spacing w:after="0" w:line="16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will require public stockholders who wish to redeem their shares of common stock in connection with any proposed business combination to comply with the delivery requirements discussed above for redemption. If such proposed business combination is not consummated, we will promptly return such certificates to the tendering public stockholders. Accordingly, investors who attempted to redeem their shares in such a circumstance will be unable to sell their securities after the failed acquisition until we have returned their securities to them. The market price for our shares of common stock may decline during this time and you may not be able to sell your securities when you wish, even while other stockholders that did not seek redemption may be able to sell their securities.</w:t>
      </w:r>
    </w:p>
    <w:p>
      <w:pPr>
        <w:spacing w:after="0" w:line="188"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Because of our structure, other companies may have a competitive advantage and we may not be able to consummate an attractive business combination.</w:t>
      </w:r>
    </w:p>
    <w:p>
      <w:pPr>
        <w:spacing w:after="0" w:line="166"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expect to encounter intense competition from entities other than blank check companies having a business objective similar to ours, including venture capital funds, leveraged buyout funds and operating businesses competing for acquisitions. Many of these entities are well established and have extensive experience in identifying and effecting business combinations directly or through affiliates. Many of these competitors possess greater technical, human and other resources than we do and our financial resources will be relatively limited when contrasted with those of many of these competitors. Therefore, our ability to compete in acquiring certain sizable target businesses may be limited by our available financial resources. This inherent competitive limitation gives others an advantage in pursuing the acquisition of certain target businesses. Furthermore, seeking stockholder approval of our initial business combination may delay the consummation of a transaction. Additionally, our rights, and the future dilution they represent (entitling the holders to receive shares of common stock on consummation of our initial business combination), may not be viewed favorably by certain target businesses. Any of the foregoing may place us at a competitive disadvantage in successfully negotiating our initial business combination.</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amended and restated certificate of incorporation contains provisions that prohibit our engaging in business combinations with interested stockholders in certain circumstances.</w:t>
      </w:r>
    </w:p>
    <w:p>
      <w:pPr>
        <w:spacing w:after="0" w:line="16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have opted out of Section 203 of the Delaware General Corporate Law, or the DGCL. However, our amended and restated certificate of incorporation contains similar provisions providing that we may not engage in certain “business combinations” with any “interested stockholder” for a three-year period following the time that the stockholder became an interested stockholder, unless</w:t>
      </w:r>
    </w:p>
    <w:p>
      <w:pPr>
        <w:spacing w:after="0" w:line="184" w:lineRule="exact"/>
        <w:rPr>
          <w:sz w:val="20"/>
          <w:szCs w:val="20"/>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prior to such time, our board of directors approved either the business combination or the transaction which resulted in the stockholder becoming an interested stockholder;</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spacing w:after="0" w:line="170" w:lineRule="exact"/>
        <w:rPr>
          <w:rFonts w:ascii="Arial" w:cs="Arial" w:eastAsia="Arial" w:hAnsi="Arial"/>
          <w:sz w:val="18"/>
          <w:szCs w:val="18"/>
          <w:color w:val="auto"/>
        </w:rPr>
      </w:pPr>
    </w:p>
    <w:p>
      <w:pPr>
        <w:ind w:left="660" w:hanging="328"/>
        <w:spacing w:after="0" w:line="30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at or subsequent to that time, the business combination is approved by our board of directors and by the affirmative vote of holders of at least 66⅔% of the outstanding voting stock that is not owned by the interested stockholder.</w:t>
      </w:r>
    </w:p>
    <w:p>
      <w:pPr>
        <w:spacing w:after="0" w:line="13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Generally, a “business combination” includes a merger, asset or stock sale or certain other transactions with the interested stockholder. Subject to certain exceptions, an “interested stockholder” is a person who, together with that person’s affiliates and associates, owns, or within the previous three years owned, 20% or more of our voting stock</w:t>
      </w:r>
    </w:p>
    <w:p>
      <w:pPr>
        <w:spacing w:after="0" w:line="18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Under certain circumstances, this provision will make it more difficult for a person who would be an “interested stockholder” to effect various business combinations with a corporation for a three-year period. This provision may encourage companies interested in acquiring our company to negotiate in advance with our board of directors because the stockholder approval requirement would be avoided if our board of directors approves either the business combination or the transaction which results in the stockholder becoming an interested stockholder. These provisions also may have the effect of preventing changes in our board of directors and may make it more difficult to accomplish transactions which stockholders may otherwise deem to be in their best interests.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jc w:val="both"/>
        <w:ind w:firstLine="324"/>
        <w:spacing w:after="0" w:line="263" w:lineRule="auto"/>
        <w:rPr>
          <w:sz w:val="20"/>
          <w:szCs w:val="20"/>
          <w:color w:val="auto"/>
        </w:rPr>
      </w:pPr>
      <w:r>
        <w:rPr>
          <w:rFonts w:ascii="Arial" w:cs="Arial" w:eastAsia="Arial" w:hAnsi="Arial"/>
          <w:sz w:val="18"/>
          <w:szCs w:val="18"/>
          <w:color w:val="auto"/>
        </w:rPr>
        <w:t>Our amended and restated certificate of incorporation provides that our sponsor and its respective affiliates, any of their respective direct or indirect transferees of at least 20% of our outstanding common stock and any group as to which such persons are party to, do not constitute “interested stockholders” for purposes of this provision.</w:t>
      </w:r>
    </w:p>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We may be unable to obtain additional financing to complete our initial business combination or to fund the operations and growth of a target business, which could compel us to restructure or abandon a particular business combination. If we are unable to complete our initial business combination, our public stockholders may only receive $10.00 per share or even less (whether or not the underwriters’ over-allotment option is exercised in full) on our redemption.</w:t>
      </w:r>
    </w:p>
    <w:p>
      <w:pPr>
        <w:spacing w:after="0" w:line="18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Although we believe that the net proceeds of this offering will be sufficient to allow us to consummate our initial business combination, because we have not yet identified any prospective target business we cannot ascertain the capital requirements for any particular transaction or our costs to operate or locate a transaction. If the net proceeds of this offering prove to be insufficient, either because of the size of our initial business combination, the depletion of the available net proceeds in search of a target business, the obligation to repurchase for cash a significant number of shares from stockholders who elect redemption in connection with our initial business combination or the terms of negotiated transactions to purchase shares in connection with our initial business combination, we may be required to seek additional financing or to abandon the proposed business combination. Financing may not be available on acceptable terms, if at all. The current economic environment has made it especially difficult for companies to obtain acquisition financing. To the extent that additional financing proves to be unavailable when needed to consummate our initial business combination, we would be compelled to either restructure the transaction or abandon that particular initial business combination and seek an alternative target business candidate. If we are unable to complete our initial business combination, our public stockholders may only receive $10.00 per share or even less (whether or not the underwriters’ over-allotment option is exercised in full) on our redemption. In addition, even if we do not need additional financing to consummate our initial business combination, we may require such financing to fund the operations or growth of the target business. The failure to secure additional financing could have a material adverse effect on the continued development or growth of the target business. None of our officers, directors or stockholders is required to provide any financing to us in connection with or after our initial business combination.</w:t>
      </w:r>
    </w:p>
    <w:p>
      <w:pPr>
        <w:spacing w:after="0" w:line="16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sponsor controls a substantial interest in us and thus may exert a substantial influence on actions requiring a stockholder vote, potentially in a manner that you do not support.</w:t>
      </w:r>
    </w:p>
    <w:p>
      <w:pPr>
        <w:spacing w:after="0" w:line="16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Further, upon closing of this offering, our initial stockholders and our sponsor (and/its designees) collectively will own 20% of our issued and outstanding shares of common stock (assuming they do not purchase any shares in this offering). Accordingly, they may exert a substantial influence on actions requiring a stockholder vote, potentially in a manner that you do not support, including amendments to our certificate of incorporation. If our sponsor purchases any shares in this offering or if we or our sponsor purchase any additional shares of common stock in the aftermarket or in privately negotiated transactions, this would increase their control. Neither our sponsor nor, to our knowledge, any of our officers or directors, has any current intention to purchase additional securities. Factors that would be considered in making such additional purchases would include consideration of the current trading price of our shares of common stock.</w:t>
      </w:r>
    </w:p>
    <w:p>
      <w:pPr>
        <w:spacing w:after="0" w:line="191"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initial stockholders paid an aggregate of $25,000, or approximately $0.0070 per founder share and, accordingly, you will experience immediate and substantial dilution from the purchase of our shares of common stock.</w:t>
      </w:r>
    </w:p>
    <w:p>
      <w:pPr>
        <w:spacing w:after="0" w:line="16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difference between the public offering price per share and the pro forma net tangible book value per share after this offering constitutes the dilution to you and the other investors in this offering. Our initial stockholders acquired the founder shares at a nominal price, significantly contributing to this dilution. Upon closing of this offering, you and the other public stockholders will incur an immediate and substantial dilution of approximately 88.6% or $8.86 per share (the difference between the pro forma net tangible book value per share of $1.14 and the initial offering price of $10.00 per share immediately upon the closing of this offering), or approximately 89.9% dilution or $8.99 per share (the difference between the pro forma net tangible book value per share of $1.01 and the initial offering price of $10.00 per share) if the over-allotment is fully exercised.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0" w:name="page41"/>
    <w:bookmarkEnd w:id="40"/>
    <w:p>
      <w:pPr>
        <w:jc w:val="both"/>
        <w:ind w:right="20"/>
        <w:spacing w:after="0" w:line="282" w:lineRule="auto"/>
        <w:rPr>
          <w:sz w:val="20"/>
          <w:szCs w:val="20"/>
          <w:color w:val="auto"/>
        </w:rPr>
      </w:pPr>
      <w:r>
        <w:rPr>
          <w:rFonts w:ascii="Arial" w:cs="Arial" w:eastAsia="Arial" w:hAnsi="Arial"/>
          <w:sz w:val="18"/>
          <w:szCs w:val="18"/>
          <w:b w:val="1"/>
          <w:bCs w:val="1"/>
          <w:color w:val="auto"/>
        </w:rPr>
        <w:t>The determination of the offering price of our common stock and the size of this offering is more arbitrary than the pricing of securities and size of an offering of an operating company in a particular industry.</w:t>
      </w:r>
    </w:p>
    <w:p>
      <w:pPr>
        <w:spacing w:after="0" w:line="166"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Prior to this offering there has been no public market for any of our securities. The public offering price of the shares was negotiated between us and the underwriters. In determining the size of this offering, management held customary organizational meetings with representatives of the underwriters, both prior to our inception and thereafter, with respect to the state of capital markets, generally, and the amount the underwriters believed they reasonably could raise on our behalf. Factors considered in determining the size of this offering, prices and terms of the shares of common stock include:</w:t>
      </w:r>
    </w:p>
    <w:p>
      <w:pPr>
        <w:spacing w:after="0" w:line="157"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history and prospects of companies whose principal business is the acquisition of other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prior offerings of those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prospects for acquiring an operating business at attractive values;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review of debt to equity ratios in leveraged transactions;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capital structure;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assessment of our management and their experience in identifying operating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general conditions of the securities markets at the time of this offering;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factors as were deemed relevant.</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Although these factors were considered, the determination of our offering price is more arbitrary than the pricing of securities of an operating company in a particular industry since we have no historical operations or financial results.</w:t>
      </w:r>
    </w:p>
    <w:p>
      <w:pPr>
        <w:spacing w:after="0" w:line="166"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There is currently no market for our securities and a market for our securities may not develop, which would adversely affect the liquidity and price of our securities.</w:t>
      </w:r>
    </w:p>
    <w:p>
      <w:pPr>
        <w:spacing w:after="0" w:line="16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As of the date of this prospectus there is currently no market for our securities. Prospective stockholders therefore have no access to information about prior market history on which to base their investment decision. Following this offering, the price of our securities may vary significantly due to one or more potential business combinations and general market or economic conditions. Once listed on Nasdaq, an active trading market for our securities may never develop or, if developed, it may not be sustained. Additionally, if our securities become delisted from Nasdaq for any reason, and are quoted on the OTC Bulletin Board, an inter-dealer automated quotation system for equity securities not listed on a national exchange, the liquidity and price of our securities may be more limited than if we were listed on Nasdaq or another national exchange. You may be unable to sell your securities unless a market can be established and sustained.</w:t>
      </w:r>
    </w:p>
    <w:p>
      <w:pPr>
        <w:spacing w:after="0" w:line="191"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Once initially listed on Nasdaq, our securities may not continue to be listed on Nasdaq in the future, which could limit investors’ ability to make transactions in our securities and subject us to additional trading restrictions.</w:t>
      </w:r>
    </w:p>
    <w:p>
      <w:pPr>
        <w:spacing w:after="0" w:line="16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anticipate that our securities will be initially listed on Nasdaq upon consummation of this offering. However, we cannot assure you of this or that our securities will continue to be listed on Nasdaq in the future. Additionally, in connection with our business combination, Nasdaq may require us to file a new initial listing application and meet its initial listing requirements as opposed to its more lenient continued listing requirements. We cannot assure you that we will be able to meet those initial listing requirements at that time. If Nasdaq delists our securities from trading on its exchange, we could face significant material adverse consequences, including:</w:t>
      </w:r>
    </w:p>
    <w:p>
      <w:pPr>
        <w:spacing w:after="0" w:line="188"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reduced liquidity with respect to our securities;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ind w:left="660" w:hanging="328"/>
        <w:spacing w:after="0" w:line="342"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 determination that our shares of common stock are a “penny stock” which will require brokers trading in our shares of common stock to adhere to more stringent rules, possibly resulting in a reduced level of trading activity in the secondary trading market for our shares of common stock;</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limited amount of news and analyst coverage for our company;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22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Because we must furnish our stockholders with target business financial statements prepared in accordance with U.S. generally accepted accounting principles or international financial reporting standards, we may lose the ability to complete an otherwise advantageous initial business combination with some prospective target businesses.</w:t>
      </w:r>
    </w:p>
    <w:p>
      <w:pPr>
        <w:spacing w:after="0" w:line="180"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The federal proxy rules, which require that a proxy statement with respect to a vote on a business combination meeting certain financial significance tests include historical and/or pro forma financial statement disclosure in periodic reports. These financial statements may be required to be prepared in accordance with, or be reconciled to, accounting principles generally accepted in the United States of America, or GAAP, or international financial reporting standards, or IFRS as issued by the International Accounting Standards Board or the IASB, depending on the circumstances and the historical financial statements may be required to be audited in accordance with the standards of the Public Company Accounting Oversight Board (United States), or PCAOB. We will include the substantially the same financial statement disclosure in connection with any tender offer documents we use, whether or not they are required under the tender offer rules. These financial statement requirements may limit the pool of potential target businesses we may consummate our initial business combination with because some targets may be unable to provide such statements in time for us to disclose such statements in accordance with federal proxy rules and complete our initial business combination within the prescribed time frame.</w:t>
      </w:r>
    </w:p>
    <w:p>
      <w:pPr>
        <w:spacing w:after="0" w:line="162" w:lineRule="exact"/>
        <w:rPr>
          <w:sz w:val="20"/>
          <w:szCs w:val="20"/>
          <w:color w:val="auto"/>
        </w:rPr>
      </w:pPr>
    </w:p>
    <w:p>
      <w:pPr>
        <w:jc w:val="both"/>
        <w:spacing w:after="0" w:line="312" w:lineRule="auto"/>
        <w:rPr>
          <w:sz w:val="20"/>
          <w:szCs w:val="20"/>
          <w:color w:val="auto"/>
        </w:rPr>
      </w:pPr>
      <w:r>
        <w:rPr>
          <w:rFonts w:ascii="Arial" w:cs="Arial" w:eastAsia="Arial" w:hAnsi="Arial"/>
          <w:sz w:val="17"/>
          <w:szCs w:val="17"/>
          <w:b w:val="1"/>
          <w:bCs w:val="1"/>
          <w:color w:val="auto"/>
        </w:rPr>
        <w:t>Compliance obligations under the Sarbanes-Oxley Act of 2002 may make it more difficult for us to effectuate our initial business combination, require substantial financial and management resources, and increase the time and costs of completing an acquisition.</w:t>
      </w:r>
    </w:p>
    <w:p>
      <w:pPr>
        <w:spacing w:after="0" w:line="14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Section 404 of the Sarbanes-Oxley Act of 2002, or the Sarbanes-Oxley Act, requires that we evaluate and report on our system of internal controls beginning with our Annual Report on Form 10-K for the year ending December 31, 2021. The fact that we are a blank check company makes compliance with the requirements of the Sarbanes-Oxley Act particularly burdensome on us as compared to all public companies because a target company with which we seek to complete our initial business combination may not be in compliance with the provisions of the Sarbanes-Oxley Act regarding adequacy of its internal controls. The development of the internal controls of any such entity to achieve compliance with the Sarbanes-Oxley Act may increase the time and costs necessary to complete any such acquisition.</w:t>
      </w:r>
    </w:p>
    <w:p>
      <w:pPr>
        <w:spacing w:after="0" w:line="18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are an “emerging growth company” and we cannot be certain if the reduced disclosure requirements applicable to emerging growth companies will make our securities less attractive to investors.</w:t>
      </w:r>
    </w:p>
    <w:p>
      <w:pPr>
        <w:spacing w:after="0" w:line="166"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are an “emerging growth company,” as defined in the JOBS Act. We will remain an “emerging growth company” for up to five years. However, if our non-convertible debt issued within a three-year period or revenues exceeds $1.07 billion, or the market value of our shares of common stock that are held by non-affiliates exceeds $700 million on the last day of the second fiscal quarter of any given fiscal year, we would cease to be an emerging growth company as of the following fiscal year. As an emerging growth company, we are not being required to comply with the auditor attestation requirements of section 404 of the Sarbanes-Oxley Act, we have reduced disclosure obligations regarding executive compensation in our periodic reports and proxy statements, and we are exempt from the requirements of holding a nonbinding advisory vote on executive compensation and stockholder approval of any golden parachute payments not previously approved. Additionally, as an emerging growth company, we have elected to delay the adoption of new or revised accounting standards that have different effective dates for public and private companies until those standards apply to private companies. As such, our financial statements may not be comparable to companies that comply with public company effective dates. We cannot predict if investors will find our shares less attractive because we may rely on these provisions. If some investors find our shares less attractive as a result, there may be a less active trading market for our shares and our share price may be more volatile.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2" w:name="page43"/>
    <w:bookmarkEnd w:id="42"/>
    <w:p>
      <w:pPr>
        <w:jc w:val="both"/>
        <w:ind w:firstLine="324"/>
        <w:spacing w:after="0" w:line="289"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 company, will not adopt the new or revised standard until the time private companies are required to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accountant standards used.</w:t>
      </w:r>
    </w:p>
    <w:p>
      <w:pPr>
        <w:spacing w:after="0" w:line="162"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Our amended and restated certificate of incorporation will designate the Court of Chancery of the State of Delaware as the sole and exclusive forum for certain types of actions and proceedings that may be initiated by our stockholders, which could limit our stockholders’ ability to obtain a favorable judicial forum for disputes with our company or our company’s directors, officers or other employees.</w:t>
      </w:r>
    </w:p>
    <w:p>
      <w:pPr>
        <w:spacing w:after="0" w:line="162"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Our amended and restated certificate of incorporation will provide that, unless we consent in writing to the selection of an alternative forum, the Court of Chancery of the State of Delaware shall, to the fullest extent permitted by law, be the sole and exclusive forum for any (1) derivative action or proceeding brought on behalf of our company, (2) action asserting a claim of breach of a fiduciary duty owed by any director, officer, employee or agent of our company to our company or our stockholders, or any claim for aiding and abetting any such alleged breach, (3) action asserting a claim against our company or any director or officer of our company arising pursuant to any provision of the DGCL or our amended and restated certificate of incorporation or our bylaws, or (4) action asserting a claim against us or any director or officer of our company governed by the internal affairs doctrine except for, as to each of (1) through (4) above, any claim (a)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or (c) arising under the federal securities laws, including the Securities Act, as to which the Court of Chancery and the federal district court for the District of Delaware shall concurrently be the sole and exclusive forums. Notwithstanding the foregoing, the inclusion of such provision in our amended and restated certificate of incorporation will not be deemed to be a waiver by our stockholders of our obligation to comply with federal securities laws, rules and regulations, and the provisions of this paragraph will not apply to suits brought to enforce any liability or duty created by the Exchange Act or any other claim for which the federal district courts of the United States of America shall be the sole and exclusive forum. Any person or entity purchasing or otherwise acquiring any interest in any shares of our capital stock shall be deemed to have notice of and to have consented to the forum provisions in our amended and restated certificate of incorporation. If any action the subject matter of which is within the scope the forum provisions is filed in a court other than a court located within the State of Delaware (a “foreign action”) in the name of any stockholder, such stockholder shall be deemed to have consented to: (x) the personal jurisdiction of the state and federal courts located within the State of Delaware in connection with any action brought in any such court to enforce the forum provisions (an “enforcement action”), and (y) having service of process made upon such stockholder in any such enforcement action by service upon such stockholder’s counsel in the foreign action as agent for such stockholder.</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3" w:name="page44"/>
    <w:bookmarkEnd w:id="43"/>
    <w:p>
      <w:pPr>
        <w:jc w:val="both"/>
        <w:ind w:firstLine="324"/>
        <w:spacing w:after="0" w:line="296" w:lineRule="auto"/>
        <w:rPr>
          <w:sz w:val="20"/>
          <w:szCs w:val="20"/>
          <w:color w:val="auto"/>
        </w:rPr>
      </w:pPr>
      <w:r>
        <w:rPr>
          <w:rFonts w:ascii="Arial" w:cs="Arial" w:eastAsia="Arial" w:hAnsi="Arial"/>
          <w:sz w:val="16"/>
          <w:szCs w:val="16"/>
          <w:color w:val="auto"/>
        </w:rPr>
        <w:t>This choice-of-forum provision may limit a stockholder’s ability to bring a claim in a judicial forum that it finds favorable for disputes with our company or its directors, officers or other employees, which may discourage such lawsuits. Alternatively, if a court were to find this provision of our amended and restated certificate of incorporation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board of directors.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Acquiring and Operating a Business outside of the United States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effect our initial business combination with a company located outside of the United States.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If we effect our initial business combination with a company located outside of the United States, we would be subject to any special considerations or risks associated with companies operating in the target business’ home jurisdiction, including any of the following:</w:t>
      </w:r>
    </w:p>
    <w:p>
      <w:pPr>
        <w:spacing w:after="0" w:line="170"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rules and regulations or currency redemption or corporate withholding taxes on individuals;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laws governing the manner in which future business combinations may be effected;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exchange listing and/or delisting requirements;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tariffs and trade barriers;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local regulations as part of a response to the COVID-19 coronavirus outbreak;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regulations related to customs and import/export matters;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longer payment cycles;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tax issues, such as tax law changes and variations in tax laws as compared to the United States;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currency fluctuations and exchange controls;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rates of inflation;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challenges in collecting accounts receivable;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cultural and language differences;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employment regulations;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crime, strikes, riots, civil disturbances, terrorist attacks and wars; and</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deterioration of political relations with the United States. We may not be able to adequately address these additional risks. If we were unable to do so, our operations might suffer.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are costs and difficulties inherent in managing cross-border business operations.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Managing a business, operations, personnel or assets in another country is challenging and costly. Any management that we may have (whether based abroad or in the United States) may be inexperienced in cross-border business practices and unaware of significant differences in accounting rules, legal regimes and labor practices. Even with a seasoned and experienced management team, the costs and difficulties inherent in managing cross-border business operations, personnel and assets can be significant (and much higher than in a purely domestic business) and may negatively impact our financial and operational performance.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4" w:name="page45"/>
    <w:bookmarkEnd w:id="44"/>
    <w:p>
      <w:pPr>
        <w:jc w:val="both"/>
        <w:ind w:right="20"/>
        <w:spacing w:after="0" w:line="282" w:lineRule="auto"/>
        <w:rPr>
          <w:sz w:val="20"/>
          <w:szCs w:val="20"/>
          <w:color w:val="auto"/>
        </w:rPr>
      </w:pPr>
      <w:r>
        <w:rPr>
          <w:rFonts w:ascii="Arial" w:cs="Arial" w:eastAsia="Arial" w:hAnsi="Arial"/>
          <w:sz w:val="18"/>
          <w:szCs w:val="18"/>
          <w:b w:val="1"/>
          <w:bCs w:val="1"/>
          <w:color w:val="auto"/>
        </w:rPr>
        <w:t>Social unrest, acts of terrorism, regime changes, changes in laws and regulations, political upheaval, or policy changes or enactments may occur in a country in which we may operate after we effect our initial business combination.</w:t>
      </w:r>
    </w:p>
    <w:p>
      <w:pPr>
        <w:spacing w:after="0" w:line="166"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Political events in another country may significantly affect our business, assets or operations. Social unrest, acts of terrorism, regime changes, changes in laws and regulations, political upheaval, and policy changes or enactments could negatively impact our business in a particular country.</w:t>
      </w:r>
    </w:p>
    <w:p>
      <w:pPr>
        <w:spacing w:after="0" w:line="14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Many countries have difficult and unpredictable legal systems and underdeveloped laws and regulations that are unclear and subject to corruption and inexperience.</w:t>
      </w:r>
    </w:p>
    <w:p>
      <w:pPr>
        <w:spacing w:after="0" w:line="16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ability to seek and enforce legal protections, including with respect to intellectual property and other property rights, or to defend ourselves with regard to legal actions taken against us in a given country, may be difficult or impossible, which could adversely impact our operations, assets or financial condition.</w:t>
      </w:r>
    </w:p>
    <w:p>
      <w:pPr>
        <w:spacing w:after="0" w:line="184"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Rules and regulations in many countries are often ambiguous or open to differing interpretation by responsible individuals and agencies at the municipal, state, regional and federal levels. The attitudes and actions of such individuals and agencies are often difficult to predict and inconsistent.</w:t>
      </w:r>
    </w:p>
    <w:p>
      <w:pPr>
        <w:spacing w:after="0" w:line="14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Delay with respect to the enforcement of particular rules and regulations, including those relating to customs, tax, environmental and labor, could cause serious disruption to operations abroad and negatively impact our results.</w:t>
      </w:r>
    </w:p>
    <w:p>
      <w:pPr>
        <w:spacing w:after="0" w:line="166"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If relations between the United States and foreign governments deteriorate, it could cause potential target businesses or their goods and services to become less attractive.</w:t>
      </w:r>
    </w:p>
    <w:p>
      <w:pPr>
        <w:spacing w:after="0" w:line="166"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relationship between the United States and foreign governments could be subject to sudden fluctuation and periodic tension. For instance, the United States may announce its intention to impose quotas on certain imports. Such import quotas may adversely affect political relations between the two countries and result in retaliatory countermeasures by the foreign government in industries that may affect our ultimate target business. Changes in political conditions in foreign countries and changes in the state of U.S. relations with such countries are difficult to predict and could adversely affect our operations or cause potential target businesses or their goods and services to become less attractive. Because we are not limited to any specific industry, there is no basis for investors in this offering to evaluate the possible extent of any impact on our ultimate operations if relations are strained between the United States and a foreign country in which we acquire a target business or move our principal manufacturing or service operations.</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our management following our initial business combination is unfamiliar with United States securities laws, they may have to expend time and resources becoming familiar with such laws.</w:t>
      </w:r>
    </w:p>
    <w:p>
      <w:pPr>
        <w:spacing w:after="0" w:line="166"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Following our initial business combination, our management may resign from their positions as officers or directors of the company and the management of the target business at the time of the business combination will remain in place. Management of the target business may not be familiar with United States securities laws. If new management is unfamiliar with our laws, they may have to expend time and resources becoming familiar with such laws. This could be expensive and time-consuming and could lead to various regulatory issues, which may adversely affect our operations.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Currency policies may cause a target business’ ability to succeed in the international markets to be diminished.</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the event we acquire a non-U.S. target, all revenues and income would likely be received in a foreign currency, the dollar equivalent of our net assets and distributions, if any, could be adversely affected by reductions in the value of the local currency. The value of the currencies in our target regions fluctuate and are affected by, among other things, changes in political and economic conditions. Any change in the relative value of such currency against our reporting currency may affect the attractiveness of any target business or, following consummation of our initial business combination, our financial condition and results of operations. Additionally, if a currency appreciates in value against the dollar prior to the consummation of our initial business combination, the cost of a target business as measured in dollars will increase, which may make it less likely that we are able to consummate such transaction.</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Because foreign law could govern our material agreements, we may not be able to enforce our rights within such jurisdiction or elsewhere.</w:t>
      </w:r>
    </w:p>
    <w:p>
      <w:pPr>
        <w:spacing w:after="0" w:line="24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Foreign law could govern our material agreements. The target business may not be able to enforce any of its material agreements or that remedies will be available outside of such foreign jurisdiction’s legal system. The system of laws and the enforcement of existing laws and contracts in such jurisdiction may not be as certain in implementation and interpretation as in the United States. The judiciaries in certain foreign countries may be relatively inexperienced in enforcing corporate and commercial law, leading to a higher than usual degree of uncertainty as to the outcome of any litigation, any such jurisdictions may not favor outsiders or could be corrupt. As a result, the inability to enforce or obtain a remedy under any of our future agreements could result in a significant loss of business and business opportunities.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Certain statements contained in this prospectus, which reflect our current views with respect to future events and financial performance, and any other statements of a future or forward-looking nature, constitute “forward-looking statements” for the purpose of the federal securities laws. Our forward-looking statements include, but are not limited to, statements regarding our or our management’s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“continue,” “could,” “estimate,” “expect,” “intends,” “may,” “might,” “plan,” “possible,” “potential,” “predict,” “project,” “should,” “will,” “would” and similar expressions may identify forward-looking statements, but the absence of these words does not mean that a statement is not forward-looking. Forward-looking statements in this prospectus may include, for example, statements about:</w:t>
      </w:r>
    </w:p>
    <w:p>
      <w:pPr>
        <w:spacing w:after="0" w:line="192"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complete our initial business combination;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success in retaining or recruiting, or changes required in, our officers, key employees or directors following our initial business combination;</w:t>
      </w:r>
    </w:p>
    <w:p>
      <w:pPr>
        <w:spacing w:after="0" w:line="248"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officers and directors allocating their time to other businesses and potentially having conflicts of interest with our business or in approving our initial business combination, as a result of which they would then receive expense reimbursements;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potential ability to obtain additional financing to complete our initial business combination;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pool of prospective target businesses;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consummate an initial business combination due to the uncertainty resulting from the recent COVID-19 pandemic;</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ability of our officers and directors to generate a number of potential investment opportunities;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delisting of our securities from Nasdaq or an inability to have our securities listed on Nasdaq following a business combination;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public securities’ potential liquidity and trading;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lack of a market for our securities;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financial performance following this offering.</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forward-looking statements contained in this prospectus are based on our current expectations and beliefs concerning future developments and their potential effects on us. Future developments affecting us may not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beginning on page 19.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are offering 12,500,000 shares of our common stock at a price of $10.00 per share. We estimate that the net proceeds of this offering, together with the funds we receive from the sale of the private shares (all of which will be deposited into the trust account), will be used as set forth in the following table: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173"/>
              <w:spacing w:after="0"/>
              <w:rPr>
                <w:sz w:val="20"/>
                <w:szCs w:val="20"/>
                <w:color w:val="auto"/>
              </w:rPr>
            </w:pPr>
            <w:r>
              <w:rPr>
                <w:rFonts w:ascii="Arial" w:cs="Arial" w:eastAsia="Arial" w:hAnsi="Arial"/>
                <w:sz w:val="18"/>
                <w:szCs w:val="18"/>
                <w:b w:val="1"/>
                <w:bCs w:val="1"/>
                <w:color w:val="auto"/>
              </w:rPr>
              <w:t>Without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rPr>
              <w:t>Over-</w:t>
            </w:r>
          </w:p>
        </w:tc>
        <w:tc>
          <w:tcPr>
            <w:tcW w:w="0" w:type="dxa"/>
            <w:vAlign w:val="bottom"/>
          </w:tcPr>
          <w:p>
            <w:pPr>
              <w:spacing w:after="0"/>
              <w:rPr>
                <w:sz w:val="1"/>
                <w:szCs w:val="1"/>
                <w:color w:val="auto"/>
              </w:rPr>
            </w:pP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253"/>
              <w:spacing w:after="0"/>
              <w:rPr>
                <w:sz w:val="20"/>
                <w:szCs w:val="20"/>
                <w:color w:val="auto"/>
              </w:rPr>
            </w:pPr>
            <w:r>
              <w:rPr>
                <w:rFonts w:ascii="Arial" w:cs="Arial" w:eastAsia="Arial" w:hAnsi="Arial"/>
                <w:sz w:val="18"/>
                <w:szCs w:val="18"/>
                <w:b w:val="1"/>
                <w:bCs w:val="1"/>
                <w:color w:val="auto"/>
              </w:rPr>
              <w:t>Over-</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w w:val="93"/>
              </w:rPr>
              <w:t>Allotment</w:t>
            </w:r>
          </w:p>
        </w:tc>
        <w:tc>
          <w:tcPr>
            <w:tcW w:w="0" w:type="dxa"/>
            <w:vAlign w:val="bottom"/>
          </w:tcPr>
          <w:p>
            <w:pPr>
              <w:spacing w:after="0"/>
              <w:rPr>
                <w:sz w:val="1"/>
                <w:szCs w:val="1"/>
                <w:color w:val="auto"/>
              </w:rPr>
            </w:pP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113"/>
              <w:spacing w:after="0"/>
              <w:rPr>
                <w:sz w:val="20"/>
                <w:szCs w:val="20"/>
                <w:color w:val="auto"/>
              </w:rPr>
            </w:pPr>
            <w:r>
              <w:rPr>
                <w:rFonts w:ascii="Arial" w:cs="Arial" w:eastAsia="Arial" w:hAnsi="Arial"/>
                <w:sz w:val="18"/>
                <w:szCs w:val="18"/>
                <w:b w:val="1"/>
                <w:bCs w:val="1"/>
                <w:color w:val="auto"/>
                <w:w w:val="93"/>
              </w:rPr>
              <w:t>Allotment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rPr>
              <w:t>Option</w:t>
            </w:r>
          </w:p>
        </w:tc>
        <w:tc>
          <w:tcPr>
            <w:tcW w:w="0" w:type="dxa"/>
            <w:vAlign w:val="bottom"/>
          </w:tcPr>
          <w:p>
            <w:pPr>
              <w:spacing w:after="0"/>
              <w:rPr>
                <w:sz w:val="1"/>
                <w:szCs w:val="1"/>
                <w:color w:val="auto"/>
              </w:rPr>
            </w:pPr>
          </w:p>
        </w:tc>
      </w:tr>
      <w:tr>
        <w:trPr>
          <w:trHeight w:val="241"/>
        </w:trPr>
        <w:tc>
          <w:tcPr>
            <w:tcW w:w="8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3"/>
              <w:spacing w:after="0"/>
              <w:rPr>
                <w:sz w:val="20"/>
                <w:szCs w:val="20"/>
                <w:color w:val="auto"/>
              </w:rPr>
            </w:pPr>
            <w:r>
              <w:rPr>
                <w:rFonts w:ascii="Arial" w:cs="Arial" w:eastAsia="Arial" w:hAnsi="Arial"/>
                <w:sz w:val="18"/>
                <w:szCs w:val="18"/>
                <w:b w:val="1"/>
                <w:bCs w:val="1"/>
                <w:color w:val="auto"/>
              </w:rPr>
              <w:t>Option</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w w:val="91"/>
              </w:rPr>
              <w:t>Exercised</w:t>
            </w:r>
          </w:p>
        </w:tc>
        <w:tc>
          <w:tcPr>
            <w:tcW w:w="0" w:type="dxa"/>
            <w:vAlign w:val="bottom"/>
          </w:tcPr>
          <w:p>
            <w:pPr>
              <w:spacing w:after="0"/>
              <w:rPr>
                <w:sz w:val="1"/>
                <w:szCs w:val="1"/>
                <w:color w:val="auto"/>
              </w:rPr>
            </w:pPr>
          </w:p>
        </w:tc>
      </w:tr>
      <w:tr>
        <w:trPr>
          <w:trHeight w:val="216"/>
        </w:trPr>
        <w:tc>
          <w:tcPr>
            <w:tcW w:w="8560" w:type="dxa"/>
            <w:vAlign w:val="bottom"/>
          </w:tcPr>
          <w:p>
            <w:pPr>
              <w:spacing w:after="0"/>
              <w:rPr>
                <w:sz w:val="20"/>
                <w:szCs w:val="20"/>
                <w:color w:val="auto"/>
              </w:rPr>
            </w:pPr>
            <w:r>
              <w:rPr>
                <w:rFonts w:ascii="Arial" w:cs="Arial" w:eastAsia="Arial" w:hAnsi="Arial"/>
                <w:sz w:val="18"/>
                <w:szCs w:val="18"/>
                <w:i w:val="1"/>
                <w:iCs w:val="1"/>
                <w:color w:val="auto"/>
              </w:rPr>
              <w:t>Gross proceeds</w:t>
            </w: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From offering</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125,000,000</w:t>
            </w: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5"/>
              </w:rPr>
              <w:t>143,750,000</w:t>
            </w:r>
          </w:p>
        </w:tc>
        <w:tc>
          <w:tcPr>
            <w:tcW w:w="0" w:type="dxa"/>
            <w:vAlign w:val="bottom"/>
          </w:tcPr>
          <w:p>
            <w:pPr>
              <w:spacing w:after="0"/>
              <w:rPr>
                <w:sz w:val="1"/>
                <w:szCs w:val="1"/>
                <w:color w:val="auto"/>
              </w:rPr>
            </w:pPr>
          </w:p>
        </w:tc>
      </w:tr>
      <w:tr>
        <w:trPr>
          <w:trHeight w:val="229"/>
        </w:trPr>
        <w:tc>
          <w:tcPr>
            <w:tcW w:w="8560" w:type="dxa"/>
            <w:vAlign w:val="bottom"/>
          </w:tcPr>
          <w:p>
            <w:pPr>
              <w:spacing w:after="0"/>
              <w:rPr>
                <w:sz w:val="20"/>
                <w:szCs w:val="20"/>
                <w:color w:val="auto"/>
              </w:rPr>
            </w:pPr>
            <w:r>
              <w:rPr>
                <w:rFonts w:ascii="Arial" w:cs="Arial" w:eastAsia="Arial" w:hAnsi="Arial"/>
                <w:sz w:val="18"/>
                <w:szCs w:val="18"/>
                <w:color w:val="auto"/>
              </w:rPr>
              <w:t>From sale of private shares</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4,500,000</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4,875,000</w:t>
            </w:r>
          </w:p>
        </w:tc>
        <w:tc>
          <w:tcPr>
            <w:tcW w:w="0" w:type="dxa"/>
            <w:vAlign w:val="bottom"/>
          </w:tcPr>
          <w:p>
            <w:pPr>
              <w:spacing w:after="0"/>
              <w:rPr>
                <w:sz w:val="1"/>
                <w:szCs w:val="1"/>
                <w:color w:val="auto"/>
              </w:rPr>
            </w:pPr>
          </w:p>
        </w:tc>
      </w:tr>
      <w:tr>
        <w:trPr>
          <w:trHeight w:val="27"/>
        </w:trPr>
        <w:tc>
          <w:tcPr>
            <w:tcW w:w="856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Total gross proceeds</w:t>
            </w: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129,250,000</w:t>
            </w:r>
          </w:p>
        </w:tc>
        <w:tc>
          <w:tcPr>
            <w:tcW w:w="2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5"/>
              </w:rPr>
              <w:t>148,375,000</w:t>
            </w:r>
          </w:p>
        </w:tc>
        <w:tc>
          <w:tcPr>
            <w:tcW w:w="0" w:type="dxa"/>
            <w:vAlign w:val="bottom"/>
          </w:tcPr>
          <w:p>
            <w:pPr>
              <w:spacing w:after="0"/>
              <w:rPr>
                <w:sz w:val="1"/>
                <w:szCs w:val="1"/>
                <w:color w:val="auto"/>
              </w:rPr>
            </w:pPr>
          </w:p>
        </w:tc>
      </w:tr>
      <w:tr>
        <w:trPr>
          <w:trHeight w:val="21"/>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8560" w:type="dxa"/>
            <w:vAlign w:val="bottom"/>
            <w:shd w:val="clear" w:color="auto" w:fill="CCEEFF"/>
          </w:tcPr>
          <w:p>
            <w:pPr>
              <w:spacing w:after="0" w:line="256" w:lineRule="exact"/>
              <w:rPr>
                <w:sz w:val="20"/>
                <w:szCs w:val="20"/>
                <w:color w:val="auto"/>
              </w:rPr>
            </w:pPr>
            <w:r>
              <w:rPr>
                <w:rFonts w:ascii="Arial" w:cs="Arial" w:eastAsia="Arial" w:hAnsi="Arial"/>
                <w:sz w:val="18"/>
                <w:szCs w:val="18"/>
                <w:i w:val="1"/>
                <w:iCs w:val="1"/>
                <w:color w:val="auto"/>
              </w:rPr>
              <w:t>Offering expenses</w:t>
            </w:r>
            <w:r>
              <w:rPr>
                <w:rFonts w:ascii="Arial" w:cs="Arial" w:eastAsia="Arial" w:hAnsi="Arial"/>
                <w:sz w:val="29"/>
                <w:szCs w:val="29"/>
                <w:i w:val="1"/>
                <w:iCs w:val="1"/>
                <w:color w:val="auto"/>
                <w:vertAlign w:val="superscript"/>
              </w:rPr>
              <w:t>(1)</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28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560" w:type="dxa"/>
            <w:vAlign w:val="bottom"/>
          </w:tcPr>
          <w:p>
            <w:pPr>
              <w:spacing w:after="0" w:line="256" w:lineRule="exact"/>
              <w:rPr>
                <w:sz w:val="20"/>
                <w:szCs w:val="20"/>
                <w:color w:val="auto"/>
              </w:rPr>
            </w:pPr>
            <w:r>
              <w:rPr>
                <w:rFonts w:ascii="Arial" w:cs="Arial" w:eastAsia="Arial" w:hAnsi="Arial"/>
                <w:sz w:val="18"/>
                <w:szCs w:val="18"/>
                <w:color w:val="auto"/>
                <w:w w:val="97"/>
              </w:rPr>
              <w:t>Underwriting commissions (2% of gross proceeds from shares offered to public, excluding deferred portion)</w:t>
            </w:r>
            <w:r>
              <w:rPr>
                <w:rFonts w:ascii="Arial" w:cs="Arial" w:eastAsia="Arial" w:hAnsi="Arial"/>
                <w:sz w:val="29"/>
                <w:szCs w:val="29"/>
                <w:color w:val="auto"/>
                <w:w w:val="97"/>
                <w:vertAlign w:val="superscript"/>
              </w:rPr>
              <w:t>(2)</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2,500,000</w:t>
            </w: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2,875,000</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Travel and road show</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250,000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Nasdaq listing fee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Printing and engraving expenses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40,000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w:t>
            </w: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37,500</w:t>
            </w:r>
          </w:p>
        </w:tc>
        <w:tc>
          <w:tcPr>
            <w:tcW w:w="0" w:type="dxa"/>
            <w:vAlign w:val="bottom"/>
          </w:tcPr>
          <w:p>
            <w:pPr>
              <w:spacing w:after="0"/>
              <w:rPr>
                <w:sz w:val="1"/>
                <w:szCs w:val="1"/>
                <w:color w:val="auto"/>
              </w:rPr>
            </w:pP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FINRA filing fee</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22,063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22,063</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18,659</w:t>
            </w: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18,659</w:t>
            </w:r>
          </w:p>
        </w:tc>
        <w:tc>
          <w:tcPr>
            <w:tcW w:w="0" w:type="dxa"/>
            <w:vAlign w:val="bottom"/>
          </w:tcPr>
          <w:p>
            <w:pPr>
              <w:spacing w:after="0"/>
              <w:rPr>
                <w:sz w:val="1"/>
                <w:szCs w:val="1"/>
                <w:color w:val="auto"/>
              </w:rPr>
            </w:pP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Director and Officer liability insurance premiums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100,000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50"/>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Miscellaneous expenses</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181,778</w:t>
            </w:r>
          </w:p>
        </w:tc>
        <w:tc>
          <w:tcPr>
            <w:tcW w:w="2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181,778</w:t>
            </w:r>
          </w:p>
        </w:tc>
        <w:tc>
          <w:tcPr>
            <w:tcW w:w="0" w:type="dxa"/>
            <w:vAlign w:val="bottom"/>
          </w:tcPr>
          <w:p>
            <w:pPr>
              <w:spacing w:after="0"/>
              <w:rPr>
                <w:sz w:val="1"/>
                <w:szCs w:val="1"/>
                <w:color w:val="auto"/>
              </w:rPr>
            </w:pPr>
          </w:p>
        </w:tc>
      </w:tr>
      <w:tr>
        <w:trPr>
          <w:trHeight w:val="203"/>
        </w:trPr>
        <w:tc>
          <w:tcPr>
            <w:tcW w:w="8560" w:type="dxa"/>
            <w:vAlign w:val="bottom"/>
            <w:tcBorders>
              <w:top w:val="single" w:sz="8" w:color="CCEEFF"/>
            </w:tcBorders>
          </w:tcPr>
          <w:p>
            <w:pPr>
              <w:ind w:left="180"/>
              <w:spacing w:after="0" w:line="203" w:lineRule="exact"/>
              <w:rPr>
                <w:sz w:val="20"/>
                <w:szCs w:val="20"/>
                <w:color w:val="auto"/>
              </w:rPr>
            </w:pPr>
            <w:r>
              <w:rPr>
                <w:rFonts w:ascii="Arial" w:cs="Arial" w:eastAsia="Arial" w:hAnsi="Arial"/>
                <w:sz w:val="18"/>
                <w:szCs w:val="18"/>
                <w:color w:val="auto"/>
              </w:rPr>
              <w:t>Total offering expenses (excluding underwriting commissions)</w:t>
            </w:r>
          </w:p>
        </w:tc>
        <w:tc>
          <w:tcPr>
            <w:tcW w:w="1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750,000</w:t>
            </w:r>
          </w:p>
        </w:tc>
        <w:tc>
          <w:tcPr>
            <w:tcW w:w="2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750,000</w:t>
            </w:r>
          </w:p>
        </w:tc>
        <w:tc>
          <w:tcPr>
            <w:tcW w:w="1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tcPr>
          <w:p>
            <w:pPr>
              <w:spacing w:after="0"/>
              <w:rPr>
                <w:sz w:val="20"/>
                <w:szCs w:val="20"/>
                <w:color w:val="auto"/>
              </w:rPr>
            </w:pPr>
            <w:r>
              <w:rPr>
                <w:rFonts w:ascii="Arial" w:cs="Arial" w:eastAsia="Arial" w:hAnsi="Arial"/>
                <w:sz w:val="18"/>
                <w:szCs w:val="18"/>
                <w:i w:val="1"/>
                <w:iCs w:val="1"/>
                <w:color w:val="auto"/>
              </w:rPr>
              <w:t>Net proceeds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
        </w:trPr>
        <w:tc>
          <w:tcPr>
            <w:tcW w:w="8560" w:type="dxa"/>
            <w:vAlign w:val="bottom"/>
            <w:shd w:val="clear" w:color="auto" w:fill="CCEEFF"/>
          </w:tcPr>
          <w:p>
            <w:pPr>
              <w:spacing w:after="0"/>
              <w:rPr>
                <w:sz w:val="20"/>
                <w:szCs w:val="20"/>
                <w:color w:val="auto"/>
              </w:rPr>
            </w:pPr>
            <w:r>
              <w:rPr>
                <w:rFonts w:ascii="Arial" w:cs="Arial" w:eastAsia="Arial" w:hAnsi="Arial"/>
                <w:sz w:val="1"/>
                <w:szCs w:val="1"/>
                <w:color w:val="auto"/>
              </w:rPr>
              <w:t>Held in trust</w:t>
            </w:r>
          </w:p>
        </w:tc>
        <w:tc>
          <w:tcPr>
            <w:tcW w:w="120" w:type="dxa"/>
            <w:vAlign w:val="bottom"/>
            <w:shd w:val="clear" w:color="auto" w:fill="CCEEFF"/>
          </w:tcPr>
          <w:p>
            <w:pPr>
              <w:jc w:val="right"/>
              <w:spacing w:after="0"/>
              <w:rPr>
                <w:sz w:val="20"/>
                <w:szCs w:val="20"/>
                <w:color w:val="auto"/>
              </w:rPr>
            </w:pPr>
            <w:r>
              <w:rPr>
                <w:rFonts w:ascii="Arial" w:cs="Arial" w:eastAsia="Arial" w:hAnsi="Arial"/>
                <w:sz w:val="1"/>
                <w:sz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
                <w:szCs w:val="1"/>
                <w:color w:val="auto"/>
              </w:rPr>
              <w:t>125,000,000</w:t>
            </w:r>
          </w:p>
        </w:tc>
        <w:tc>
          <w:tcPr>
            <w:tcW w:w="280" w:type="dxa"/>
            <w:vAlign w:val="bottom"/>
            <w:tcBorders>
              <w:right w:val="single" w:sz="8" w:color="CCEEFF"/>
            </w:tcBorders>
            <w:vMerge w:val="restart"/>
            <w:shd w:val="clear" w:color="auto" w:fill="CCEEFF"/>
          </w:tcPr>
          <w:p>
            <w:pPr>
              <w:jc w:val="right"/>
              <w:ind w:right="45"/>
              <w:spacing w:after="0"/>
              <w:rPr>
                <w:sz w:val="20"/>
                <w:szCs w:val="20"/>
                <w:color w:val="auto"/>
              </w:rPr>
            </w:pPr>
            <w:r>
              <w:rPr>
                <w:rFonts w:ascii="Arial" w:cs="Arial" w:eastAsia="Arial" w:hAnsi="Arial"/>
                <w:sz w:val="15"/>
                <w:szCs w:val="15"/>
                <w:color w:val="auto"/>
                <w:w w:val="76"/>
              </w:rPr>
              <w:t>(3)</w:t>
            </w:r>
          </w:p>
        </w:tc>
        <w:tc>
          <w:tcPr>
            <w:tcW w:w="120" w:type="dxa"/>
            <w:vAlign w:val="bottom"/>
            <w:shd w:val="clear" w:color="auto" w:fill="CCEEFF"/>
          </w:tcPr>
          <w:p>
            <w:pPr>
              <w:jc w:val="right"/>
              <w:spacing w:after="0"/>
              <w:rPr>
                <w:sz w:val="20"/>
                <w:szCs w:val="20"/>
                <w:color w:val="auto"/>
              </w:rPr>
            </w:pPr>
            <w:r>
              <w:rPr>
                <w:rFonts w:ascii="Arial" w:cs="Arial" w:eastAsia="Arial" w:hAnsi="Arial"/>
                <w:sz w:val="1"/>
                <w:szCs w:val="1"/>
                <w:color w:val="auto"/>
              </w:rPr>
              <w:t>$</w:t>
            </w:r>
          </w:p>
        </w:tc>
        <w:tc>
          <w:tcPr>
            <w:tcW w:w="1160" w:type="dxa"/>
            <w:vAlign w:val="bottom"/>
            <w:gridSpan w:val="2"/>
            <w:shd w:val="clear" w:color="auto" w:fill="CCEEFF"/>
          </w:tcPr>
          <w:p>
            <w:pPr>
              <w:jc w:val="right"/>
              <w:ind w:right="90"/>
              <w:spacing w:after="0"/>
              <w:rPr>
                <w:sz w:val="20"/>
                <w:szCs w:val="20"/>
                <w:color w:val="auto"/>
              </w:rPr>
            </w:pPr>
            <w:r>
              <w:rPr>
                <w:rFonts w:ascii="Arial" w:cs="Arial" w:eastAsia="Arial" w:hAnsi="Arial"/>
                <w:sz w:val="1"/>
                <w:szCs w:val="1"/>
                <w:color w:val="auto"/>
              </w:rPr>
              <w:t>143,750,000</w:t>
            </w:r>
          </w:p>
        </w:tc>
        <w:tc>
          <w:tcPr>
            <w:tcW w:w="0" w:type="dxa"/>
            <w:vAlign w:val="bottom"/>
          </w:tcPr>
          <w:p>
            <w:pPr>
              <w:spacing w:after="0" w:line="20" w:lineRule="exact"/>
              <w:rPr>
                <w:sz w:val="1"/>
                <w:szCs w:val="1"/>
                <w:color w:val="auto"/>
              </w:rPr>
            </w:pPr>
          </w:p>
        </w:tc>
      </w:tr>
      <w:tr>
        <w:trPr>
          <w:trHeight w:val="201"/>
        </w:trPr>
        <w:tc>
          <w:tcPr>
            <w:tcW w:w="8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tcBorders>
              <w:right w:val="single" w:sz="8" w:color="CCEEFF"/>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ind w:left="980"/>
              <w:spacing w:after="0"/>
              <w:rPr>
                <w:sz w:val="20"/>
                <w:szCs w:val="20"/>
                <w:color w:val="auto"/>
              </w:rPr>
            </w:pPr>
            <w:r>
              <w:rPr>
                <w:rFonts w:ascii="Arial" w:cs="Arial" w:eastAsia="Arial" w:hAnsi="Arial"/>
                <w:sz w:val="15"/>
                <w:szCs w:val="15"/>
                <w:color w:val="auto"/>
                <w:w w:val="87"/>
              </w:rPr>
              <w:t>(3)</w:t>
            </w:r>
          </w:p>
        </w:tc>
        <w:tc>
          <w:tcPr>
            <w:tcW w:w="0" w:type="dxa"/>
            <w:vAlign w:val="bottom"/>
          </w:tcPr>
          <w:p>
            <w:pPr>
              <w:spacing w:after="0"/>
              <w:rPr>
                <w:sz w:val="1"/>
                <w:szCs w:val="1"/>
                <w:color w:val="auto"/>
              </w:rPr>
            </w:pPr>
          </w:p>
        </w:tc>
      </w:tr>
      <w:tr>
        <w:trPr>
          <w:trHeight w:val="230"/>
        </w:trPr>
        <w:tc>
          <w:tcPr>
            <w:tcW w:w="8560" w:type="dxa"/>
            <w:vAlign w:val="bottom"/>
          </w:tcPr>
          <w:p>
            <w:pPr>
              <w:spacing w:after="0"/>
              <w:rPr>
                <w:sz w:val="20"/>
                <w:szCs w:val="20"/>
                <w:color w:val="auto"/>
              </w:rPr>
            </w:pPr>
            <w:r>
              <w:rPr>
                <w:rFonts w:ascii="Arial" w:cs="Arial" w:eastAsia="Arial" w:hAnsi="Arial"/>
                <w:sz w:val="18"/>
                <w:szCs w:val="18"/>
                <w:color w:val="auto"/>
              </w:rPr>
              <w:t>Not held in trust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1,250,000</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1,250,000</w:t>
            </w:r>
          </w:p>
        </w:tc>
        <w:tc>
          <w:tcPr>
            <w:tcW w:w="0" w:type="dxa"/>
            <w:vAlign w:val="bottom"/>
          </w:tcPr>
          <w:p>
            <w:pPr>
              <w:spacing w:after="0"/>
              <w:rPr>
                <w:sz w:val="1"/>
                <w:szCs w:val="1"/>
                <w:color w:val="auto"/>
              </w:rPr>
            </w:pPr>
          </w:p>
        </w:tc>
      </w:tr>
      <w:tr>
        <w:trPr>
          <w:trHeight w:val="27"/>
        </w:trPr>
        <w:tc>
          <w:tcPr>
            <w:tcW w:w="856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Total net proceeds</w:t>
            </w: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126,250,000</w:t>
            </w:r>
          </w:p>
        </w:tc>
        <w:tc>
          <w:tcPr>
            <w:tcW w:w="2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5"/>
              </w:rPr>
              <w:t>145,000,000</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85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Use of net proceeds not held in the trust account</w:t>
            </w:r>
            <w:r>
              <w:rPr>
                <w:rFonts w:ascii="Arial" w:cs="Arial" w:eastAsia="Arial" w:hAnsi="Arial"/>
                <w:sz w:val="29"/>
                <w:szCs w:val="29"/>
                <w:color w:val="auto"/>
                <w:vertAlign w:val="superscript"/>
              </w:rPr>
              <w:t>(4) (5)</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28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8560" w:type="dxa"/>
            <w:vAlign w:val="bottom"/>
          </w:tcPr>
          <w:p>
            <w:pPr>
              <w:spacing w:after="0" w:line="201" w:lineRule="exact"/>
              <w:rPr>
                <w:sz w:val="20"/>
                <w:szCs w:val="20"/>
                <w:color w:val="auto"/>
              </w:rPr>
            </w:pPr>
            <w:r>
              <w:rPr>
                <w:rFonts w:ascii="Arial" w:cs="Arial" w:eastAsia="Arial" w:hAnsi="Arial"/>
                <w:sz w:val="18"/>
                <w:szCs w:val="18"/>
                <w:color w:val="auto"/>
                <w:w w:val="90"/>
              </w:rPr>
              <w:t>Legal, accounting and other third party expenses attendant to the search for target businesses and to the due diligence</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560" w:type="dxa"/>
            <w:vAlign w:val="bottom"/>
          </w:tcPr>
          <w:p>
            <w:pPr>
              <w:ind w:left="180"/>
              <w:spacing w:after="0"/>
              <w:rPr>
                <w:sz w:val="20"/>
                <w:szCs w:val="20"/>
                <w:color w:val="auto"/>
              </w:rPr>
            </w:pPr>
            <w:r>
              <w:rPr>
                <w:rFonts w:ascii="Arial" w:cs="Arial" w:eastAsia="Arial" w:hAnsi="Arial"/>
                <w:sz w:val="18"/>
                <w:szCs w:val="18"/>
                <w:color w:val="auto"/>
              </w:rPr>
              <w:t>investigation, structuring and negotiation of a business combination</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250,000</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Due diligence of prospective target businesses by officers, directors and initial stockholders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Legal and accounting fees relating to SEC reporting obligations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50,000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w w:val="95"/>
              </w:rPr>
              <w:t>Payment of administrative fee of $10,000 per month for up to 24 months), subject to deferral as described herein</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240,000</w:t>
            </w: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02"/>
        </w:trPr>
        <w:tc>
          <w:tcPr>
            <w:tcW w:w="8560" w:type="dxa"/>
            <w:vAlign w:val="bottom"/>
          </w:tcPr>
          <w:p>
            <w:pPr>
              <w:spacing w:after="0" w:line="201" w:lineRule="exact"/>
              <w:rPr>
                <w:sz w:val="20"/>
                <w:szCs w:val="20"/>
                <w:color w:val="auto"/>
              </w:rPr>
            </w:pPr>
            <w:r>
              <w:rPr>
                <w:rFonts w:ascii="Arial" w:cs="Arial" w:eastAsia="Arial" w:hAnsi="Arial"/>
                <w:sz w:val="18"/>
                <w:szCs w:val="18"/>
                <w:color w:val="auto"/>
              </w:rPr>
              <w:t>Working capital to cover miscellaneous expenses, D&amp;O insurance, general corporate purposes, liquidation</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8560" w:type="dxa"/>
            <w:vAlign w:val="bottom"/>
          </w:tcPr>
          <w:p>
            <w:pPr>
              <w:ind w:left="180"/>
              <w:spacing w:after="0"/>
              <w:rPr>
                <w:sz w:val="20"/>
                <w:szCs w:val="20"/>
                <w:color w:val="auto"/>
              </w:rPr>
            </w:pPr>
            <w:r>
              <w:rPr>
                <w:rFonts w:ascii="Arial" w:cs="Arial" w:eastAsia="Arial" w:hAnsi="Arial"/>
                <w:sz w:val="18"/>
                <w:szCs w:val="18"/>
                <w:color w:val="auto"/>
              </w:rPr>
              <w:t>obligations and reserves</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510,000</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50"/>
        </w:trPr>
        <w:tc>
          <w:tcPr>
            <w:tcW w:w="8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1,250,000</w:t>
            </w:r>
          </w:p>
        </w:tc>
        <w:tc>
          <w:tcPr>
            <w:tcW w:w="28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340" w:hanging="332"/>
        <w:spacing w:after="0" w:line="293"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 portion of the offering expenses will be paid from the proceeds of loans from our sponsor of up to $300,000 as described in this prospectus. As of June 30, 2020, we have borrowed $25,025 under the promissory note with our sponsor to be used for a portion of the expenses of this offering. Any borrowed amounts will be repaid upon completion of this offering out of the offering proceeds that has been allocated for the payment of offering expenses (other than underwriting commissions). In the event that offering expenses are more than as set forth in this table, they will be repaid using a portion of the $1,250,000 of offering proceeds not held in the trust account and set aside for post-closing working capital expenses. In the event that offering expenses are less than set forth in this table, any such amounts will be used for post-closing working capital expenses.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 w:name="page49"/>
    <w:bookmarkEnd w:id="48"/>
    <w:p>
      <w:pPr>
        <w:jc w:val="both"/>
        <w:ind w:left="340" w:hanging="332"/>
        <w:spacing w:after="0" w:line="272" w:lineRule="auto"/>
        <w:tabs>
          <w:tab w:leader="none" w:pos="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underwriters have agreed to defer underwriting commissions equal to 3.5% of the gross proceeds of this offering. Upon completion of our initial business combination, $4,375,000, which constitutes the underwriters’ deferred commissions (or up to $5,031,250 if the underwriters’ over-allotment option is exercised in full) will be paid to the underwriters from the funds held in the trust account, and the remaining funds, less amounts released to the trustee to pay redeeming stockholders, will be released to us and can be used to pay all or a portion of the purchase price of the business or businesses with which our initial business combination occurs or for general corporate purposes, including payment of principal or interest on indebtedness incurred in connection with our initial business combination, to fund the purchases of other companies or for working capital. The underwriters will not be entitled to any interest accrued on the deferred underwriting discounts and commissions.</w:t>
      </w:r>
    </w:p>
    <w:p>
      <w:pPr>
        <w:spacing w:after="0" w:line="177" w:lineRule="exact"/>
        <w:rPr>
          <w:rFonts w:ascii="Arial" w:cs="Arial" w:eastAsia="Arial" w:hAnsi="Arial"/>
          <w:sz w:val="17"/>
          <w:szCs w:val="17"/>
          <w:color w:val="auto"/>
        </w:rPr>
      </w:pPr>
    </w:p>
    <w:p>
      <w:pPr>
        <w:jc w:val="both"/>
        <w:ind w:left="340" w:hanging="332"/>
        <w:spacing w:after="0" w:line="257"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funds held in the trust account will be used to acquire a target business, to pay holders who wish to convert or sell their shares for a portion of the funds held in the trust account and potentially to pay our expenses relating thereto. Our expenses relating to the acquisition of a target business would either come from the funds held in the trust account or additional funds otherwise available to us outside of the trust account, including cash held by the target business. Any remaining funds will be disbursed to the combined company and be used as working capital to finance the operations of the target business.</w:t>
      </w:r>
    </w:p>
    <w:p>
      <w:pPr>
        <w:spacing w:after="0" w:line="187"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amount of proceeds not held in trust will remain constant at $1,250,000 even if the over-allotment is exercised.</w:t>
      </w:r>
    </w:p>
    <w:p>
      <w:pPr>
        <w:spacing w:after="0" w:line="225" w:lineRule="exact"/>
        <w:rPr>
          <w:rFonts w:ascii="Arial" w:cs="Arial" w:eastAsia="Arial" w:hAnsi="Arial"/>
          <w:sz w:val="18"/>
          <w:szCs w:val="18"/>
          <w:color w:val="auto"/>
        </w:rPr>
      </w:pPr>
    </w:p>
    <w:p>
      <w:pPr>
        <w:jc w:val="both"/>
        <w:ind w:left="340" w:hanging="332"/>
        <w:spacing w:after="0" w:line="257"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These are estimates only. Our actual expenditures for some or all of these items may differ from the estimates set forth herein. For example, we may incur greater legal and accounting expenses than our current estimates in connection with negotiating and structuring our initial business combination based upon the level of complexity of that business combination. We do not anticipate any change in our intended use of proceeds, other than fluctuations among the current categories of allocated expenses, which fluctuations, to the extent they exceed current estimates for any specific category of expenses, would be deducted from our excess working capital.</w:t>
      </w:r>
    </w:p>
    <w:p>
      <w:pPr>
        <w:spacing w:after="0" w:line="18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The payment to an affiliate of our sponsor of a monthly fee of $10,000 is for general and administrative services including office space, utilities and secretarial support. However, pursuant to the terms of such agreement, we may delay payment of such monthly fee upon a determination by our audit committee that we lack sufficient funds held outside the trust to pay actual or anticipated expenses in connection with our initial business combination. Any such unpaid amount will accrue without interest and be due and payable no later than the date of the consummation of our initial business combination. This arrangement is being agreed to by our sponsor and its affiliates for our benefit. We believe that this administrative fee is at least as favorable as we could have obtained from an unaffiliated person. This arrangement will terminate upon completion of our initial business combination or the distribution of the trust account to our public stockholders. Other than the $10,000 per month fee, no compensation of any kind (including finder’s fees, consulting fees or other similar compensation) will be paid to our insiders, members of our management team or any of our or their respective affiliates, for services rendered to us prior to or in connection with the consummation of our initial business combination (regardless of the type of transaction that it is). However, such individuals will receive reimbursement for any out-of-pocket expenses incurred by them in connection with activities on our behalf, such as identifying potential target businesses, performing business due diligence on suitable target businesses and business combinations, as well as traveling to and from the offices, plants or similar locations of prospective target businesses to examine their operations. Since the role of present management after our initial business combination is uncertain, we have no ability to determine what remuneration, if any, will be paid to those persons after our initial business combination.</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total of $10.00 per share (whether or not the underwriters’ over-allotment option is exercised in full) of the net proceeds from this offering and the</w:t>
      </w:r>
    </w:p>
    <w:p>
      <w:pPr>
        <w:spacing w:after="0" w:line="4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sale of the private shares described in this prospectus will be placed in a trust account in the United States at , maintained by Continental Stock Transfer &amp; Trust Company acting as trustee and will be invested only in U.S. government treasury bills, notes and bonds with a maturity of 185 days or less or in money market funds meeting certain conditions under Rule 2a-7 under the Investment Company Act and which invest solely in U.S. Treasuries. Except for all interest income that may be released to us to pay our tax obligations, as discussed below, none of the funds held in the trust account will be released from the trust account until the earlier of: (i) the consummation of our initial business combination within 24 months from the closing of this offering and (ii) a redemption to public stockholders prior to any voluntary winding-up in the event we do not consummate our initial business combination within the applicable period.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9" w:name="page50"/>
    <w:bookmarkEnd w:id="49"/>
    <w:p>
      <w:pPr>
        <w:jc w:val="both"/>
        <w:ind w:firstLine="324"/>
        <w:spacing w:after="0" w:line="255" w:lineRule="auto"/>
        <w:rPr>
          <w:sz w:val="20"/>
          <w:szCs w:val="20"/>
          <w:color w:val="auto"/>
        </w:rPr>
      </w:pPr>
      <w:r>
        <w:rPr>
          <w:rFonts w:ascii="Arial" w:cs="Arial" w:eastAsia="Arial" w:hAnsi="Arial"/>
          <w:sz w:val="18"/>
          <w:szCs w:val="18"/>
          <w:color w:val="auto"/>
        </w:rPr>
        <w:t>The net proceeds held in the trust account may be used as consideration to pay the sellers of a target business with which we ultimately complete our initial business combination. If our initial business combination is paid for using shares or debt securities, or not all of the funds released from the trust account are used for payment of the purchase price in connection with our business combination, we may apply the cash released from the trust account that is not applied to the purchase price for general corporate purposes, including for maintenance or expansion of operations of acquired businesses, the payment of principal or interest due on indebtedness incurred in consummating the initial business combination, to fund the purchase of other companies or for working capital.</w:t>
      </w:r>
    </w:p>
    <w:p>
      <w:pPr>
        <w:spacing w:after="0" w:line="192"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We believe that amounts not held in trust will be sufficient to pay the costs and expenses to which such proceeds are allocated. This belief is based on the fact that while we may begin preliminary due diligence of a target business in connection with an indication of interest, we intend to undertake in-depth due diligence, depending on the circumstances of the relevant prospective acquisition, only after we have negotiated and signed a letter of intent or other preliminary agreement that addresses the terms of our initial business combination. However, if our estimate of the costs of undertaking in-depth due diligence and negotiating our initial business combination is less than the actual amount necessary to do so, or the amount of interest available to use from the trust account is minimal as a result of the current interest rate environment, we may be required to raise additional capital, the amount, availability and cost of which is currently unascertainable. In this event, we could seek such additional capital through loans or additional investments from members of our management team, but such members of our management team are not under any obligation to advance funds to, or invest in, us.</w:t>
      </w:r>
    </w:p>
    <w:p>
      <w:pPr>
        <w:spacing w:after="0" w:line="16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the date of this prospectus, our sponsor has loaned us up to $300,000 to be used for a portion of the expenses of this offering, of which we have borrowed $25,025. Any loans will be non-interest bearing and payable on the date on which we consummate the offering.</w:t>
      </w:r>
    </w:p>
    <w:p>
      <w:pPr>
        <w:spacing w:after="0" w:line="17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addition, in order to finance transaction costs in connection with an intended initial business combination, our sponsor or an affiliate of our sponsor or our officers and directors may, but are not obligated to, loan us funds as may be required. If we consummate our initial business combination, we would repay such loaned amounts. The notes would either be paid upon consummation of our initial business combination, without interest, or, at the lender’s discretion, up to $1,500,000 of the notes may be converted upon consummation of our business combination into additional private shares at a price of $10.00 per share (which, for example, would result in the holders being issued 50,000 shares if $500,000 of notes were so converted). Such private shares will be identical to the private shares to be issued at the closing of this offering.</w:t>
      </w:r>
    </w:p>
    <w:p>
      <w:pPr>
        <w:spacing w:after="0" w:line="17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no event will we redeem our public shares in an amount that would cause our net tangible assets to be less than $5,000,001. Furthermore, the redemption threshold may be further limited by the terms and conditions of our initial business combination. In such case, we would not proceed with the redemption of our public shares or the business combination, and instead may search for an alternate business combination.</w:t>
      </w:r>
    </w:p>
    <w:p>
      <w:pPr>
        <w:spacing w:after="0" w:line="16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 public stockholder will be entitled to receive funds from the trust account only upon the earlier to occur of: (i) our consummation of our initial business combination, and then only in connection with those shares of common stock that such stockholder properly elected to redeem, subject to the limitations described herein, (ii) the redemption of our public shares if we are unable to consummate our initial business combination within 24 months following the closing of this offering, subject to applicable law, or (iii) if we seek to amend our certificate of incorporation to affect the substance or timing of our obligation to redeem all public shares if we cannot complete an initial business combination within 24 months of the closing of this offering and such amendment is duly approved. In no other circumstances will a public stockholder have any right or interest of any kind to or in the trust account.</w:t>
      </w:r>
    </w:p>
    <w:p>
      <w:pPr>
        <w:spacing w:after="0" w:line="16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initial stockholders have agreed to waive their redemption rights with respect to any shares they own in connection with the consummation of our initial business combination, including their founder shares and public shares that they have purchased during or after the offering, if any. In addition, our initial stockholders have agreed to waive their rights to liquidating distributions with respect to its founder shares if we fail to consummate our initial business combination within 24 months from the closing of this offering. However, if our initial stockholders acquire public shares in or after this offering, they will be entitled to receive liquidating distributions with respect to such public shares if we fail to consummate our initial business combination within the required time period.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have not paid any cash dividends on our shares of common stock to date and do not intend to pay cash dividends prior to the completion of our initial business combination. The payment of cash dividends in the future will be dependent upon our revenues and earnings, if any, capital requirements and general financial condition subsequent to completion of our initial business combination. The payment of any cash dividends subsequent to our initial business combination will be within the discretion of our board of directors at such time and subject to the Delaware law. In addition, our board of directors is not currently contemplating and does not anticipate declaring any share dividends in the foreseeable future, except if we increase the size of the offering pursuant to Rule 462(b) under the Securities Act, in which case we will effect a share dividend immediately prior to the consummation of the offering in such amount as to maintain our initial stockholders’ ownership at 20% of the issued and outstanding shares of common stock upon the consummation of this offering (assuming no purchase in this offering and not taking into account ownership of the private shares). Further, if we incur any indebtedness in connection with our initial business combination, our ability to declare dividends may be limited by restrictive covenants we may agree to in connection therewith.</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difference between the public offering price per share and the pro forma net tangible book value per share after this offering constitutes the dilution to investors in this offering. Net tangible book value per share is determined by dividing our net tangible book value, which is our total tangible assets less total liabilities (including the value of shares of common stock which may be redeemed for cash), by the number of outstanding shares of common stock.</w:t>
      </w:r>
    </w:p>
    <w:p>
      <w:pPr>
        <w:spacing w:after="0" w:line="18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At June 30, 2020, our net tangible book value was $(13,972) or approximately $(0.00) per share. After giving effect to the sale of 12,500,000 shares of common stock we are offering by this prospectus and the proceeds received from the sale of the private shares, the deduction of underwriting discounts and estimated expenses of this offering, our pro forma net tangible book value at June 30, 2020 would have been $5,000,008 or $1.14 per share, representing an immediate increase in net tangible book value of $1.14 per share to the initial stockholders and an immediate dilution of 88.6% per share or $8.86 to new investors not exercising their conversion/tender rights. For purposes of presentation, our pro forma net tangible book value after this offering is $116,899,520 less than it otherwise would have been because, if we effect a business combination, the ability of public stockholders to exercise conversion rights or sell their shares to us in any tender offer may result in the conversion or tender of up to 11,689,952 shares sold in this offering.</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illustrates the dilution to the new investors on a per-share basis: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0" w:type="dxa"/>
            <w:vAlign w:val="bottom"/>
            <w:gridSpan w:val="5"/>
          </w:tcPr>
          <w:p>
            <w:pPr>
              <w:jc w:val="right"/>
              <w:ind w:right="440"/>
              <w:spacing w:after="0"/>
              <w:rPr>
                <w:sz w:val="20"/>
                <w:szCs w:val="20"/>
                <w:color w:val="auto"/>
              </w:rPr>
            </w:pPr>
            <w:r>
              <w:rPr>
                <w:rFonts w:ascii="Arial" w:cs="Arial" w:eastAsia="Arial" w:hAnsi="Arial"/>
                <w:sz w:val="18"/>
                <w:szCs w:val="18"/>
                <w:b w:val="1"/>
                <w:bCs w:val="1"/>
                <w:color w:val="auto"/>
              </w:rPr>
              <w:t>Without Over-allotment</w:t>
            </w:r>
          </w:p>
        </w:tc>
        <w:tc>
          <w:tcPr>
            <w:tcW w:w="100" w:type="dxa"/>
            <w:vAlign w:val="bottom"/>
          </w:tcPr>
          <w:p>
            <w:pPr>
              <w:spacing w:after="0"/>
              <w:rPr>
                <w:sz w:val="20"/>
                <w:szCs w:val="20"/>
                <w:color w:val="auto"/>
              </w:rPr>
            </w:pPr>
          </w:p>
        </w:tc>
        <w:tc>
          <w:tcPr>
            <w:tcW w:w="2020" w:type="dxa"/>
            <w:vAlign w:val="bottom"/>
            <w:gridSpan w:val="3"/>
          </w:tcPr>
          <w:p>
            <w:pPr>
              <w:jc w:val="right"/>
              <w:spacing w:after="0"/>
              <w:rPr>
                <w:sz w:val="20"/>
                <w:szCs w:val="20"/>
                <w:color w:val="auto"/>
              </w:rPr>
            </w:pPr>
            <w:r>
              <w:rPr>
                <w:rFonts w:ascii="Arial" w:cs="Arial" w:eastAsia="Arial" w:hAnsi="Arial"/>
                <w:sz w:val="18"/>
                <w:szCs w:val="18"/>
                <w:b w:val="1"/>
                <w:bCs w:val="1"/>
                <w:color w:val="auto"/>
              </w:rPr>
              <w:t>With Over-allotment</w:t>
            </w: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Public offering price</w:t>
            </w:r>
          </w:p>
        </w:tc>
        <w:tc>
          <w:tcPr>
            <w:tcW w:w="10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10.00</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20"/>
              <w:spacing w:after="0"/>
              <w:rPr>
                <w:sz w:val="20"/>
                <w:szCs w:val="20"/>
                <w:color w:val="auto"/>
              </w:rPr>
            </w:pPr>
            <w:r>
              <w:rPr>
                <w:rFonts w:ascii="Arial" w:cs="Arial" w:eastAsia="Arial" w:hAnsi="Arial"/>
                <w:sz w:val="18"/>
                <w:szCs w:val="18"/>
                <w:color w:val="auto"/>
              </w:rPr>
              <w:t>Net tangible book deficit before this offering</w:t>
            </w:r>
          </w:p>
        </w:tc>
        <w:tc>
          <w:tcPr>
            <w:tcW w:w="1440" w:type="dxa"/>
            <w:vAlign w:val="bottom"/>
            <w:gridSpan w:val="3"/>
          </w:tcPr>
          <w:p>
            <w:pPr>
              <w:jc w:val="right"/>
              <w:ind w:right="160"/>
              <w:spacing w:after="0"/>
              <w:rPr>
                <w:sz w:val="20"/>
                <w:szCs w:val="20"/>
                <w:color w:val="auto"/>
              </w:rPr>
            </w:pPr>
            <w:r>
              <w:rPr>
                <w:rFonts w:ascii="Arial" w:cs="Arial" w:eastAsia="Arial" w:hAnsi="Arial"/>
                <w:sz w:val="18"/>
                <w:szCs w:val="18"/>
                <w:color w:val="auto"/>
              </w:rPr>
              <w:t>(0.00)</w:t>
            </w: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3"/>
          </w:tcPr>
          <w:p>
            <w:pPr>
              <w:jc w:val="right"/>
              <w:ind w:right="160"/>
              <w:spacing w:after="0"/>
              <w:rPr>
                <w:sz w:val="20"/>
                <w:szCs w:val="20"/>
                <w:color w:val="auto"/>
              </w:rPr>
            </w:pPr>
            <w:r>
              <w:rPr>
                <w:rFonts w:ascii="Arial" w:cs="Arial" w:eastAsia="Arial" w:hAnsi="Arial"/>
                <w:sz w:val="18"/>
                <w:szCs w:val="18"/>
                <w:color w:val="auto"/>
              </w:rPr>
              <w:t>(0.00)</w:t>
            </w: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attributable to public stockholders</w:t>
            </w: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1.14</w:t>
            </w:r>
          </w:p>
        </w:tc>
        <w:tc>
          <w:tcPr>
            <w:tcW w:w="3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1.01</w:t>
            </w:r>
          </w:p>
        </w:tc>
        <w:tc>
          <w:tcPr>
            <w:tcW w:w="6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584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w w:val="93"/>
              </w:rPr>
              <w:t>Pro forma net tangible book value after this offering and the sale of the private</w:t>
            </w:r>
          </w:p>
        </w:tc>
        <w:tc>
          <w:tcPr>
            <w:tcW w:w="10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380" w:type="dxa"/>
            <w:vAlign w:val="bottom"/>
            <w:tcBorders>
              <w:top w:val="single" w:sz="8" w:color="CCEEFF"/>
            </w:tcBorders>
          </w:tcPr>
          <w:p>
            <w:pPr>
              <w:spacing w:after="0"/>
              <w:rPr>
                <w:sz w:val="15"/>
                <w:szCs w:val="15"/>
                <w:color w:val="auto"/>
              </w:rPr>
            </w:pPr>
          </w:p>
        </w:tc>
        <w:tc>
          <w:tcPr>
            <w:tcW w:w="72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680" w:type="dxa"/>
            <w:vAlign w:val="bottom"/>
            <w:tcBorders>
              <w:top w:val="single" w:sz="8" w:color="CCEEFF"/>
            </w:tcBorders>
          </w:tcPr>
          <w:p>
            <w:pPr>
              <w:spacing w:after="0"/>
              <w:rPr>
                <w:sz w:val="15"/>
                <w:szCs w:val="15"/>
                <w:color w:val="auto"/>
              </w:rPr>
            </w:pPr>
          </w:p>
        </w:tc>
        <w:tc>
          <w:tcPr>
            <w:tcW w:w="42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58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placement warrants</w:t>
            </w:r>
          </w:p>
        </w:tc>
        <w:tc>
          <w:tcPr>
            <w:tcW w:w="100" w:type="dxa"/>
            <w:vAlign w:val="bottom"/>
            <w:tcBorders>
              <w:bottom w:val="single" w:sz="8" w:color="CCEEFF"/>
            </w:tcBorders>
          </w:tcPr>
          <w:p>
            <w:pPr>
              <w:spacing w:after="0"/>
              <w:rPr>
                <w:sz w:val="21"/>
                <w:szCs w:val="21"/>
                <w:color w:val="auto"/>
              </w:rPr>
            </w:pPr>
          </w:p>
        </w:tc>
        <w:tc>
          <w:tcPr>
            <w:tcW w:w="112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2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Dilution to public stockholders</w:t>
            </w:r>
          </w:p>
        </w:tc>
        <w:tc>
          <w:tcPr>
            <w:tcW w:w="182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8.86</w:t>
            </w:r>
          </w:p>
        </w:tc>
        <w:tc>
          <w:tcPr>
            <w:tcW w:w="212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8.99</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Percentage of dilution to public stockholders</w:t>
            </w: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58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88.6%</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89.9%</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information with respect to our initial stockholders and the new investors: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620" w:type="dxa"/>
            <w:vAlign w:val="bottom"/>
          </w:tcPr>
          <w:p>
            <w:pPr>
              <w:spacing w:after="0"/>
              <w:rPr>
                <w:sz w:val="22"/>
                <w:szCs w:val="22"/>
                <w:color w:val="auto"/>
              </w:rPr>
            </w:pPr>
          </w:p>
        </w:tc>
        <w:tc>
          <w:tcPr>
            <w:tcW w:w="270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Shares Purchased</w:t>
            </w:r>
          </w:p>
        </w:tc>
        <w:tc>
          <w:tcPr>
            <w:tcW w:w="160" w:type="dxa"/>
            <w:vAlign w:val="bottom"/>
          </w:tcPr>
          <w:p>
            <w:pPr>
              <w:spacing w:after="0"/>
              <w:rPr>
                <w:sz w:val="22"/>
                <w:szCs w:val="22"/>
                <w:color w:val="auto"/>
              </w:rPr>
            </w:pPr>
          </w:p>
        </w:tc>
        <w:tc>
          <w:tcPr>
            <w:tcW w:w="2540" w:type="dxa"/>
            <w:vAlign w:val="bottom"/>
            <w:gridSpan w:val="5"/>
          </w:tcPr>
          <w:p>
            <w:pPr>
              <w:jc w:val="right"/>
              <w:ind w:right="720"/>
              <w:spacing w:after="0"/>
              <w:rPr>
                <w:sz w:val="20"/>
                <w:szCs w:val="20"/>
                <w:color w:val="auto"/>
              </w:rPr>
            </w:pPr>
            <w:r>
              <w:rPr>
                <w:rFonts w:ascii="Arial" w:cs="Arial" w:eastAsia="Arial" w:hAnsi="Arial"/>
                <w:sz w:val="18"/>
                <w:szCs w:val="18"/>
                <w:b w:val="1"/>
                <w:bCs w:val="1"/>
                <w:color w:val="auto"/>
              </w:rPr>
              <w:t>Total Consideration</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8"/>
              </w:rPr>
              <w:t>Average Price</w:t>
            </w:r>
          </w:p>
        </w:tc>
      </w:tr>
      <w:tr>
        <w:trPr>
          <w:trHeight w:val="236"/>
        </w:trPr>
        <w:tc>
          <w:tcPr>
            <w:tcW w:w="4620" w:type="dxa"/>
            <w:vAlign w:val="bottom"/>
            <w:tcBorders>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Number</w:t>
            </w:r>
          </w:p>
        </w:tc>
        <w:tc>
          <w:tcPr>
            <w:tcW w:w="200" w:type="dxa"/>
            <w:vAlign w:val="bottom"/>
            <w:tcBorders>
              <w:top w:val="single" w:sz="8" w:color="auto"/>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8"/>
              </w:rPr>
              <w:t>Percentage</w:t>
            </w:r>
          </w:p>
        </w:tc>
        <w:tc>
          <w:tcPr>
            <w:tcW w:w="26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Amount</w:t>
            </w:r>
          </w:p>
        </w:tc>
        <w:tc>
          <w:tcPr>
            <w:tcW w:w="200" w:type="dxa"/>
            <w:vAlign w:val="bottom"/>
            <w:tcBorders>
              <w:top w:val="single" w:sz="8" w:color="auto"/>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8"/>
              </w:rPr>
              <w:t>Percentage</w:t>
            </w:r>
          </w:p>
        </w:tc>
        <w:tc>
          <w:tcPr>
            <w:tcW w:w="260" w:type="dxa"/>
            <w:vAlign w:val="bottom"/>
            <w:tcBorders>
              <w:bottom w:val="single" w:sz="8" w:color="CCEEFF"/>
            </w:tcBorders>
            <w:gridSpan w:val="2"/>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2"/>
              </w:rPr>
              <w:t>Per Share</w:t>
            </w:r>
          </w:p>
        </w:tc>
        <w:tc>
          <w:tcPr>
            <w:tcW w:w="100" w:type="dxa"/>
            <w:vAlign w:val="bottom"/>
            <w:tcBorders>
              <w:bottom w:val="single" w:sz="8" w:color="CCEEFF"/>
            </w:tcBorders>
          </w:tcPr>
          <w:p>
            <w:pPr>
              <w:spacing w:after="0"/>
              <w:rPr>
                <w:sz w:val="20"/>
                <w:szCs w:val="20"/>
                <w:color w:val="auto"/>
              </w:rPr>
            </w:pPr>
          </w:p>
        </w:tc>
      </w:tr>
      <w:tr>
        <w:trPr>
          <w:trHeight w:val="243"/>
        </w:trPr>
        <w:tc>
          <w:tcPr>
            <w:tcW w:w="4620" w:type="dxa"/>
            <w:vAlign w:val="bottom"/>
            <w:shd w:val="clear" w:color="auto" w:fill="CCEEFF"/>
          </w:tcPr>
          <w:p>
            <w:pPr>
              <w:ind w:left="20"/>
              <w:spacing w:after="0" w:line="243" w:lineRule="exact"/>
              <w:rPr>
                <w:sz w:val="20"/>
                <w:szCs w:val="20"/>
                <w:color w:val="auto"/>
              </w:rPr>
            </w:pPr>
            <w:r>
              <w:rPr>
                <w:rFonts w:ascii="Arial" w:cs="Arial" w:eastAsia="Arial" w:hAnsi="Arial"/>
                <w:sz w:val="17"/>
                <w:szCs w:val="17"/>
                <w:color w:val="auto"/>
              </w:rPr>
              <w:t xml:space="preserve">Founder Shares </w:t>
            </w:r>
            <w:r>
              <w:rPr>
                <w:rFonts w:ascii="Arial" w:cs="Arial" w:eastAsia="Arial" w:hAnsi="Arial"/>
                <w:sz w:val="28"/>
                <w:szCs w:val="28"/>
                <w:color w:val="auto"/>
                <w:vertAlign w:val="superscript"/>
              </w:rPr>
              <w:t>(1)</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3,125,000</w:t>
            </w:r>
          </w:p>
        </w:tc>
        <w:tc>
          <w:tcPr>
            <w:tcW w:w="13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19.4%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25,000</w:t>
            </w:r>
          </w:p>
        </w:tc>
        <w:tc>
          <w:tcPr>
            <w:tcW w:w="13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0.02%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0.01</w:t>
            </w:r>
          </w:p>
        </w:tc>
      </w:tr>
      <w:tr>
        <w:trPr>
          <w:trHeight w:val="216"/>
        </w:trPr>
        <w:tc>
          <w:tcPr>
            <w:tcW w:w="4620" w:type="dxa"/>
            <w:vAlign w:val="bottom"/>
          </w:tcPr>
          <w:p>
            <w:pPr>
              <w:ind w:left="20"/>
              <w:spacing w:after="0"/>
              <w:rPr>
                <w:sz w:val="20"/>
                <w:szCs w:val="20"/>
                <w:color w:val="auto"/>
              </w:rPr>
            </w:pPr>
            <w:r>
              <w:rPr>
                <w:rFonts w:ascii="Arial" w:cs="Arial" w:eastAsia="Arial" w:hAnsi="Arial"/>
                <w:sz w:val="18"/>
                <w:szCs w:val="18"/>
                <w:color w:val="auto"/>
              </w:rPr>
              <w:t>Private Shares</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450,000</w:t>
            </w:r>
          </w:p>
        </w:tc>
        <w:tc>
          <w:tcPr>
            <w:tcW w:w="1380" w:type="dxa"/>
            <w:vAlign w:val="bottom"/>
            <w:gridSpan w:val="2"/>
          </w:tcPr>
          <w:p>
            <w:pPr>
              <w:jc w:val="right"/>
              <w:ind w:right="30"/>
              <w:spacing w:after="0"/>
              <w:rPr>
                <w:sz w:val="20"/>
                <w:szCs w:val="20"/>
                <w:color w:val="auto"/>
              </w:rPr>
            </w:pPr>
            <w:r>
              <w:rPr>
                <w:rFonts w:ascii="Arial" w:cs="Arial" w:eastAsia="Arial" w:hAnsi="Arial"/>
                <w:sz w:val="18"/>
                <w:szCs w:val="18"/>
                <w:color w:val="auto"/>
              </w:rPr>
              <w:t>2.8%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4,500,000</w:t>
            </w:r>
          </w:p>
        </w:tc>
        <w:tc>
          <w:tcPr>
            <w:tcW w:w="1380" w:type="dxa"/>
            <w:vAlign w:val="bottom"/>
            <w:gridSpan w:val="3"/>
          </w:tcPr>
          <w:p>
            <w:pPr>
              <w:jc w:val="right"/>
              <w:ind w:right="120"/>
              <w:spacing w:after="0"/>
              <w:rPr>
                <w:sz w:val="20"/>
                <w:szCs w:val="20"/>
                <w:color w:val="auto"/>
              </w:rPr>
            </w:pPr>
            <w:r>
              <w:rPr>
                <w:rFonts w:ascii="Arial" w:cs="Arial" w:eastAsia="Arial" w:hAnsi="Arial"/>
                <w:sz w:val="18"/>
                <w:szCs w:val="18"/>
                <w:color w:val="auto"/>
              </w:rPr>
              <w:t>3.47%</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r>
      <w:tr>
        <w:trPr>
          <w:trHeight w:val="25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New investors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12,500,000</w:t>
            </w:r>
          </w:p>
        </w:tc>
        <w:tc>
          <w:tcPr>
            <w:tcW w:w="2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77.8%</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125,000,000</w:t>
            </w:r>
          </w:p>
        </w:tc>
        <w:tc>
          <w:tcPr>
            <w:tcW w:w="13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96.51%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r>
      <w:tr>
        <w:trPr>
          <w:trHeight w:val="237"/>
        </w:trPr>
        <w:tc>
          <w:tcPr>
            <w:tcW w:w="4620" w:type="dxa"/>
            <w:vAlign w:val="bottom"/>
            <w:tcBorders>
              <w:top w:val="single" w:sz="8" w:color="CCEEFF"/>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16,075,000</w:t>
            </w:r>
          </w:p>
        </w:tc>
        <w:tc>
          <w:tcPr>
            <w:tcW w:w="200" w:type="dxa"/>
            <w:vAlign w:val="bottom"/>
            <w:tcBorders>
              <w:top w:val="single" w:sz="8" w:color="CCEEFF"/>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w w:val="74"/>
              </w:rPr>
              <w: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129,525,000</w:t>
            </w:r>
          </w:p>
        </w:tc>
        <w:tc>
          <w:tcPr>
            <w:tcW w:w="200" w:type="dxa"/>
            <w:vAlign w:val="bottom"/>
            <w:tcBorders>
              <w:top w:val="single" w:sz="8" w:color="CCEEFF"/>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260" w:type="dxa"/>
            <w:vAlign w:val="bottom"/>
            <w:tcBorders>
              <w:top w:val="single" w:sz="8" w:color="CCEEFF"/>
            </w:tcBorders>
            <w:gridSpan w:val="2"/>
          </w:tcPr>
          <w:p>
            <w:pPr>
              <w:jc w:val="right"/>
              <w:ind w:right="120"/>
              <w:spacing w:after="0"/>
              <w:rPr>
                <w:sz w:val="20"/>
                <w:szCs w:val="20"/>
                <w:color w:val="auto"/>
              </w:rPr>
            </w:pPr>
            <w:r>
              <w:rPr>
                <w:rFonts w:ascii="Arial" w:cs="Arial" w:eastAsia="Arial" w:hAnsi="Arial"/>
                <w:sz w:val="18"/>
                <w:szCs w:val="18"/>
                <w:color w:val="auto"/>
                <w:w w:val="74"/>
              </w:rPr>
              <w:t>%</w:t>
            </w:r>
          </w:p>
        </w:tc>
        <w:tc>
          <w:tcPr>
            <w:tcW w:w="140" w:type="dxa"/>
            <w:vAlign w:val="bottom"/>
            <w:tcBorders>
              <w:top w:val="single" w:sz="8" w:color="CCEEFF"/>
            </w:tcBorders>
          </w:tcPr>
          <w:p>
            <w:pPr>
              <w:spacing w:after="0"/>
              <w:rPr>
                <w:sz w:val="20"/>
                <w:szCs w:val="20"/>
                <w:color w:val="auto"/>
              </w:rPr>
            </w:pPr>
          </w:p>
        </w:tc>
        <w:tc>
          <w:tcPr>
            <w:tcW w:w="98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r>
      <w:tr>
        <w:trPr>
          <w:trHeight w:val="20"/>
        </w:trPr>
        <w:tc>
          <w:tcPr>
            <w:tcW w:w="46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20" w:hanging="332"/>
        <w:spacing w:after="0" w:line="277"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Assumes the over-allotment option has not been exercised and an aggregate of 468,750 shares of common stock held by our initial stockholders have been forfeited as a result thereof.</w:t>
      </w:r>
    </w:p>
    <w:p>
      <w:pPr>
        <w:spacing w:after="0" w:line="170"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The pro forma net tangible book value after the offering is calculated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Without</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rPr>
              <w:t>With</w:t>
            </w:r>
          </w:p>
        </w:tc>
      </w:tr>
      <w:tr>
        <w:trPr>
          <w:trHeight w:val="230"/>
        </w:trPr>
        <w:tc>
          <w:tcPr>
            <w:tcW w:w="8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Over-</w:t>
            </w:r>
          </w:p>
        </w:tc>
        <w:tc>
          <w:tcPr>
            <w:tcW w:w="120" w:type="dxa"/>
            <w:vAlign w:val="bottom"/>
          </w:tcPr>
          <w:p>
            <w:pPr>
              <w:spacing w:after="0"/>
              <w:rPr>
                <w:sz w:val="19"/>
                <w:szCs w:val="19"/>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Over-</w:t>
            </w:r>
          </w:p>
        </w:tc>
      </w:tr>
      <w:tr>
        <w:trPr>
          <w:trHeight w:val="241"/>
        </w:trPr>
        <w:tc>
          <w:tcPr>
            <w:tcW w:w="8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allotment</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allotment</w:t>
            </w:r>
          </w:p>
        </w:tc>
      </w:tr>
      <w:tr>
        <w:trPr>
          <w:trHeight w:val="432"/>
        </w:trPr>
        <w:tc>
          <w:tcPr>
            <w:tcW w:w="8680" w:type="dxa"/>
            <w:vAlign w:val="bottom"/>
          </w:tcPr>
          <w:p>
            <w:pPr>
              <w:ind w:left="20"/>
              <w:spacing w:after="0"/>
              <w:rPr>
                <w:sz w:val="20"/>
                <w:szCs w:val="20"/>
                <w:color w:val="auto"/>
              </w:rPr>
            </w:pPr>
            <w:r>
              <w:rPr>
                <w:rFonts w:ascii="Arial" w:cs="Arial" w:eastAsia="Arial" w:hAnsi="Arial"/>
                <w:sz w:val="18"/>
                <w:szCs w:val="18"/>
                <w:color w:val="auto"/>
              </w:rPr>
              <w:t>Numerator:</w:t>
            </w: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tangible book deficit before this offering</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(13,972)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(13,972)</w:t>
            </w:r>
          </w:p>
        </w:tc>
      </w:tr>
      <w:tr>
        <w:trPr>
          <w:trHeight w:val="216"/>
        </w:trPr>
        <w:tc>
          <w:tcPr>
            <w:tcW w:w="8680" w:type="dxa"/>
            <w:vAlign w:val="bottom"/>
          </w:tcPr>
          <w:p>
            <w:pPr>
              <w:ind w:left="20"/>
              <w:spacing w:after="0"/>
              <w:rPr>
                <w:sz w:val="20"/>
                <w:szCs w:val="20"/>
                <w:color w:val="auto"/>
              </w:rPr>
            </w:pPr>
            <w:r>
              <w:rPr>
                <w:rFonts w:ascii="Arial" w:cs="Arial" w:eastAsia="Arial" w:hAnsi="Arial"/>
                <w:sz w:val="18"/>
                <w:szCs w:val="18"/>
                <w:color w:val="auto"/>
              </w:rPr>
              <w:t>Net proceeds from this offering and sale of the private placement warrants</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126,250,000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145,000,000</w:t>
            </w:r>
          </w:p>
        </w:tc>
      </w:tr>
      <w:tr>
        <w:trPr>
          <w:trHeight w:val="216"/>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Plus: Offering costs paid in advance, excluded from tangible book value</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38,500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38,500</w:t>
            </w:r>
          </w:p>
        </w:tc>
      </w:tr>
      <w:tr>
        <w:trPr>
          <w:trHeight w:val="216"/>
        </w:trPr>
        <w:tc>
          <w:tcPr>
            <w:tcW w:w="8680" w:type="dxa"/>
            <w:vAlign w:val="bottom"/>
          </w:tcPr>
          <w:p>
            <w:pPr>
              <w:ind w:left="20"/>
              <w:spacing w:after="0"/>
              <w:rPr>
                <w:sz w:val="20"/>
                <w:szCs w:val="20"/>
                <w:color w:val="auto"/>
              </w:rPr>
            </w:pPr>
            <w:r>
              <w:rPr>
                <w:rFonts w:ascii="Arial" w:cs="Arial" w:eastAsia="Arial" w:hAnsi="Arial"/>
                <w:sz w:val="18"/>
                <w:szCs w:val="18"/>
                <w:color w:val="auto"/>
              </w:rPr>
              <w:t>Less: Deferred underwriting commissions</w:t>
            </w: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(4,375,000)</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(5,031,250)</w:t>
            </w:r>
          </w:p>
        </w:tc>
      </w:tr>
      <w:tr>
        <w:trPr>
          <w:trHeight w:val="230"/>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Proceeds held in trust subject to redemption</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(116,899,520)</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(134,993,270)</w:t>
            </w:r>
          </w:p>
        </w:tc>
      </w:tr>
      <w:tr>
        <w:trPr>
          <w:trHeight w:val="27"/>
        </w:trPr>
        <w:tc>
          <w:tcPr>
            <w:tcW w:w="86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91"/>
        </w:trPr>
        <w:tc>
          <w:tcPr>
            <w:tcW w:w="86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5,000,008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5,000,008</w:t>
            </w:r>
          </w:p>
        </w:tc>
      </w:tr>
      <w:tr>
        <w:trPr>
          <w:trHeight w:val="216"/>
        </w:trPr>
        <w:tc>
          <w:tcPr>
            <w:tcW w:w="8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Denominator:</w:t>
            </w: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ind w:left="20"/>
              <w:spacing w:after="0"/>
              <w:rPr>
                <w:sz w:val="20"/>
                <w:szCs w:val="20"/>
                <w:color w:val="auto"/>
              </w:rPr>
            </w:pPr>
            <w:r>
              <w:rPr>
                <w:rFonts w:ascii="Arial" w:cs="Arial" w:eastAsia="Arial" w:hAnsi="Arial"/>
                <w:sz w:val="18"/>
                <w:szCs w:val="18"/>
                <w:color w:val="auto"/>
              </w:rPr>
              <w:t>Common stock outstanding prior to this offering</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3,593,750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3,593,750</w:t>
            </w:r>
          </w:p>
        </w:tc>
      </w:tr>
      <w:tr>
        <w:trPr>
          <w:trHeight w:val="216"/>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forfeited if over-allotment is not exercised</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(468,750)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ind w:left="20"/>
              <w:spacing w:after="0"/>
              <w:rPr>
                <w:sz w:val="20"/>
                <w:szCs w:val="20"/>
                <w:color w:val="auto"/>
              </w:rPr>
            </w:pPr>
            <w:r>
              <w:rPr>
                <w:rFonts w:ascii="Arial" w:cs="Arial" w:eastAsia="Arial" w:hAnsi="Arial"/>
                <w:sz w:val="18"/>
                <w:szCs w:val="18"/>
                <w:color w:val="auto"/>
              </w:rPr>
              <w:t>Common stock included in the public units</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12,500,000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14,375,000</w:t>
            </w:r>
          </w:p>
        </w:tc>
      </w:tr>
      <w:tr>
        <w:trPr>
          <w:trHeight w:val="216"/>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included in the units included in the private units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450,000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487,500</w:t>
            </w:r>
          </w:p>
        </w:tc>
      </w:tr>
      <w:tr>
        <w:trPr>
          <w:trHeight w:val="230"/>
        </w:trPr>
        <w:tc>
          <w:tcPr>
            <w:tcW w:w="8680" w:type="dxa"/>
            <w:vAlign w:val="bottom"/>
          </w:tcPr>
          <w:p>
            <w:pPr>
              <w:ind w:left="20"/>
              <w:spacing w:after="0"/>
              <w:rPr>
                <w:sz w:val="20"/>
                <w:szCs w:val="20"/>
                <w:color w:val="auto"/>
              </w:rPr>
            </w:pPr>
            <w:r>
              <w:rPr>
                <w:rFonts w:ascii="Arial" w:cs="Arial" w:eastAsia="Arial" w:hAnsi="Arial"/>
                <w:sz w:val="18"/>
                <w:szCs w:val="18"/>
                <w:color w:val="auto"/>
              </w:rPr>
              <w:t>Less: Shares subject to redemption</w:t>
            </w:r>
          </w:p>
        </w:tc>
        <w:tc>
          <w:tcPr>
            <w:tcW w:w="1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(11,689,952)</w:t>
            </w:r>
          </w:p>
        </w:tc>
        <w:tc>
          <w:tcPr>
            <w:tcW w:w="1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(13,499,327)</w:t>
            </w:r>
          </w:p>
        </w:tc>
      </w:tr>
      <w:tr>
        <w:trPr>
          <w:trHeight w:val="27"/>
        </w:trPr>
        <w:tc>
          <w:tcPr>
            <w:tcW w:w="86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86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4,385,048</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4,956,923</w:t>
            </w: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sets forth our capitalization at June 30, 2020 and as adjusted to give effect to the sale of our common stock offered by this prospectus and the private shares and the application of the estimated net proceeds derived from the sale of such securities.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60" w:type="dxa"/>
            <w:vAlign w:val="bottom"/>
            <w:gridSpan w:val="6"/>
          </w:tcPr>
          <w:p>
            <w:pPr>
              <w:jc w:val="right"/>
              <w:ind w:right="820"/>
              <w:spacing w:after="0"/>
              <w:rPr>
                <w:sz w:val="20"/>
                <w:szCs w:val="20"/>
                <w:color w:val="auto"/>
              </w:rPr>
            </w:pPr>
            <w:r>
              <w:rPr>
                <w:rFonts w:ascii="Arial" w:cs="Arial" w:eastAsia="Arial" w:hAnsi="Arial"/>
                <w:sz w:val="18"/>
                <w:szCs w:val="18"/>
                <w:b w:val="1"/>
                <w:bCs w:val="1"/>
                <w:color w:val="auto"/>
              </w:rPr>
              <w:t>June 30, 2020</w:t>
            </w:r>
          </w:p>
        </w:tc>
      </w:tr>
      <w:tr>
        <w:trPr>
          <w:trHeight w:val="198"/>
        </w:trPr>
        <w:tc>
          <w:tcPr>
            <w:tcW w:w="86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390"/>
              <w:spacing w:after="0" w:line="198" w:lineRule="exact"/>
              <w:rPr>
                <w:sz w:val="20"/>
                <w:szCs w:val="20"/>
                <w:color w:val="auto"/>
              </w:rPr>
            </w:pPr>
            <w:r>
              <w:rPr>
                <w:rFonts w:ascii="Arial" w:cs="Arial" w:eastAsia="Arial" w:hAnsi="Arial"/>
                <w:sz w:val="18"/>
                <w:szCs w:val="18"/>
                <w:b w:val="1"/>
                <w:bCs w:val="1"/>
                <w:color w:val="auto"/>
              </w:rPr>
              <w:t>As</w:t>
            </w:r>
          </w:p>
        </w:tc>
        <w:tc>
          <w:tcPr>
            <w:tcW w:w="100" w:type="dxa"/>
            <w:vAlign w:val="bottom"/>
            <w:gridSpan w:val="2"/>
          </w:tcPr>
          <w:p>
            <w:pPr>
              <w:spacing w:after="0"/>
              <w:rPr>
                <w:sz w:val="17"/>
                <w:szCs w:val="17"/>
                <w:color w:val="auto"/>
              </w:rPr>
            </w:pPr>
          </w:p>
        </w:tc>
      </w:tr>
      <w:tr>
        <w:trPr>
          <w:trHeight w:val="241"/>
        </w:trPr>
        <w:tc>
          <w:tcPr>
            <w:tcW w:w="8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Actual</w:t>
            </w:r>
          </w:p>
        </w:tc>
        <w:tc>
          <w:tcPr>
            <w:tcW w:w="1220" w:type="dxa"/>
            <w:vAlign w:val="bottom"/>
            <w:gridSpan w:val="4"/>
          </w:tcPr>
          <w:p>
            <w:pPr>
              <w:jc w:val="right"/>
              <w:ind w:right="180"/>
              <w:spacing w:after="0"/>
              <w:rPr>
                <w:sz w:val="20"/>
                <w:szCs w:val="20"/>
                <w:color w:val="auto"/>
              </w:rPr>
            </w:pPr>
            <w:r>
              <w:rPr>
                <w:rFonts w:ascii="Arial" w:cs="Arial" w:eastAsia="Arial" w:hAnsi="Arial"/>
                <w:sz w:val="18"/>
                <w:szCs w:val="18"/>
                <w:b w:val="1"/>
                <w:bCs w:val="1"/>
                <w:color w:val="auto"/>
                <w:w w:val="98"/>
              </w:rPr>
              <w:t>Adjusted (1)</w:t>
            </w:r>
          </w:p>
        </w:tc>
      </w:tr>
      <w:tr>
        <w:trPr>
          <w:trHeight w:val="216"/>
        </w:trPr>
        <w:tc>
          <w:tcPr>
            <w:tcW w:w="8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 payable to related party (2)</w:t>
            </w: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25,025</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36"/>
        </w:trPr>
        <w:tc>
          <w:tcPr>
            <w:tcW w:w="8680" w:type="dxa"/>
            <w:vAlign w:val="bottom"/>
          </w:tcPr>
          <w:p>
            <w:pPr>
              <w:ind w:left="20"/>
              <w:spacing w:after="0"/>
              <w:rPr>
                <w:sz w:val="20"/>
                <w:szCs w:val="20"/>
                <w:color w:val="auto"/>
              </w:rPr>
            </w:pPr>
            <w:r>
              <w:rPr>
                <w:rFonts w:ascii="Arial" w:cs="Arial" w:eastAsia="Arial" w:hAnsi="Arial"/>
                <w:sz w:val="18"/>
                <w:szCs w:val="18"/>
                <w:color w:val="auto"/>
              </w:rPr>
              <w:t>Deferred underwriting commissions</w:t>
            </w: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4,375,000</w:t>
            </w:r>
          </w:p>
        </w:tc>
        <w:tc>
          <w:tcPr>
            <w:tcW w:w="80" w:type="dxa"/>
            <w:vAlign w:val="bottom"/>
          </w:tcPr>
          <w:p>
            <w:pPr>
              <w:spacing w:after="0"/>
              <w:rPr>
                <w:sz w:val="20"/>
                <w:szCs w:val="20"/>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7"/>
              </w:rPr>
              <w:t>Common stock subject to possible redemption; -0- and 11,689,952 shares, actual and as adjusted, respectively</w:t>
            </w: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116,899,520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w w:val="97"/>
              </w:rPr>
              <w:t>Common stock, $0.0001 par value, 5,000,000 and [_] shares authorized, actual and as adjusted; 3,593,750 and</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w w:val="95"/>
              </w:rPr>
              <w:t>4,385,048 shares issued and outstanding (excluding -0- and 11,689,952 shares subject to possible redemption),</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8680" w:type="dxa"/>
            <w:vAlign w:val="bottom"/>
          </w:tcPr>
          <w:p>
            <w:pPr>
              <w:ind w:left="180"/>
              <w:spacing w:after="0"/>
              <w:rPr>
                <w:sz w:val="20"/>
                <w:szCs w:val="20"/>
                <w:color w:val="auto"/>
              </w:rPr>
            </w:pPr>
            <w:r>
              <w:rPr>
                <w:rFonts w:ascii="Arial" w:cs="Arial" w:eastAsia="Arial" w:hAnsi="Arial"/>
                <w:sz w:val="18"/>
                <w:szCs w:val="18"/>
                <w:color w:val="auto"/>
              </w:rPr>
              <w:t>actual and as adjusted, respectively (3)</w:t>
            </w: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359</w:t>
            </w:r>
          </w:p>
        </w:tc>
        <w:tc>
          <w:tcPr>
            <w:tcW w:w="160" w:type="dxa"/>
            <w:vAlign w:val="bottom"/>
          </w:tcPr>
          <w:p>
            <w:pPr>
              <w:spacing w:after="0"/>
              <w:rPr>
                <w:sz w:val="20"/>
                <w:szCs w:val="20"/>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439</w:t>
            </w:r>
          </w:p>
        </w:tc>
      </w:tr>
      <w:tr>
        <w:trPr>
          <w:trHeight w:val="216"/>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24,641</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5,000,041</w:t>
            </w:r>
          </w:p>
        </w:tc>
        <w:tc>
          <w:tcPr>
            <w:tcW w:w="80" w:type="dxa"/>
            <w:vAlign w:val="bottom"/>
            <w:shd w:val="clear" w:color="auto" w:fill="CCEEFF"/>
          </w:tcPr>
          <w:p>
            <w:pPr>
              <w:spacing w:after="0"/>
              <w:rPr>
                <w:sz w:val="18"/>
                <w:szCs w:val="18"/>
                <w:color w:val="auto"/>
              </w:rPr>
            </w:pPr>
          </w:p>
        </w:tc>
      </w:tr>
      <w:tr>
        <w:trPr>
          <w:trHeight w:val="237"/>
        </w:trPr>
        <w:tc>
          <w:tcPr>
            <w:tcW w:w="8680" w:type="dxa"/>
            <w:vAlign w:val="bottom"/>
          </w:tcPr>
          <w:p>
            <w:pPr>
              <w:ind w:left="20"/>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(472)</w:t>
            </w:r>
          </w:p>
        </w:tc>
        <w:tc>
          <w:tcPr>
            <w:tcW w:w="160" w:type="dxa"/>
            <w:vAlign w:val="bottom"/>
          </w:tcPr>
          <w:p>
            <w:pPr>
              <w:spacing w:after="0"/>
              <w:rPr>
                <w:sz w:val="20"/>
                <w:szCs w:val="20"/>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(472)</w:t>
            </w:r>
          </w:p>
        </w:tc>
      </w:tr>
      <w:tr>
        <w:trPr>
          <w:trHeight w:val="236"/>
        </w:trPr>
        <w:tc>
          <w:tcPr>
            <w:tcW w:w="8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24,528</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5,000,008</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37"/>
        </w:trPr>
        <w:tc>
          <w:tcPr>
            <w:tcW w:w="8680" w:type="dxa"/>
            <w:vAlign w:val="bottom"/>
          </w:tcPr>
          <w:p>
            <w:pPr>
              <w:ind w:left="20"/>
              <w:spacing w:after="0"/>
              <w:rPr>
                <w:sz w:val="20"/>
                <w:szCs w:val="20"/>
                <w:color w:val="auto"/>
              </w:rPr>
            </w:pPr>
            <w:r>
              <w:rPr>
                <w:rFonts w:ascii="Arial" w:cs="Arial" w:eastAsia="Arial" w:hAnsi="Arial"/>
                <w:sz w:val="18"/>
                <w:szCs w:val="18"/>
                <w:color w:val="auto"/>
              </w:rPr>
              <w:t>Total capitalization</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49,553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126,274,528</w:t>
            </w:r>
          </w:p>
        </w:tc>
        <w:tc>
          <w:tcPr>
            <w:tcW w:w="80" w:type="dxa"/>
            <w:vAlign w:val="bottom"/>
          </w:tcPr>
          <w:p>
            <w:pPr>
              <w:spacing w:after="0"/>
              <w:rPr>
                <w:sz w:val="20"/>
                <w:szCs w:val="20"/>
                <w:color w:val="auto"/>
              </w:rPr>
            </w:pPr>
          </w:p>
        </w:tc>
      </w:tr>
      <w:tr>
        <w:trPr>
          <w:trHeight w:val="20"/>
        </w:trPr>
        <w:tc>
          <w:tcPr>
            <w:tcW w:w="8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hanging="432"/>
        <w:spacing w:after="0"/>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the $4,500,000 we will receive from the sale of the private shares.</w:t>
      </w:r>
    </w:p>
    <w:p>
      <w:pPr>
        <w:spacing w:after="0" w:line="225" w:lineRule="exact"/>
        <w:rPr>
          <w:rFonts w:ascii="Arial" w:cs="Arial" w:eastAsia="Arial" w:hAnsi="Arial"/>
          <w:sz w:val="18"/>
          <w:szCs w:val="18"/>
          <w:color w:val="auto"/>
        </w:rPr>
      </w:pPr>
    </w:p>
    <w:p>
      <w:pPr>
        <w:jc w:val="both"/>
        <w:ind w:left="440" w:hanging="432"/>
        <w:spacing w:after="0" w:line="263" w:lineRule="auto"/>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sponsor has agreed to loan us $300,000 under unsecured promissory notes to be sued for a portion of the expenses in this offering. As of June 30, 2020, our sponsor loaned us $25,025 pursuant to the promissory note. The loans are non-interest bearing and payable on the date on which we consummate the offering.</w:t>
      </w:r>
    </w:p>
    <w:p>
      <w:pPr>
        <w:spacing w:after="0" w:line="183" w:lineRule="exact"/>
        <w:rPr>
          <w:rFonts w:ascii="Arial" w:cs="Arial" w:eastAsia="Arial" w:hAnsi="Arial"/>
          <w:sz w:val="18"/>
          <w:szCs w:val="18"/>
          <w:color w:val="auto"/>
        </w:rPr>
      </w:pPr>
    </w:p>
    <w:p>
      <w:pPr>
        <w:ind w:left="440" w:right="20" w:hanging="432"/>
        <w:spacing w:after="0" w:line="277" w:lineRule="auto"/>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Assumes the over-allotment option has not been exercised and an aggregate of 468,750 shares of common stock held by our initial stockholders have been forfeited as a result thereof.</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were incorporated on May 21, 2020 as a Delaware corporation to serve as a vehicle to effect a merger, share exchange, asset acquisition, share purchase, recapitalization, reorganization or similar business combination with one or more target businesses. Our efforts to identify a prospective target business will not be limited to a particular industry or geographic location. We intend to utilize cash derived from the proceeds of this offering, our securities, debt or a combination of cash, securities and debt, in effecting a business combination. The issuance of additional shares in our business combination:</w:t>
      </w:r>
    </w:p>
    <w:p>
      <w:pPr>
        <w:spacing w:after="0" w:line="188"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may significantly reduce the equity interest of our stockholders;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may subordinate the rights of holders of common stock if we issue preferred shares with rights senior to those afforded to our shares of common stock;</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will likely cause a change in control if a substantial number of our shares of common stock are issued, which may affect, among other things, our ability to use our net operating loss carry forwards, if any, and most likely will also result in the resignation or removal of our present officers and directors; and</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securities.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Similarly, if we issue debt securities, it could result in:</w:t>
      </w:r>
    </w:p>
    <w:p>
      <w:pPr>
        <w:spacing w:after="0" w:line="225"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default and foreclosure on our assets if our operating revenues after a business combination are insufficient to pay our debt obligations;</w:t>
      </w:r>
    </w:p>
    <w:p>
      <w:pPr>
        <w:spacing w:after="0" w:line="23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acceleration of our obligations to repay the indebtedness even if we have made all principal and interest payments when due if the debt security contains covenants that required the maintenance of certain financial ratios or reserves and we breach any such covenant without a waiver or renegotiation of that covenant;</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security is payable on demand;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inability to obtain additional financing, if necessary, if the debt security contains covenants restricting our ability to obtain additional financing while such security is outstanding.</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indicated in the accompanying financial statements, at June 30, 2020, we had approximately $25,000 in cash and $38,500 in deferred offering costs. Further, we expect to continue to incur significant costs in the pursuit of our acquisition plans. Our plans to raise capital or to consummate our initial business combination may not be successful.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and Known Trends or Future Events</w:t>
      </w:r>
    </w:p>
    <w:p>
      <w:pPr>
        <w:spacing w:after="0" w:line="22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have neither engaged in any operations nor generated any revenues to date. Our only activities since inception have been organizational activities and those necessary to prepare for this offering. Following this offering, we will not generate any operating revenues until after completion of our initial business combination. We will generate non-operating income in the form of interest income on cash and cash equivalents after this offering. There has been no significant change in our financial or trading position and no material adverse change has occurred since the date of our audited financial statements. After this offering, we expect to incur increased expenses as a result of being a public company (for legal, financial reporting, accounting and auditing compliance), as well as for due diligence expenses. We expect our expenses to increase substantially after the closing of this offering.</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As indicated in the accompanying financial statements, at June 30, 2020, we had approximately $25,000 in cash and working capital deficit of approximately $(14,000). Further, we have incurred and expect to continue to incur significant costs in pursuit of our financing and acquisition plans. Management’s plans to address this uncertainty through this offering are discussed above. Our plans to raise capital or to consummate our initial business combination may not be successful. These factors, among others, raise substantial doubt about our ability to continue as a going concern.</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liquidity needs have been satisfied to date through receipt of $25,000 from the sale of the insider shares and loans from our sponsor of up to $300,000 under unsecured promissory notes. We estimate that the net proceeds from (1) the sale of common stock in this offering, after deducting offering expenses of approximately $750,000 and underwriting fees of $2,500,000 (or $2,875,000 if the over-allotment option is exercised in full) (2) the sale of the private shares for a purchase price of $4,500,000 (or $4,875,000 if the over-allotment option is exercised in full) will be $126,250,000 (or $145,500,000 if the over-allotment option is exercised in full). Of this amount, $125,000,000 (or $143,750,000 if the over-allotment option is exercised in full) will be held in the trust account. The remaining $1,250,000 (whether or not the over-allotment option is exercised in full) will not be held in the trust account.</w:t>
      </w:r>
    </w:p>
    <w:p>
      <w:pPr>
        <w:spacing w:after="0" w:line="16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intend to use substantially all of the net proceeds of this offering, including the funds held in the trust account, to acquire a target business or businesses and to pay our expenses relating thereto. To the extent that our share capital is used in whole or in part as consideration to effect our initial business combination, the remaining proceeds held in the trust account as well as any other net proceeds not expended will be used as working capital to finance the operations of the target business. Such working capital funds could be used in a variety of ways including continuing or expanding the target business’ operations, for strategic acquisitions and for marketing, research and development of existing or new products. Such funds could also be used to repay any operating expenses or finders’ fees which we had incurred prior to the completion of our initial business combination if the funds available to us outside of the trust account were insufficient to cover such expenses.</w:t>
      </w:r>
    </w:p>
    <w:p>
      <w:pPr>
        <w:spacing w:after="0" w:line="17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Over the next 24 months (assuming a business combination is not consummated prior thereto), we will be using the funds held outside of the trust account for identifying and evaluating prospective acquisition candidates, performing business due diligence on prospective target businesses, traveling to and from the offices, plants or similar locations of prospective target businesses, reviewing corporate documents and material agreements of prospective target businesses, selecting the target business to acquire and structuring, negotiating and consummating the business combination. Out of the funds available outside the trust account, we anticipate that we will incur approximately:</w:t>
      </w:r>
    </w:p>
    <w:p>
      <w:pPr>
        <w:spacing w:after="0" w:line="188" w:lineRule="exact"/>
        <w:rPr>
          <w:sz w:val="20"/>
          <w:szCs w:val="20"/>
          <w:color w:val="auto"/>
        </w:rPr>
      </w:pPr>
    </w:p>
    <w:p>
      <w:pPr>
        <w:ind w:left="660" w:right="2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$250,000 of expenses for the search for target businesses and for the legal, accounting and other third-party expenses attendant to the due diligence investigations, structuring and negotiating of a business combination;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$200,000 of expenses for the due diligence and investigation of a target business by our officers, directors and initial stockholders;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$50,000 of expenses in legal and accounting fees relating to our SEC reporting obligations;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$240,000 for the payment of the administrative fee to an affiliate of BCTG Holdings, LLC, our sponsor (of $10,000 per month for up to 24 months), subject to deferral as described herein;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$510,000 for general working capital that will be used for miscellaneous expenses, including director and officer liability insurance premiums.</w:t>
      </w:r>
    </w:p>
    <w:p>
      <w:pPr>
        <w:spacing w:after="0" w:line="23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If our estimates of the costs of undertaking in-depth due diligence and negotiating our initial business combination is less than the actual amount necessary to do so, we may have insufficient funds available to operate our business prior to our initial business combination. Moreover, we may need to obtain additional financing either to consummate our initial business combination or because we become obligated to redeem a significant number of our public shares upon consummation of our initial business combination, in which case we may issue additional securities or incur debt in connection with such business combination. Subject to compliance with applicable securities laws, we would only consummate such financing simultaneously with the consummation of our initial business combination. Following our initial business combination, if cash on hand is insufficient, we may need to obtain additional financing in order to meet our obligations.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BCTG Holdings, LLC, our sponsor, has committed to purchase from us an aggregate of 450,000 shares of our common stock (or 487,500 shares if the underwriters’ over-allotment option is exercised in full) at a price of $10.00 per share ($4,500,000 in the aggregate, or $4,875,000 in the aggregate if the underwriters’ over-allotment option is exercised in full), in a private placement that will close simultaneously with the closing of this offering. This purchase will take place on a private placement basis simultaneously with the consummation of this offering.</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5" w:name="page56"/>
    <w:bookmarkEnd w:id="55"/>
    <w:p>
      <w:pPr>
        <w:jc w:val="both"/>
        <w:ind w:firstLine="324"/>
        <w:spacing w:after="0" w:line="269" w:lineRule="auto"/>
        <w:rPr>
          <w:sz w:val="20"/>
          <w:szCs w:val="20"/>
          <w:color w:val="auto"/>
        </w:rPr>
      </w:pPr>
      <w:r>
        <w:rPr>
          <w:rFonts w:ascii="Arial" w:cs="Arial" w:eastAsia="Arial" w:hAnsi="Arial"/>
          <w:sz w:val="17"/>
          <w:szCs w:val="17"/>
          <w:color w:val="auto"/>
        </w:rPr>
        <w:t>If needed to finance transaction costs in connection with searching for a target business or consummating an intended initial business combination, our initial stockholders, officers, directors or their affiliates may, but are not obligated to, loan us funds as may be required. In the event that the initial business combination does not close, we may use a portion of the working capital held outside the trust account to repay such loaned amounts, but no proceeds from our trust account would be used for such repayment. Such loans would be evidenced by promissory notes. The notes would either be paid upon consummation of our initial business combination, without interest, or, at the lender’s discretion, up to $1,500,000 of the notes may be converted upon consummation of our business combination into additional private shares at a price of $10.00 per share (which, for example, would result in the holders being issued 500,000 shares if $500,000 of notes were so converted). Such private shares will be identical to the private shares to be issued at the closing of this offering. We believe the purchase price of these private shares will approximate the fair value of such private shares when issued. However, if it is determined, at the time of issuance, that the fair value of such private shares exceeds the purchase price, we would record compensation expense for the excess of the fair value of the private shares on the day of issuance over the purchase price in accordance with Accounting Standards Codification (“ASC”) 718 — Compensation — Stock Compensation.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Controls and Procedures</w:t>
      </w:r>
    </w:p>
    <w:p>
      <w:pPr>
        <w:spacing w:after="0" w:line="2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are not currently required to maintain an effective system of internal controls as defined by Section 404 of the Sarbanes-Oxley Act. We will be required to comply with the internal control requirements of the Sarbanes-Oxley Act for the fiscal year ending December 31, 2021. As of the date of this prospectus, we have not completed an assessment, nor have our auditors tested our systems, of internal controls. We expect to assess the internal controls of our target business or businesses prior to the completion of our initial business combination and, if necessary, to implement and test additional controls as we may determine are necessary in order to state that we maintain an effective system of internal controls. A target business may not be in compliance with the provisions of the Sarbanes-Oxley Act regarding the adequacy of internal controls. Target businesses we may consider for our initial business combination may have internal controls that need improvement in areas such as:</w:t>
      </w:r>
    </w:p>
    <w:p>
      <w:pPr>
        <w:spacing w:after="0" w:line="177"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staffing for financial, accounting and external reporting areas, including segregation of duties;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reconciliation of accounts;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proper recording of expenses and liabilities in the period to which they relate;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evidence of internal review and approval of accounting transactions;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documentation of processes, assumptions and conclusions underlying significant estimates;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documentation of accounting policies and procedures.</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Because it will take time, management involvement and perhaps outside resources to determine what internal control improvements are necessary for us to meet regulatory requirements and market expectations for our operation of a target business, we may incur significant expense in meeting our public reporting responsibilities, particularly in the areas of designing, enhancing, or remediating internal and disclosure controls. Doing so effectively may also take longer than we expect, thus increasing our exposure to financial fraud or erroneous financing reporting.</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Once our management’s report on internal controls is complete, we will retain our independent auditors to audit and render an opinion on such report when, or if, required by Section 404. The independent auditors may identify additional issues concerning a target business’s internal controls while performing their audit of internal control over financial reporting.</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net proceeds of this offering, including amounts in the trust account, will be invested in United States government treasury bills, bonds or notes having a maturity of 185 days or less, or in money market funds meeting the applicable conditions under Rule 2a-7 promulgated under the Investment Company Act of 1940 and that invest solely in U.S. treasuries. Due to the short-term nature of these investments, we believe there will be no associated material exposure to interest rate risk.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Commitments and Contractual Obligations; Quarterly Results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the date of this prospectus, we did not have any off-balance sheet arrangements as defined in Item 303(a)(4)(ii) of Regulation S-K and did not have any commitments or contractual obligations. No unaudited quarterly operating data is included in this prospectus as we have conducted no operations to date.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April 5, 2012, the JOBS Act was signed into law. The JOBS Act contains provisions that, among other things, relax certain reporting requirements for qualifying public companies. We will qualify as an “emerging growth company” and under the JOBS Act will be allowed to comply with new or revised accounting pronouncements based on the effective date for private (not publicly traded) companies. We are electing to delay the adoption of new or revised accounting standards, and as a result, we may not comply with new or revised accounting standards on the relevant dates on which adoption of such standards is required for non-emerging growth companies. As such, our financial statements may not be comparable to companies that comply with public company effective dates.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PROPOSED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are a newly organized blank check company incorporated in May 2020 as a Delaware corporation formed for the purpose of effecting a merger, capital stock exchange, asset acquisition, stock purchase, reorganization or similar business combination with one or more businesses, which we refer to throughout this prospectus as our initial business combination. While we may pursue an acquisition opportunity in any business, industry, sector or geographical location, we intend to focus on innovative companies in the biotechnology sector in North America and Europe in order to most effectively leverage our management team’s background and expertise.</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To date, our efforts have been limited to organizational activities as well as activities related to this offering. We have generated no operating revenues to date, and we do not expect that we will generate operating revenues until we consummate our initial business combination. We have not selected any specific business combination target, and we have not, nor has anyone on our behalf, initiated any substantive discussions, directly or indirectly, with any business combination target.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Sponsor and Competitive Advantages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sponsor is an affiliate of Boxer Capital, LLC, or Boxer Capital, a private biopharmaceutical investment firm based in San Diego, California. Boxer Capital and its affiliated funds manage over $2.2 billion in assets as of July 14, 2020. Boxer Capital was founded in 2005 with approximately $6 million in seed capital from its managing founders and Tavistock Group, which is the family office of Joseph C. Lewis. Since its inception, Boxer Capital has almost exclusively focused on investment in therapeutics. Over 80% of Boxer Capital’s current asset base has been generated by fund performance. Boxer Capital has generated a 7500% cumulative 15-year return with an annualized IRR of 34.3%, including three-, five- and seven-year annualized IRRs of 69.7%, 46.9%, and 51.4%, respectively, since inception in November 2005.</w:t>
      </w:r>
    </w:p>
    <w:p>
      <w:pPr>
        <w:spacing w:after="0" w:line="19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Today, Tavistock Group remains the majority investor in Boxer Capital and the only significant investor besides the founding management team. Due to its majority ownership by a single investor, Boxer Capital is able to make investment decisions based on long-term value creation without the short-term distractions of fundraising or redemptions. Boxer Capital invests in the entire drug development lifecycle from early-stage preclinical discovery assets to late-stage clinical and commercial stage companies. Aaron Davis, our Chief Executive Officer and Chairman, and Christopher Fuglesang, our President, are among the co-founders of Boxer Capital and serve as its Chief Executive Officer and Managing Director, respectively.</w:t>
      </w:r>
    </w:p>
    <w:p>
      <w:pPr>
        <w:spacing w:after="0" w:line="17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Boxer Capital’s investment focus is on identifying new therapeutics that will improve patient care and outcomes and investing behind these opportunities to fund their advancement. While more than 75% of Boxer Capital’s invested capital is in public corporations at any given time, the team spends a significant amount of its time reviewing private investment opportunities. Through its experience over many of years investing in therapeutics, Boxer Capital believes that there are important advantages to evaluating companies in the early stage of their development. Investing early allows Boxer Capital to learn about an asset and a management team before they become public and track their growth for subsequent consideration. Many of Boxer Capital’s largest historical and present public positions, such as Avexis, Inc, Beigene Inc., and Blueprint Medicines Corp., were built over time from pre-initial public offering investments utilizing this “crossover investing” approach. Since 2018, Boxer Capital has evaluated hundreds of private companies per year, while investing approximately $300 million in 29 private companies, 18 of which are now publicly traded. In 2020, nine of Boxer Capital’s portfolio companies have closed an initial public offering: Avidity Biosciences, Inc., Black Diamond Therapeutics, Inc., iTeos Therapeutics, Inc., Nurix Pharmaceuticals, Inc., Pandion Therapeutics, Inc., Passage Bio, Inc., Poseida Therapeutics, Inc., Relay Therapeutics, Inc., and Revolution Medicines, Inc. Boxer Capital was the lead investor for the private crossover round in four of these nine initial public offerings and has been the lead investor in nine private financings since 2018. Boxer Capital has invested substantial time and money in new company formation projects centered around licensing promising agents from pharmaceutical companies and pairing these assets with world-class managers and operators to help seed company formation. Boxer Capital has formed and/or recapitalized and rebuilt three publicly traded companies since inception, demonstrating the level of experience and direction the team can provide alongside funding to a potential combination partner.</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8" w:name="page59"/>
    <w:bookmarkEnd w:id="58"/>
    <w:p>
      <w:pPr>
        <w:jc w:val="both"/>
        <w:ind w:firstLine="324"/>
        <w:spacing w:after="0" w:line="268" w:lineRule="auto"/>
        <w:rPr>
          <w:sz w:val="20"/>
          <w:szCs w:val="20"/>
          <w:color w:val="auto"/>
        </w:rPr>
      </w:pPr>
      <w:r>
        <w:rPr>
          <w:rFonts w:ascii="Arial" w:cs="Arial" w:eastAsia="Arial" w:hAnsi="Arial"/>
          <w:sz w:val="17"/>
          <w:szCs w:val="17"/>
          <w:color w:val="auto"/>
        </w:rPr>
        <w:t>A fundamental area of strength for Boxer Capital has been targeted oncology, having focused on investing in this sector of healthcare for most of the last ten years. For example, Boxer Capital has led an active effort in recapitalizing and repositioning Mirati Therapeutics, Inc. since 2012 when it was MethylGene Inc., playing an important strategic and financial role over the years with its board seat and ownership level to assist the company with its re-focus on an internally developed pipeline of KRAS inhibitor assets, alongside the repositioning of later-stage clinical assets like sitravatinib. Boxer Capital has also made large traditional investments in targeted oncology companies like Immunomedics, Inc., Ignyta Inc. (acquired by Roche in 2017), Loxo Oncology, Inc. (acquired by Eli Lilly and Company in 2019) and Array BioPharma Inc. (acquired by Pfizer in 2019). In addition to investments in already-public companies, Boxer Capital has made multiple investments in private targeted oncology companies that are now among the sector’s most promising public companies, including BeiGene, Inc., Odonate Therapeutics, Inc., SpringWorks Therapeutics, Inc., Revolution Medicines, Inc., Black Diamond Therapeutics, Inc. and Relay Therapeutics, Inc. Over time, with this heavy focus on investing in targeted oncology, Boxer Capital has built a network of research scientists, chemists, physicians, and other experts in areas like manufacturing, intellectual property and food and drug regulations who have expertise in targeted oncology and can be called upon as needed to assist with diligence. To further bolster our support in this area, we have assembled a board of individuals who each have particular expertise in the area of targeted oncology, among other areas. Although we may pursue an acquisition opportunity in any business, industry, or sector, we believe targeted oncology is an area of particular strength where we may have a competitive advantage in finding, evaluating and capitalizing an attractive target company.</w:t>
      </w:r>
    </w:p>
    <w:p>
      <w:pPr>
        <w:spacing w:after="0" w:line="184"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team at Boxer Capital is comprised of individuals with backgrounds in finance, drug development, medicine and science. The majority of the team has doctorates in medicine and science, and some have been responsible for multiple Investigational New Drug Applications and New Drug Applications. The in-house team is supplemented by a proprietary network of key opinion leaders, expert consultants, healthcare executives, and biotechnology investors. We believe their holistic approach will enable us to identify and evaluate innovative companies that can address unmet needs in healthcare.</w:t>
      </w:r>
    </w:p>
    <w:p>
      <w:pPr>
        <w:spacing w:after="0" w:line="15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independent directors have very broad experience within targeted oncology, spanning biology, chemistry, preclinical models and translation, clinical enrichment and development strategy, regulatory strategy, manufacturing, intellectual property, operational and management leadership within multiple successful publicly traded and previously acquired oncology companies. Our independent directors have led the discovery and clinical development of multiple targeted oncology drugs treating cancer patients worldwide. As we evaluate prospective candidates for our initial business combination, we believe that their breadth of experience will assist in our ability to source and evaluate prospective business combination candidates. After we execute our initial business combination, we believe their operational and strategic expertise will strongly support the drug development efforts of our target, as well as any potential future acquisitions and strategic transactions.</w:t>
      </w:r>
    </w:p>
    <w:p>
      <w:pPr>
        <w:spacing w:after="0" w:line="17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addition to identifying and capitalizing an attractive target, we believe that the sector expertise and broad relationship network of our management team and board of directors will allow them to add significant value after consummation of an initial transaction by (1) providing strategic guidance on clinical development, competitive positioning, financing and partnerships, (2) assisting in the recruitment of key executives, (3) providing an investor perspective on market information and investor relations and (4) corporate governance and public company readiness.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past performance of the members of our management team, Boxer Capital or its affiliates is not a guarantee that we will be able to identify a suitable candidate for our initial business combination or of success with respect to any business combination we may consummate. You should not rely on the historical record or the performance of our management, Boxer Capital or any of its affiliates’ or managed fund’s performance as indicative of our future performance.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Management and Board of Directors</w:t>
      </w:r>
    </w:p>
    <w:p>
      <w:pPr>
        <w:spacing w:after="0" w:line="225"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6"/>
          <w:szCs w:val="16"/>
          <w:b w:val="1"/>
          <w:bCs w:val="1"/>
          <w:color w:val="auto"/>
        </w:rPr>
        <w:t xml:space="preserve">Aaron I. Davis </w:t>
      </w:r>
      <w:r>
        <w:rPr>
          <w:rFonts w:ascii="Arial" w:cs="Arial" w:eastAsia="Arial" w:hAnsi="Arial"/>
          <w:sz w:val="16"/>
          <w:szCs w:val="16"/>
          <w:color w:val="auto"/>
        </w:rPr>
        <w:t>has served as our Chief Executive Officer and Chairman of our board of directors since May 2020. Mr. Davis co-founded Boxer</w:t>
      </w:r>
      <w:r>
        <w:rPr>
          <w:rFonts w:ascii="Arial" w:cs="Arial" w:eastAsia="Arial" w:hAnsi="Arial"/>
          <w:sz w:val="16"/>
          <w:szCs w:val="16"/>
          <w:b w:val="1"/>
          <w:bCs w:val="1"/>
          <w:color w:val="auto"/>
        </w:rPr>
        <w:t xml:space="preserve"> </w:t>
      </w:r>
      <w:r>
        <w:rPr>
          <w:rFonts w:ascii="Arial" w:cs="Arial" w:eastAsia="Arial" w:hAnsi="Arial"/>
          <w:sz w:val="16"/>
          <w:szCs w:val="16"/>
          <w:color w:val="auto"/>
        </w:rPr>
        <w:t>Capital, LLC (“Boxer Capital”), the healthcare arm of the Tavistock Group, where he has served as portfolio manager since 2005 and as Chief Executive Officer since 2012. At Boxer Capital, Mr. Davis is responsible for identifying, evaluating and structuring investment opportunities in private and public biotechnology companies. Mr. Davis serves as a member of the board of directors of Mirati Therapeutics, Inc. (Nasdaq:MRTX), Odonate Therapeutics, Inc. (Nasdaq:ODT), iTeos Therapeutics, Inc. (Nasdaq:ITOS), and Sojournix, Inc. and serves as the Executive Chairman of CiVi Biopharma Holdings, Inc. Prior to joining the Tavistock Group, Mr. Davis worked in the Global Healthcare Investment Banking and Private Equity Groups at UBS Warburg, LLC. Mr. Davis received an M.A. degree in biotechnology from Columbia University and a B.B.A. degree in finance from Emory University.</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9" w:name="page60"/>
    <w:bookmarkEnd w:id="59"/>
    <w:p>
      <w:pPr>
        <w:jc w:val="both"/>
        <w:ind w:firstLine="324"/>
        <w:spacing w:after="0" w:line="272" w:lineRule="auto"/>
        <w:rPr>
          <w:sz w:val="20"/>
          <w:szCs w:val="20"/>
          <w:color w:val="auto"/>
        </w:rPr>
      </w:pPr>
      <w:r>
        <w:rPr>
          <w:rFonts w:ascii="Arial" w:cs="Arial" w:eastAsia="Arial" w:hAnsi="Arial"/>
          <w:sz w:val="17"/>
          <w:szCs w:val="17"/>
          <w:b w:val="1"/>
          <w:bCs w:val="1"/>
          <w:color w:val="auto"/>
        </w:rPr>
        <w:t xml:space="preserve">Christopher Fuglesang, Ph.D., J.D., </w:t>
      </w:r>
      <w:r>
        <w:rPr>
          <w:rFonts w:ascii="Arial" w:cs="Arial" w:eastAsia="Arial" w:hAnsi="Arial"/>
          <w:sz w:val="17"/>
          <w:szCs w:val="17"/>
          <w:color w:val="auto"/>
        </w:rPr>
        <w:t>has served as our President and as a member of our board of directors since May 2020. Dr. Fuglesang joined</w:t>
      </w:r>
      <w:r>
        <w:rPr>
          <w:rFonts w:ascii="Arial" w:cs="Arial" w:eastAsia="Arial" w:hAnsi="Arial"/>
          <w:sz w:val="17"/>
          <w:szCs w:val="17"/>
          <w:b w:val="1"/>
          <w:bCs w:val="1"/>
          <w:color w:val="auto"/>
        </w:rPr>
        <w:t xml:space="preserve"> </w:t>
      </w:r>
      <w:r>
        <w:rPr>
          <w:rFonts w:ascii="Arial" w:cs="Arial" w:eastAsia="Arial" w:hAnsi="Arial"/>
          <w:sz w:val="17"/>
          <w:szCs w:val="17"/>
          <w:color w:val="auto"/>
        </w:rPr>
        <w:t>Tavistock Group in 2005 as a vice president and was a co-founder of Boxer Capital, where he has been a managing director since 2012. At Boxer Capital, Dr. Fuglesang assists in managing the firm’s research team, deal structuring and securities compliance. Prior to joining Boxer Capital, Dr. Fuglesang was vice president at Eidogen-Sertanty, Inc., a structural proteomics software company, and an attorney at Perkins Coie LLC. Dr. Fuglesang is a member of the board of directors of Pandion Therapeutics, Inc. (Nasdaq:PAND), CiVi Biopharma Holdings, Inc. and Eidogen-Sertanty, Inc. Dr. Fuglesang served as a member of the board of directors of Kalypsys, Inc. from 2007 to 2013 and of Ambrx Inc. from 2011 to 2015. Dr. Fuglesang received a B.S. in chemistry and physics from the University of California at Los Angeles, a Ph.D. in theoretical chemical physics from the University of California at Los Angeles, and a J.D. from Boston University.</w:t>
      </w:r>
    </w:p>
    <w:p>
      <w:pPr>
        <w:spacing w:after="0" w:line="172"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 xml:space="preserve">Michael Beauchamp </w:t>
      </w:r>
      <w:r>
        <w:rPr>
          <w:rFonts w:ascii="Arial" w:cs="Arial" w:eastAsia="Arial" w:hAnsi="Arial"/>
          <w:sz w:val="18"/>
          <w:szCs w:val="18"/>
          <w:color w:val="auto"/>
        </w:rPr>
        <w:t>has served as our Chief Financial Officer and Treasurer since May 2020. Mr. Beauchamp has served as Vice President of</w:t>
      </w:r>
      <w:r>
        <w:rPr>
          <w:rFonts w:ascii="Arial" w:cs="Arial" w:eastAsia="Arial" w:hAnsi="Arial"/>
          <w:sz w:val="18"/>
          <w:szCs w:val="18"/>
          <w:b w:val="1"/>
          <w:bCs w:val="1"/>
          <w:color w:val="auto"/>
        </w:rPr>
        <w:t xml:space="preserve"> </w:t>
      </w:r>
      <w:r>
        <w:rPr>
          <w:rFonts w:ascii="Arial" w:cs="Arial" w:eastAsia="Arial" w:hAnsi="Arial"/>
          <w:sz w:val="18"/>
          <w:szCs w:val="18"/>
          <w:color w:val="auto"/>
        </w:rPr>
        <w:t>Finance at Boxer Capital since January 2016, where he is responsible for the firm’s back office operations, including finance, tax, audit and administration. Prior to joining Boxer Capital, Mr. Beauchamp worked in the assurance practice at PricewaterhouseCoopers from 2012 to 2016. Mr. Beauchamp received a Bachelor of Accountancy degree from the University of San Diego.</w:t>
      </w:r>
    </w:p>
    <w:p>
      <w:pPr>
        <w:spacing w:after="0" w:line="18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b w:val="1"/>
          <w:bCs w:val="1"/>
          <w:color w:val="auto"/>
        </w:rPr>
        <w:t xml:space="preserve">Andrew Ellis, M.D., J.D., </w:t>
      </w:r>
      <w:r>
        <w:rPr>
          <w:rFonts w:ascii="Arial" w:cs="Arial" w:eastAsia="Arial" w:hAnsi="Arial"/>
          <w:sz w:val="18"/>
          <w:szCs w:val="18"/>
          <w:color w:val="auto"/>
        </w:rPr>
        <w:t>has served as our Chief Operating Officer and Secretary since May 2020. Dr. Ellis has served as Senior Counsel and Head</w:t>
      </w:r>
      <w:r>
        <w:rPr>
          <w:rFonts w:ascii="Arial" w:cs="Arial" w:eastAsia="Arial" w:hAnsi="Arial"/>
          <w:sz w:val="18"/>
          <w:szCs w:val="18"/>
          <w:b w:val="1"/>
          <w:bCs w:val="1"/>
          <w:color w:val="auto"/>
        </w:rPr>
        <w:t xml:space="preserve"> </w:t>
      </w:r>
      <w:r>
        <w:rPr>
          <w:rFonts w:ascii="Arial" w:cs="Arial" w:eastAsia="Arial" w:hAnsi="Arial"/>
          <w:sz w:val="18"/>
          <w:szCs w:val="18"/>
          <w:color w:val="auto"/>
        </w:rPr>
        <w:t>of Compliance at Boxer Capital since July 2018, where he is responsible for securities compliance, deal structuring and due diligence for investments in private and public healthcare companies. Prior to joining Boxer Capital, Dr. Ellis was a corporate and securities attorney at Wilson Sonsini Goodrich &amp; Rosati, P.C. from 2013 to 2018, where he worked with life sciences companies and investors on a variety of corporate transactions. Dr. Ellis received an M.D. and general surgery training at Baylor College of Medicine, a J.D. from New York University School of Law, and a B.S. degree in Biology from Baylor University.</w:t>
      </w:r>
    </w:p>
    <w:p>
      <w:pPr>
        <w:spacing w:after="0" w:line="18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b w:val="1"/>
          <w:bCs w:val="1"/>
          <w:color w:val="auto"/>
        </w:rPr>
        <w:t xml:space="preserve">Carole L. Nuechterlein, J.D., </w:t>
      </w:r>
      <w:r>
        <w:rPr>
          <w:rFonts w:ascii="Arial" w:cs="Arial" w:eastAsia="Arial" w:hAnsi="Arial"/>
          <w:sz w:val="16"/>
          <w:szCs w:val="16"/>
          <w:color w:val="auto"/>
        </w:rPr>
        <w:t>has agreed to serve on our board of directors following the completion of this offering. Ms. Nuechterlein joined F.</w:t>
      </w:r>
      <w:r>
        <w:rPr>
          <w:rFonts w:ascii="Arial" w:cs="Arial" w:eastAsia="Arial" w:hAnsi="Arial"/>
          <w:sz w:val="16"/>
          <w:szCs w:val="16"/>
          <w:b w:val="1"/>
          <w:bCs w:val="1"/>
          <w:color w:val="auto"/>
        </w:rPr>
        <w:t xml:space="preserve"> </w:t>
      </w:r>
      <w:r>
        <w:rPr>
          <w:rFonts w:ascii="Arial" w:cs="Arial" w:eastAsia="Arial" w:hAnsi="Arial"/>
          <w:sz w:val="16"/>
          <w:szCs w:val="16"/>
          <w:color w:val="auto"/>
        </w:rPr>
        <w:t>Hoffmann-La Roche Ltd. in 2001 and currently serves as a Deputy Director and head of Roche Venture Fund. Prior to that, from 1998 to 2001, Ms. Nuechterlein served as General Counsel for SangStat, Inc., a biopharmaceutical company. Ms. Nuechterlein has served as a member of the board of directors of Millendo Therapeutics, Inc. (Nasdaq:MLND) since March 2017. Ms. Nuechterlein serves and has served as a member of the boards of directors of a number of private biotechnology companies, including Entrada Therapeutics since April 2020, Aligos Therapeutics since August 2018, Vivet Therapeutics SAS since April 2017, CiVi BioPharma, Inc. since March 2017, Mission Therapeutics Ltd. since January 2017, Arch Oncology Inc. since August 2016 and Second Genome, Inc. since April 2016. She also served as a member of the board of directors of AveXis Inc., a biotechnology company (Nasdaq:AVXS), from October 2014 to May 2017. Ms. Nuechterlein received a B.A. from Valparaiso University and a J.D. from University of Michigan.</w:t>
      </w:r>
    </w:p>
    <w:p>
      <w:pPr>
        <w:spacing w:after="0" w:line="15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b w:val="1"/>
          <w:bCs w:val="1"/>
          <w:color w:val="auto"/>
        </w:rPr>
        <w:t xml:space="preserve">Richard Heyman, Ph.D., </w:t>
      </w:r>
      <w:r>
        <w:rPr>
          <w:rFonts w:ascii="Arial" w:cs="Arial" w:eastAsia="Arial" w:hAnsi="Arial"/>
          <w:sz w:val="17"/>
          <w:szCs w:val="17"/>
          <w:color w:val="auto"/>
        </w:rPr>
        <w:t>has agreed to serve on our board of directors following the completion of this offering. Dr. Heyman is chairman of the board</w:t>
      </w:r>
      <w:r>
        <w:rPr>
          <w:rFonts w:ascii="Arial" w:cs="Arial" w:eastAsia="Arial" w:hAnsi="Arial"/>
          <w:sz w:val="17"/>
          <w:szCs w:val="17"/>
          <w:b w:val="1"/>
          <w:bCs w:val="1"/>
          <w:color w:val="auto"/>
        </w:rPr>
        <w:t xml:space="preserve"> </w:t>
      </w:r>
      <w:r>
        <w:rPr>
          <w:rFonts w:ascii="Arial" w:cs="Arial" w:eastAsia="Arial" w:hAnsi="Arial"/>
          <w:sz w:val="17"/>
          <w:szCs w:val="17"/>
          <w:color w:val="auto"/>
        </w:rPr>
        <w:t>of directors and co-founder of Metacrine, Inc., a biotechnology company developing new therapeutics for the treatment of liver and gastrointestinal diseases. He also is on the board of directors of Gritstone Oncology, Inc. (Nasdaq:GRTS) and is the co-founder and chairman of the board of directors of ORIC Pharmaceuticals, Inc. (Nasdaq:ORIC). Previously, Dr. Heyman served as president and chief executive officer of Seragon Pharmaceuticals Inc., or Seragon, a privately-held biotechnology company, which was acquired by Genentech in 2014. Prior to Seragon, he co-founded and served as president and chief executive officer of Aragon Pharmaceuticals, Inc., or Aragon, until it was purchased by Johnson &amp; Johnson in 2013. Dr. Heyman is a venture partner for Arch Ventures and also serves on the boards of directors for private life sciences companies Yumanity Therapeutics, Inc., Vividion Therapeutics, Inc., PMV Pharmaceuticals, Inc. and Amunix Inc. He is Vice Chair of the Board of Trustees at the Salk Institute, on the Board Foundation for the American Association for Cancer Research, or AACR, and on the Board of Visitors at the University of California at San Diego Moores Cancer Center. Dr. Heyman received a B.S. in chemistry from the University of Connecticut and a Ph.D. in pharmacology from the University of Minnesota. He was an NIH post-doctoral fellow and staff scientist at the Salk Institute.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0" w:name="page61"/>
    <w:bookmarkEnd w:id="60"/>
    <w:p>
      <w:pPr>
        <w:jc w:val="both"/>
        <w:ind w:firstLine="324"/>
        <w:spacing w:after="0" w:line="289" w:lineRule="auto"/>
        <w:rPr>
          <w:sz w:val="20"/>
          <w:szCs w:val="20"/>
          <w:color w:val="auto"/>
        </w:rPr>
      </w:pPr>
      <w:r>
        <w:rPr>
          <w:rFonts w:ascii="Arial" w:cs="Arial" w:eastAsia="Arial" w:hAnsi="Arial"/>
          <w:sz w:val="16"/>
          <w:szCs w:val="16"/>
          <w:b w:val="1"/>
          <w:bCs w:val="1"/>
          <w:color w:val="auto"/>
        </w:rPr>
        <w:t xml:space="preserve">Charles M. Baum, M.D., Ph.D., </w:t>
      </w:r>
      <w:r>
        <w:rPr>
          <w:rFonts w:ascii="Arial" w:cs="Arial" w:eastAsia="Arial" w:hAnsi="Arial"/>
          <w:sz w:val="16"/>
          <w:szCs w:val="16"/>
          <w:color w:val="auto"/>
        </w:rPr>
        <w:t>has agreed to serve on our board of directors following the completion of this offering. Dr. Baum has been the</w:t>
      </w:r>
      <w:r>
        <w:rPr>
          <w:rFonts w:ascii="Arial" w:cs="Arial" w:eastAsia="Arial" w:hAnsi="Arial"/>
          <w:sz w:val="16"/>
          <w:szCs w:val="16"/>
          <w:b w:val="1"/>
          <w:bCs w:val="1"/>
          <w:color w:val="auto"/>
        </w:rPr>
        <w:t xml:space="preserve"> </w:t>
      </w:r>
      <w:r>
        <w:rPr>
          <w:rFonts w:ascii="Arial" w:cs="Arial" w:eastAsia="Arial" w:hAnsi="Arial"/>
          <w:sz w:val="16"/>
          <w:szCs w:val="16"/>
          <w:color w:val="auto"/>
        </w:rPr>
        <w:t>President and Chief Executive Officer and a member of the board of directors of Mirati Therapeutics, Inc. since November 2012. From June 2003 to September 2012, he was at Pfizer as Senior Vice President for Biotherapeutic Clinical Research within Pfizer’s Worldwide Research &amp; Development division and as Vice President and Head of Oncology Development and Chief Medical Officer for Pfizer’s Biotherapeutics and Bioinnovation Center. From 2000 to 2003, he was responsible for the development of several oncology compounds at Schering-Plough Corporation (acquired by Merck). His career has included academic and hospital positions at Stanford University and Emory University, as well as positions of increasing responsibility within the pharmaceutical industry at SyStemix, Inc. (acquired by Novartis AG), G.D. Searle &amp; Company (acquired by Pfizer), Schering-Plough Corporation (acquired by Merck) and Pfizer. Dr. Baum has served on the board of directors of Immunomedics, Inc. (Nasdaq:IMMU) since February 2019 and was on the board of directors of Array BioPharma Inc. from 2014 until its acquisition by Pfizer in July 2019. Dr. Baum received his M.D. and Ph.D. (Immunology) degrees from Washington University School of Medicine in St. Louis, Missouri and completed his post-doctoral training at Stanford University.</w:t>
      </w:r>
    </w:p>
    <w:p>
      <w:pPr>
        <w:spacing w:after="0" w:line="16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b w:val="1"/>
          <w:bCs w:val="1"/>
          <w:color w:val="auto"/>
        </w:rPr>
        <w:t xml:space="preserve">Jamie G. Christensen, Ph.D., </w:t>
      </w:r>
      <w:r>
        <w:rPr>
          <w:rFonts w:ascii="Arial" w:cs="Arial" w:eastAsia="Arial" w:hAnsi="Arial"/>
          <w:sz w:val="17"/>
          <w:szCs w:val="17"/>
          <w:color w:val="auto"/>
        </w:rPr>
        <w:t>has agreed to serve on our board of directors following the completion of this offering. Dr. Christensen has been the</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 Vice President and Chief Scientific Officer of Mirati Therapeutics, Inc. since June 2013. In his role at Mirati, he is responsible for drug discovery, translational research, drug manufacturing and companion diagnostics research and teams. While at Mirati, Dr. Christensen led activities related to the discovery and advancement of the KRAS G12C inhibitor, MRTX849, as well as the spectrum-selective receptor tyrosine kinase (RTK) inhibitor, sitravatinib, through IND and clinical development. Prior to Mirati, Dr. Christensen most recently was the head of Oncology Precision Medicine and member of the executive leadership team in the Oncology Research Unit at Pfizer. While at Pfizer, Dr Christensen led key aspects of the nonclinical and clinical development of sunitinib (Sutent®), crizotinib (Xalkori®), and palbociclib (Ibrance®). Prior to his time at Pfizer, he held positions at SUGEN/Pharmacia as a Group Leader on the Preclinical Research and Exploratory Development team. Dr. Christensen initiated his industry experience at Warner Lambert/Parke-Davis with research focus in RTK biology and pathway biomarker development in the oncology therapeutic area. Dr. Christensen received his Ph.D. focusing in Molecular Pharmacology from North Carolina State University with dissertation research directed toward characterization of mechanisms of apoptosis dysregulation during the process of carcinogenesis.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Opportunity</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believe that the biotechnology sector represents a tremendous opportunity for growth, with many promising pre-commercial companies seeking funding and guidance from knowledgeable investment firms. There are multiple trends in the sector that contribute to this growth potential, and we believe they will enable us to identify and acquire an attractive target. These trends include the following:</w:t>
      </w:r>
    </w:p>
    <w:p>
      <w:pPr>
        <w:spacing w:after="0" w:line="184" w:lineRule="exact"/>
        <w:rPr>
          <w:sz w:val="20"/>
          <w:szCs w:val="20"/>
          <w:color w:val="auto"/>
        </w:rPr>
      </w:pPr>
    </w:p>
    <w:p>
      <w:pPr>
        <w:jc w:val="both"/>
        <w:ind w:left="660" w:hanging="328"/>
        <w:spacing w:after="0" w:line="279"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u w:val="single" w:color="auto"/>
          <w:color w:val="auto"/>
        </w:rPr>
        <w:t>Rising U.S. healthcare costs</w:t>
      </w:r>
      <w:r>
        <w:rPr>
          <w:rFonts w:ascii="Arial" w:cs="Arial" w:eastAsia="Arial" w:hAnsi="Arial"/>
          <w:sz w:val="17"/>
          <w:szCs w:val="17"/>
          <w:color w:val="auto"/>
        </w:rPr>
        <w:t>. According to the Centers for Medicare and Medicaid Services, or CMS, national healthcare expenditures reached $3.6 trillion in 2018 and accounted for 17.7% of the U.S. GDP. CMS projects that healthcare expenditures will grow at an average rate of 5.4% per year until 2028, when they are predicted to reach $6.2 trillion, or 20% of the U.S. GDP. We believe these budgetary pressures will support the demand for biotechnology companies that create more efficient and effective medical treatments.</w:t>
      </w:r>
    </w:p>
    <w:p>
      <w:pPr>
        <w:spacing w:after="0" w:line="171" w:lineRule="exact"/>
        <w:rPr>
          <w:rFonts w:ascii="Arial" w:cs="Arial" w:eastAsia="Arial" w:hAnsi="Arial"/>
          <w:sz w:val="17"/>
          <w:szCs w:val="17"/>
          <w:color w:val="auto"/>
        </w:rPr>
      </w:pPr>
    </w:p>
    <w:p>
      <w:pPr>
        <w:jc w:val="both"/>
        <w:ind w:left="660" w:hanging="328"/>
        <w:spacing w:after="0" w:line="279"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u w:val="single" w:color="auto"/>
          <w:color w:val="auto"/>
        </w:rPr>
        <w:t>Technological progress driving innovation</w:t>
      </w:r>
      <w:r>
        <w:rPr>
          <w:rFonts w:ascii="Arial" w:cs="Arial" w:eastAsia="Arial" w:hAnsi="Arial"/>
          <w:sz w:val="17"/>
          <w:szCs w:val="17"/>
          <w:color w:val="auto"/>
        </w:rPr>
        <w:t>. Biotechnology innovation has accelerated in recent years due to new technology, including advances in computing, artificial intelligence, genetics and cellular engineering. Biotechnology companies have used these tools in many ways, particularly for breakthrough discoveries in the areas of targeted oncology, gene therapy, gene editing and cell therapy. We believe the pace of this advancement can persist and even grow, which could result in many new therapies that address unmet needs.</w:t>
      </w:r>
    </w:p>
    <w:p>
      <w:pPr>
        <w:spacing w:after="0" w:line="171" w:lineRule="exact"/>
        <w:rPr>
          <w:rFonts w:ascii="Arial" w:cs="Arial" w:eastAsia="Arial" w:hAnsi="Arial"/>
          <w:sz w:val="17"/>
          <w:szCs w:val="17"/>
          <w:color w:val="auto"/>
        </w:rPr>
      </w:pPr>
    </w:p>
    <w:p>
      <w:pPr>
        <w:jc w:val="both"/>
        <w:ind w:left="660" w:hanging="328"/>
        <w:spacing w:after="0" w:line="275"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u w:val="single" w:color="auto"/>
          <w:color w:val="auto"/>
        </w:rPr>
        <w:t>Private and public financing activity</w:t>
      </w:r>
      <w:r>
        <w:rPr>
          <w:rFonts w:ascii="Arial" w:cs="Arial" w:eastAsia="Arial" w:hAnsi="Arial"/>
          <w:sz w:val="17"/>
          <w:szCs w:val="17"/>
          <w:color w:val="auto"/>
        </w:rPr>
        <w:t>. The biotechnology IPO “window” has long served as a bellwether for the health of the sector, and recent IPO activity has been strong. According to Renaissance Capital, there were 58 biotechnology IPOs in 2018 and 51 in 2019, raising an aggregate of $6.3 billion and $5.2 billion, respectively. As of July 14, 2020, 29 biotechnology companies have launched successful IPOs year-to-date to raise an aggregate of $4.8 billion. Encouraged by the prospect of a similar result, demand for private financings has also remained strong in 2020. These market dynamics reflect investors’ belief in the long-term growth of the biotechnology industry.</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1" w:name="page62"/>
    <w:bookmarkEnd w:id="61"/>
    <w:p>
      <w:pPr>
        <w:jc w:val="both"/>
        <w:ind w:left="660" w:hanging="328"/>
        <w:spacing w:after="0" w:line="25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M&amp;A activity</w:t>
      </w:r>
      <w:r>
        <w:rPr>
          <w:rFonts w:ascii="Arial" w:cs="Arial" w:eastAsia="Arial" w:hAnsi="Arial"/>
          <w:sz w:val="18"/>
          <w:szCs w:val="18"/>
          <w:color w:val="auto"/>
        </w:rPr>
        <w:t>. In recent years, large pharmaceutical companies have increasingly outsourced certain research and development functions by investing in and acquiring companies and assets to supplement their pipelines. 2019 was a particularly strong year for biotechnology M&amp;A, with $217.2 billion in M&amp;A deals according to EvaluatePharma. While M&amp;A activity has slowed thus far in 2020, and the full effect of the COVID-19 pandemic is not yet determinable, we believe the need for large pharmaceutical companies to replenish their drug pipelines will persist and will continue to support growth in the biotechnology industry.</w:t>
      </w:r>
    </w:p>
    <w:p>
      <w:pPr>
        <w:spacing w:after="0" w:line="187" w:lineRule="exact"/>
        <w:rPr>
          <w:rFonts w:ascii="Arial" w:cs="Arial" w:eastAsia="Arial" w:hAnsi="Arial"/>
          <w:sz w:val="18"/>
          <w:szCs w:val="18"/>
          <w:color w:val="auto"/>
        </w:rPr>
      </w:pPr>
    </w:p>
    <w:p>
      <w:pPr>
        <w:jc w:val="both"/>
        <w:ind w:left="660" w:hanging="328"/>
        <w:spacing w:after="0" w:line="273"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u w:val="single" w:color="auto"/>
          <w:color w:val="auto"/>
        </w:rPr>
        <w:t>A more accommodating FDA</w:t>
      </w:r>
      <w:r>
        <w:rPr>
          <w:rFonts w:ascii="Arial" w:cs="Arial" w:eastAsia="Arial" w:hAnsi="Arial"/>
          <w:sz w:val="17"/>
          <w:szCs w:val="17"/>
          <w:color w:val="auto"/>
        </w:rPr>
        <w:t>. According to a recent article in JAMA, the FDA has approved more drugs on an average annual basis in this decade than in any decade since 1990. A recent article in Nature noted that, after hitting a record-breaking 59 novel drug approvals in 2018, the FDA’s Center for Drug Evaluation and Research, or CDER, approved 48 novel drugs in 2019, which was the third largest number of approvals in the past 25 years. This is due in part to the increased use of special approval and development programs such as fast track designation, breakthrough therapy designation and accelerated approval, but it also reflects the FDA’s increased flexibility as it relates to factors like biomarkers and trial design. A continuance of this trend would support drug development efforts and investment.</w:t>
      </w:r>
    </w:p>
    <w:p>
      <w:pPr>
        <w:spacing w:after="0" w:line="177" w:lineRule="exact"/>
        <w:rPr>
          <w:rFonts w:ascii="Arial" w:cs="Arial" w:eastAsia="Arial" w:hAnsi="Arial"/>
          <w:sz w:val="17"/>
          <w:szCs w:val="17"/>
          <w:color w:val="auto"/>
        </w:rPr>
      </w:pPr>
    </w:p>
    <w:p>
      <w:pPr>
        <w:jc w:val="both"/>
        <w:ind w:left="660" w:hanging="328"/>
        <w:spacing w:after="0" w:line="301"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Strength despite COVID-19</w:t>
      </w:r>
      <w:r>
        <w:rPr>
          <w:rFonts w:ascii="Arial" w:cs="Arial" w:eastAsia="Arial" w:hAnsi="Arial"/>
          <w:sz w:val="16"/>
          <w:szCs w:val="16"/>
          <w:color w:val="auto"/>
        </w:rPr>
        <w:t>. The Nasdaq Biotech Index (NBI) has outperformed the general market thus far in 2020, with a 12% return for the NBI versus a 1% decline for the S&amp;P 500 as of July 14, 2020. We believe this demand is fueled in part by a renewed focus on the biotechnology sector as a result of the COVID-19 pandemic, which has served as a reminder of the important role biotechnology plays in solving global health problems. We believe this paradigm can serve as an additional tailwind for the growth of promising, innovative biopharmaceutical companies.</w:t>
      </w:r>
    </w:p>
    <w:p>
      <w:pPr>
        <w:spacing w:after="0" w:line="15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believe becoming publicly traded presents several major benefits for private biotechnology companies, including greater access to capital, more liquid securities and increased customer awareness. Furthermore, we believe an acquisition by a special purpose acquisition company with a respected management team that is well-known to a biotechnology investors and management teams can be a very attractive mechanism for accessing the public markets due to the increased deal certainty, transparency and efficiency it can provide.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Strategy &amp; Investment Criteria</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strategy is to leverage our management team’s expertise and network of key opinion leaders, expert consultants, healthcare executives, biotechnology investors and investment bankers to identify and acquire an attractive target business in the biotechnology industry. We believe that Boxer Capital’s reputation and track record of favorable investments are an additional competitive advantage that will make us an attractive partner for companies in this competitive environment.</w:t>
      </w:r>
    </w:p>
    <w:p>
      <w:pPr>
        <w:spacing w:after="0" w:line="18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As part of our overall strategy, we have identified a set of criteria by which we will evaluate prospective target businesses. While we may enter into a business combination with a company that does not meet all of these criteria, we intend to focus on companies that we believe:</w:t>
      </w:r>
    </w:p>
    <w:p>
      <w:pPr>
        <w:spacing w:after="0" w:line="170" w:lineRule="exact"/>
        <w:rPr>
          <w:sz w:val="20"/>
          <w:szCs w:val="20"/>
          <w:color w:val="auto"/>
        </w:rPr>
      </w:pPr>
    </w:p>
    <w:p>
      <w:pPr>
        <w:ind w:left="66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Have identified a unique mechanism, developed a novel approach to a known mechanism, or made another scientific or technological leap that provides them with a competitive advantage versus current standard of care;</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Have a competent management team with the experience and skillset that is necessary to successfully develop and commercialize promising drug candidates;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Are attractively valued due to being overlooked, misunderstood or undercapitalized, leaving ample upside for our stockholders;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Have a thesis that can be understood and appreciated by public investors in the current environment;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Will benefit from our capital, guidance and network and the public market access we can provide.</w:t>
      </w:r>
    </w:p>
    <w:p>
      <w:pPr>
        <w:spacing w:after="0" w:line="22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above criteria are not meant to be exhaustive, and our management team may adopt new or unique criteria over time and depending on each particular situation.</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Effecting a Business Combination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are not presently engaged in, and we will not engage in, any operations for an indefinite period of time following this offering. We intend to effectuate our initial business combination using cash from the proceeds of this offering and the private placement of the private shares, our shares, new debt, or a combination of these, as the consideration to be paid in our initial business combination. We may seek to consummate our initial business combination with a company or business that may be financially unstable or in its early stages of development or growth (such as a company that has begun operations but is not yet at the stage of commercial manufacturing and sales), which would subject us to the numerous risks inherent in such companies and businesses, although we will not be permitted to effectuate our initial business combination with another blank check company or a similar company with nominal operations.</w:t>
      </w:r>
    </w:p>
    <w:p>
      <w:pPr>
        <w:spacing w:after="0" w:line="19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If our initial business combination is paid for using shares or debt securities, or not all of the funds released from the trust account are used for payment of the purchase price in connection with our business combination or used for redemptions of purchases of our common stock, we may apply the cash released to us from the trust account that is not applied to the purchase price for general corporate purposes, including for maintenance or expansion of operations of acquired businesses, the payment of principal or interest due on indebtedness incurred in consummating our initial business combination, to fund the purchase of other companies or for working capital.</w:t>
      </w:r>
    </w:p>
    <w:p>
      <w:pPr>
        <w:spacing w:after="0" w:line="188"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We have not identified any acquisition targets. From the period prior to our formation through the date of this prospectus, there have been no communications, evaluations or discussions between any of our officers, directors or our sponsor and any of their contacts or relationships regarding a potential initial business combination. Additionally, we have not engaged or retained any agent or other representative to identify or locate any suitable acquisition candidate. Subject to the requirement that our initial business combination must be with one or more target businesses or assets having an aggregate fair market value of at least 80% of the value of the trust account (excluding any taxes payable) at the time of the agreement to enter into such initial business combination, we have virtually unrestricted flexibility in identifying and selecting one or more prospective target businesses. Accordingly, there is no current basis for investors in this offering to evaluate the possible merits or risks of the target business with which we may ultimately complete our initial business combination. Although our management will assess the risks inherent in a particular target business with which we may combine, this assessment may not result in our identifying all risks that a target business may encounter. Furthermore, some of those risks may be outside of our control, meaning that we can do nothing to control or reduce the chances that those risks will adversely impact a target business.</w:t>
      </w:r>
    </w:p>
    <w:p>
      <w:pPr>
        <w:spacing w:after="0" w:line="16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may seek to raise additional funds through a private offering of debt or equity securities in connection with the consummation of our initial business combination, and we may effectuate our initial business combination using the proceeds of such offering rather than using the amounts held in the trust account. Subject to compliance with applicable securities laws, we would consummate such financing only simultaneously with the consummation of our business combination. In the case of an initial business combination funded with assets other than the trust account assets, our tender offer documents or proxy materials disclosing the business combination would disclose the terms of the financing and, only if required by law or Nasdaq, we would seek stockholder approval of such financing. There are no prohibitions on our ability to raise funds privately or through loans in connection with our initial business combination. At this time, we are not a party to any arrangement or understanding with any third party with respect to raising any additional funds through the sale of securities or otherwise.</w:t>
      </w:r>
    </w:p>
    <w:p>
      <w:pPr>
        <w:spacing w:after="0" w:line="19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sponsor has entered into an agreement with us to purchase at least an aggregate of 2,500,000 shares of common stock, for an aggregate purchase price of $25,000,000, or $10.00 per share of common stock, prior to, concurrently with, or following the closing of our business combination in a private placement. The capital from such transaction may be used as part of the consideration to the sellers in our initial business combination, and any excess capital from such private placement would be used for working capital in the post-transaction company. If we sell shares to our sponsor (or any other investor) in connection with our initial business combination, the equity interest of investors in this offering in the combined company may be diluted and the market prices for our securities may be adversely affected. In addition, if the per share trading price of our shares of common stock is greater than the price per share paid in the private placement, the private placement will result in value dilution to you, in addition to the immediate dilution that you will experience in connection with the consummation of this offering. See “Dilution.”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i w:val="1"/>
          <w:iCs w:val="1"/>
          <w:color w:val="auto"/>
        </w:rPr>
        <w:t>Sources of Target Businesses</w:t>
      </w:r>
    </w:p>
    <w:p>
      <w:pPr>
        <w:spacing w:after="0" w:line="22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We anticipate that target business candidates will be brought to our attention from various unaffiliated sources, including investment bankers, venture capital funds, private equity groups, leveraged buyout funds, management buyout funds and other members of the financial community. Target businesses may be brought to our attention by such unaffiliated sources as a result of being solicited by us through calls or mailings. These sources also may introduce us to target businesses in which they think we may be interested on an unsolicited basis, since many of these sources will have read this prospectus and know what types of businesses we are targeting. Our officers and directors, as well as their affiliates, also may bring to our attention target business candidates that they become aware of through their business contacts as a result of formal or informal inquiries or discussions they may have, as well as attending trade shows or conventions. In addition, we expect to receive a number of proprietary deal flow opportunities that would not otherwise necessarily be available to us as a result of the business relationships of our officers and directors. While we do not presently anticipate engaging the services of professional firms or other individuals that specialize in business acquisitions on any formal basis, we may engage these firms or other individuals in the future, in which event we may pay a finder’s fee, consulting fee or other compensation to be determined in an arm’s length negotiation based on the terms of the transaction. We will engage a finder only to the extent our management determines that the use of a finder may bring opportunities to us that may not otherwise be available to us or if finders approach us on an unsolicited basis with a potential transaction that our management determines is in our best interest to pursue. Payment of finder’s fees is customarily tied to completion of a transaction, in which case any such fee will be paid out of the funds held in the trust account. Although some of our officers and directors may enter into employment or consulting agreements with the acquired business following our initial business combination, the presence or absence of any such arrangements will not be used as a criterion in our selection process of an acquisition candidate.</w:t>
      </w:r>
    </w:p>
    <w:p>
      <w:pPr>
        <w:spacing w:after="0" w:line="18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are not prohibited from pursuing an initial business combination with a company that is affiliated with our sponsor, officers or directors. In the event we seek to complete our initial business combination with such a company, we, or a committee of independent directors, would obtain an opinion from an independent investment banking firm or another independent entity that commonly renders valuation opinions on the type of target business we seek to acquire that such an initial business combination is fair to our unaffiliated stockholders from a financial point of view.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Selection of a Target Business and Structuring of a Business Combination</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Subject to the requirement that our initial business combination must be with one or more target businesses or assets having an aggregate fair market value of at least 80% of the value of the trust account (excluding any taxes payable) at the time of the agreement to enter into such initial business combination, our management will have virtually unrestricted flexibility in identifying and selecting one or more prospective target businesses. In any case, we will only consummate an initial business combination in which we become the majority shareholder of the target (or control the target through contractual arrangements in limited circumstances for regulatory compliance purposes as discussed below) or are otherwise not required to register as an investment company under the Investment Company Act or to the extent permitted by law we may acquire interests in a variable interest entity, in which we may have less than a majority of the voting rights in such entity, but in which we are the primary beneficiary. There is no basis for investors in this offering to evaluate the possible merits or risks of any target business with which we may ultimately complete our initial business combination. To the extent we effect our initial business combination with a company or business that may be financially unstable or in its early stages of development or growth (such as a company that has begun operations but is not yet at the stage of commercial manufacturing and sales), we may be affected by numerous risks inherent in such company or business. Although our management will endeavor to evaluate the risks inherent in a particular target business, we may not properly ascertain or assess all significant risk factors.</w:t>
      </w:r>
    </w:p>
    <w:p>
      <w:pPr>
        <w:spacing w:after="0" w:line="17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evaluating a prospective target business, we expect to conduct a thorough due diligence review that will encompass, among other things, meetings with incumbent management and employees, document reviews, interviews of customers and suppliers, inspection of facilities, as well as a review of financial and other information which will be made available to us.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4" w:name="page65"/>
    <w:bookmarkEnd w:id="64"/>
    <w:p>
      <w:pPr>
        <w:jc w:val="both"/>
        <w:ind w:firstLine="324"/>
        <w:spacing w:after="0" w:line="275" w:lineRule="auto"/>
        <w:rPr>
          <w:sz w:val="20"/>
          <w:szCs w:val="20"/>
          <w:color w:val="auto"/>
        </w:rPr>
      </w:pPr>
      <w:r>
        <w:rPr>
          <w:rFonts w:ascii="Arial" w:cs="Arial" w:eastAsia="Arial" w:hAnsi="Arial"/>
          <w:sz w:val="17"/>
          <w:szCs w:val="17"/>
          <w:color w:val="auto"/>
        </w:rPr>
        <w:t>The time required to select and evaluate a target business and to structure and complete our initial business combination, and the costs associated with this process, are not currently ascertainable with any degree of certainty. Any costs incurred with respect to the identification and evaluation of a prospective target business with which a business combination is not ultimately completed will result in our incurring losses and will reduce the funds we can use to complete another business combination. We will not pay any finders or consulting fees to members of our management team, or any of their respective affiliates, for services rendered to or in connection with our initial business combination.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Market Value of Target Business or Businesses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The target business or businesses or assets with which we effect our initial business combination must have a collective fair market value equal to at least 80% of the value of the trust account (excluding any taxes payable) at the time of the agreement to enter into such initial business combination. If we acquire less than 100% of one or more target businesses in our initial business combination, the aggregate fair market value of the portion or portions we acquire must equal at least 80% of the value of the trust account at the time of the agreement to enter into such initial business combination. However, we will always acquire at least a controlling interest in a target business. The fair market value of a portion of a target business or assets will likely be calculated by multiplying the fair market value of the entire business by the percentage of the target we acquire. We may seek to consummate our initial business combination with an initial target business or businesses with a collective fair market value in excess of the balance in the trust account. In order to consummate such an initial business combination, we may issue a significant amount of debt, equity or other securities to the sellers of such business and/or seek to raise additional funds through a private offering of debt, equity or other securities. If we issue securities in order to consummate such an initial business combination, our stockholders could end up owning a minority of the combined company’s voting securities as there is no requirement that our stockholders own a certain percentage of our company (or, depending on the structure of the initial business combination, an ultimate parent company that may be formed) after our business combination. Because we have no specific business combination under consideration, we have not entered into any such arrangement to issue our debt or equity securities and have no current intention of doing so.</w:t>
      </w:r>
    </w:p>
    <w:p>
      <w:pPr>
        <w:spacing w:after="0" w:line="17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fair market value of a target business or businesses or assets will be determined by our board of directors based upon standards generally accepted by the financial community, such as actual and potential gross margins, the values of comparable businesses, earnings and cash flow, book value, enterprise value and, where appropriate, upon the advice of appraisers or other professional consultants. Investors will be relying on the business judgment of our board of directors, which will have significant discretion in choosing the standard used to establish the fair market value of a particular target business. If our board of directors is not able to independently determine that the target business or assets has a sufficient fair market value to meet the threshold criterion, we will obtain an opinion from an unaffiliated, independent investment banking firm or another independent entity that commonly renders valuation opinions on the type of target business we seek to acquire with respect to the satisfaction of such criterion. Notwithstanding the foregoing, unless we consummate a business combination with an affiliated entity, we are not required to obtain an opinion from an independent investment banking firm, or another independent entity that commonly renders valuation opinions on the type of target business we seek to acquire, that the price we are paying is fair to our stockholders.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Lack of Business Diversification</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For an indefinite period of time after consummation of our initial business combination, the prospects for our success may depend entirely on the future performance of a single business. Unlike other entities that have the resources to complete business combinations with multiple entities in one or several industries, it is probable that we will not have the resources to diversify our operations and mitigate the risks of being in a single line of business. By consummating our initial business combination with only a single entity, our lack of diversification may:</w:t>
      </w:r>
    </w:p>
    <w:p>
      <w:pPr>
        <w:spacing w:after="0" w:line="171" w:lineRule="exact"/>
        <w:rPr>
          <w:sz w:val="20"/>
          <w:szCs w:val="20"/>
          <w:color w:val="auto"/>
        </w:rPr>
      </w:pPr>
    </w:p>
    <w:p>
      <w:pPr>
        <w:ind w:left="660" w:right="46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subject us to negative economic, competitive and regulatory developments, any or all of which may have a substantial adverse impact on the particular industry in which we operate after our initial business combination,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cause us to depend on the marketing and sale of a single product or limited number of products or services.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i w:val="1"/>
          <w:iCs w:val="1"/>
          <w:color w:val="auto"/>
        </w:rPr>
        <w:t>Limited Ability to Evaluate the Target’s Management Team</w:t>
      </w:r>
    </w:p>
    <w:p>
      <w:pPr>
        <w:spacing w:after="0" w:line="22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Although we intend to closely scrutinize the management of a prospective target business when evaluating the desirability of effecting our initial business combination with that business, our assessment of the target business’ management may not prove to be correct. The future role of members of our management team, if any, in the target business cannot presently be stated with any certainty. Consequently, members of our management team may not become a part of the target’s management team, and the future management may not have the necessary skills, qualifications or abilities to manage a public company. Further, it is also not certain whether one or more of our directors will remain associated in some capacity with us following our initial business combination. Moreover, members of our management team may not have significant experience or knowledge relating to the operations of the particular target business. Our key personnel may not remain in senior management or advisory positions with the combined company. The determination as to whether any of our key personnel will remain with the combined company will be made at the time of our initial business combination.</w:t>
      </w:r>
    </w:p>
    <w:p>
      <w:pPr>
        <w:spacing w:after="0" w:line="16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Following our initial business combination, we may seek to recruit additional managers to supplement the incumbent management of the target business. We may not have the ability to recruit additional managers, or that additional managers will have the requisite skills, knowledge or experience necessary to enhance the incumbent management.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Stockholders May Not Have the Ability to Approve an Initial Business Combination</w:t>
      </w:r>
    </w:p>
    <w:p>
      <w:pPr>
        <w:spacing w:after="0" w:line="225"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 xml:space="preserve">In connection with any proposed business combination, we will either (1) seek stockholder approval of our initial business combination at a meeting called for such purpose at which public stockholders may seek to convert their public shares, regardless of whether they vote for or against the proposed business combination, into their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share of the aggregate amount then on deposit in the trust account (net of taxes payable) or (2) provide our public stockholders with the opportunity to sell their public shares to us by means of a tender offer (and thereby avoid the need for a stockholder vote) for an amount equal to their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share of the aggregate amount then on deposit in the trust account (net of taxes payable), in each case subject to the limitations described herein. Notwithstanding the foregoing, our initial stockholders have agreed, pursuant to written letter agreements with us, not to convert any public shares held by them into their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share of the aggregate amount then on deposit in the trust account. If we determine to engage in a tender offer, such tender offer will be structured so that each stockholder may tender any or all of his, her or its public shares rather than some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portion of his, her or its shares. The decision as to whether we will seek stockholder approval of a proposed business combination or will allow stockholders to sell their shares to us in a tender offer will be made by us based on a variety of factors such as the timing of the transaction and whether the terms of the transaction would otherwise require us to seek stockholder approval. If we so choose and we are legally permitted to do so, we have the flexibility to avoid a stockholder vote and allow our stockholders to sell their shares pursuant to Rule 13e-4 and Regulation 14E of the Exchange Act which regulate issuer tender offers. In that case, we will file tender offer documents with the SEC which will contain substantially the same financial and other information about the initial business combination as is required under the SEC’s proxy rules. We will consummate our initial business combination only if we have net tangible assets of at least $5,000,001 upon such consummation and, solely if we seek stockholder approval, a majority of the issued and outstanding shares of common stock voted are voted in favor of the business combination.</w:t>
      </w:r>
    </w:p>
    <w:p>
      <w:pPr>
        <w:spacing w:after="0" w:line="176"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 xml:space="preserve">We chose our net tangible asset threshold of $5,000,001 to ensure that we would avoid being subject to Rule 419 promulgated under the Securities Act. However, if we seek to consummate an initial business combination with a target business that imposes any type of working capital closing condition or requires us to have a minimum amount of funds available from the trust account upon consummation of such initial business combination, our net tangible asset threshold may limit our ability to consummate such initial business combination (as we may be required to have a lesser number of shares converted or sold to us) and may force us to seek third party financing which may not be available on terms acceptable to us or at all. As a result, we may not be able to consummate such initial business combination and we may not be able to locate another suitable target within the applicable time period, if at all. Public stockholders may therefore have to wait 24 months from the closing of this offering in order to be able to receive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share of the trust account.</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6" w:name="page67"/>
    <w:bookmarkEnd w:id="66"/>
    <w:p>
      <w:pPr>
        <w:jc w:val="both"/>
        <w:ind w:firstLine="324"/>
        <w:spacing w:after="0" w:line="287" w:lineRule="auto"/>
        <w:rPr>
          <w:sz w:val="20"/>
          <w:szCs w:val="20"/>
          <w:color w:val="auto"/>
        </w:rPr>
      </w:pPr>
      <w:r>
        <w:rPr>
          <w:rFonts w:ascii="Arial" w:cs="Arial" w:eastAsia="Arial" w:hAnsi="Arial"/>
          <w:sz w:val="16"/>
          <w:szCs w:val="16"/>
          <w:color w:val="auto"/>
        </w:rPr>
        <w:t>Our initial stockholders and our officers and directors have agreed (1) to vote any shares of common stock owned by them in favor of any proposed business combination, (2) not to convert any shares of common stock in connection with a stockholder vote to approve a proposed initial business combination and (3) not sell any shares of common stock in any tender in connection with a proposed initial business combination. As a result, if we sought</w:t>
      </w:r>
    </w:p>
    <w:p>
      <w:pPr>
        <w:spacing w:after="0" w:line="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stockholder approval of a proposed transaction, we would need only of our public shares (or approximately % of our public shares) to be voted in favor of the transaction in order to have such transaction approved (assuming that only a quorum was present at the meeting, that the over-allotment option is not exercised and that the initial stockholders do not purchase any shares of our common stock in this offering or shares in the after-market).</w:t>
      </w:r>
    </w:p>
    <w:p>
      <w:pPr>
        <w:spacing w:after="0" w:line="19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None of our officers, directors, initial stockholders or their affiliates has indicated any intention to purchase shares of common stock in this offering or from persons in the open market or in private transactions. However, if we hold a meeting to approve a proposed business combination and a significant number of stockholders vote, or indicate an intention to vote, against such proposed business combination, our officers, directors, initial stockholders or their affiliates could make such purchases in the open market or in private transactions in order to influence the vote. Notwithstanding the foregoing, our officers, directors, initial stockholders and their affiliates will not make purchases of common stock if the purchases would violate Section 9(a)(2) or Rule 10b-5 of the Exchange Act, which are rules designed to stop potential manipulation of a company’s stock.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Conversion/Tender Rights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At any meeting called to approve an initial business combination, public stockholders may seek to convert their public shares, regardless of whether they vote for or against the proposed business combination, into their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share of the aggregate amount then on deposit in the trust account, less any taxes then due but not yet paid. Notwithstanding the foregoing, our initial stockholders have agreed, pursuant to written letter agreements with us, not to convert any public shares held by them into their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share of the aggregate amount then on deposit in the trust account. If we hold a meeting to approve an initial business combination, a holder will always have the ability to vote against a proposed business combination and not seek conversion of his shares.</w:t>
      </w:r>
    </w:p>
    <w:p>
      <w:pPr>
        <w:spacing w:after="0" w:line="192"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Alternatively, if we engage in a tender offer, each public stockholder will be provided the opportunity to sell his public shares to us in such tender offer. The tender offer rules require us to hold the tender offer open for at least 20 business days. Accordingly, this is the minimum amount of time we would need to provide holders to determine whether they want to sell their public shares to us in the tender offer or remain an investor in our company.</w:t>
      </w:r>
    </w:p>
    <w:p>
      <w:pPr>
        <w:spacing w:after="0" w:line="14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initial stockholders, officers and directors will not have conversion rights with respect to any shares of common stock owned by them, directly or indirectly, whether acquired prior to this offering or purchased by them in this offering or in the aftermarket.</w:t>
      </w:r>
    </w:p>
    <w:p>
      <w:pPr>
        <w:spacing w:after="0" w:line="17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 xml:space="preserve">We may also require public stockholders, whether they are a record holder or hold their shares in “street name,” to either tender their certificates (if any) to our transfer agent or to deliver their shares to the transfer agent electronically using Depository Trust Company’s DWAC (Deposit/Withdrawal At Custodian) System, at the holder’s option, at any time at or prior to the vote on the business combination. The proxy solicitation materials that we will furnish to stockholders in connection with the vote for any proposed business combination will indicate whether we are requiring stockholders to satisfy such delivery requirements. Accordingly, a stockholder would have from the time our proxy statement is mailed through the vote on the business combination to deliver his shares if he wishes to seek to exercise his conversion rights. Under Delaware law and our bylaws, we are required to provide at least 10 days’ advance notice of any stockholder meeting, which would be the minimum amount of time a stockholder would have to determine whether to exercise conversion rights. As a result, if we require public stockholders who wish to convert their shares of common stock into the right to receive a </w:t>
      </w:r>
      <w:r>
        <w:rPr>
          <w:rFonts w:ascii="Arial" w:cs="Arial" w:eastAsia="Arial" w:hAnsi="Arial"/>
          <w:sz w:val="17"/>
          <w:szCs w:val="17"/>
          <w:i w:val="1"/>
          <w:iCs w:val="1"/>
          <w:color w:val="auto"/>
        </w:rPr>
        <w:t>pro</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rata </w:t>
      </w:r>
      <w:r>
        <w:rPr>
          <w:rFonts w:ascii="Arial" w:cs="Arial" w:eastAsia="Arial" w:hAnsi="Arial"/>
          <w:sz w:val="17"/>
          <w:szCs w:val="17"/>
          <w:color w:val="auto"/>
        </w:rPr>
        <w:t>portion of the funds in the trust account to comply with the foregoing delivery requirements, holders may not have sufficient time to receive the notice</w:t>
      </w:r>
      <w:r>
        <w:rPr>
          <w:rFonts w:ascii="Arial" w:cs="Arial" w:eastAsia="Arial" w:hAnsi="Arial"/>
          <w:sz w:val="17"/>
          <w:szCs w:val="17"/>
          <w:i w:val="1"/>
          <w:iCs w:val="1"/>
          <w:color w:val="auto"/>
        </w:rPr>
        <w:t xml:space="preserve"> </w:t>
      </w:r>
      <w:r>
        <w:rPr>
          <w:rFonts w:ascii="Arial" w:cs="Arial" w:eastAsia="Arial" w:hAnsi="Arial"/>
          <w:sz w:val="17"/>
          <w:szCs w:val="17"/>
          <w:color w:val="auto"/>
        </w:rPr>
        <w:t>and deliver their shares for conversion. Accordingly, investors may not be able to exercise their conversion rights and may be forced to retain our securities when they otherwise would not want to. The conversion rights will include the requirement that a beneficial holder must identify itself in order to validly redeem its shares.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7" w:name="page68"/>
    <w:bookmarkEnd w:id="67"/>
    <w:p>
      <w:pPr>
        <w:jc w:val="both"/>
        <w:ind w:firstLine="324"/>
        <w:spacing w:after="0" w:line="273" w:lineRule="auto"/>
        <w:rPr>
          <w:sz w:val="20"/>
          <w:szCs w:val="20"/>
          <w:color w:val="auto"/>
        </w:rPr>
      </w:pPr>
      <w:r>
        <w:rPr>
          <w:rFonts w:ascii="Arial" w:cs="Arial" w:eastAsia="Arial" w:hAnsi="Arial"/>
          <w:sz w:val="17"/>
          <w:szCs w:val="17"/>
          <w:color w:val="auto"/>
        </w:rPr>
        <w:t>There is a nominal cost associated with this tendering process and the act of certificating the shares or delivering them through the DWAC System. The transfer agent will typically charge the tendering broker $45 and it would be up to the broker whether or not to pass this cost on to the converting holder. However, this fee would be incurred regardless of whether or not we require holders seeking to exercise conversion rights. The need to deliver shares is a requirement of exercising conversion rights regardless of the timing of when such delivery must be effectuated. However, in the event we require stockholders seeking to exercise conversion rights to deliver their shares prior to the consummation of the proposed business combination and the proposed business combination is not consummated, this may result in an increased cost to stockholders.</w:t>
      </w:r>
    </w:p>
    <w:p>
      <w:pPr>
        <w:spacing w:after="0" w:line="1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Any request to convert or tender such shares once made, may be withdrawn at any time up to the vote on the proposed business combination or expiration of the tender offer. Furthermore, if a holder of a public share delivered his certificate in connection with an election of their conversion or tender and subsequently decides prior to the vote on the business combination or the expiration of the tender offer not to elect to exercise such rights, he may simply request that the transfer agent return the certificate (physically or electronically).</w:t>
      </w:r>
    </w:p>
    <w:p>
      <w:pPr>
        <w:spacing w:after="0" w:line="18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If the initial business combination is not approved or completed for any reason, then our public stockholders who elected to exercise their conversion or tender rights would not be entitled to convert their shares for the applicable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share of the trust account. In such case, we will promptly return any shares delivered by public holders.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 of Trust Account if No Business Combination</w:t>
      </w:r>
    </w:p>
    <w:p>
      <w:pPr>
        <w:spacing w:after="0" w:line="225" w:lineRule="exact"/>
        <w:rPr>
          <w:sz w:val="20"/>
          <w:szCs w:val="20"/>
          <w:color w:val="auto"/>
        </w:rPr>
      </w:pPr>
    </w:p>
    <w:p>
      <w:pPr>
        <w:jc w:val="both"/>
        <w:ind w:right="20" w:firstLine="324"/>
        <w:spacing w:after="0" w:line="291" w:lineRule="auto"/>
        <w:rPr>
          <w:sz w:val="20"/>
          <w:szCs w:val="20"/>
          <w:color w:val="auto"/>
        </w:rPr>
      </w:pPr>
      <w:r>
        <w:rPr>
          <w:rFonts w:ascii="Arial" w:cs="Arial" w:eastAsia="Arial" w:hAnsi="Arial"/>
          <w:sz w:val="16"/>
          <w:szCs w:val="16"/>
          <w:color w:val="auto"/>
        </w:rPr>
        <w:t>If we do not complete a business combination within 24 months from the closing of this offering, we will (i) cease all operations except for the purpose of winding up, (ii) as promptly as reasonably possible but not more than ten business days thereafter, redeem 100% of the outstanding public shares and</w:t>
      </w:r>
    </w:p>
    <w:p>
      <w:pPr>
        <w:jc w:val="both"/>
        <w:ind w:firstLine="8"/>
        <w:spacing w:after="0" w:line="255"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as promptly as reasonably possible following such redemption, subject to the approval of our remaining stockholders and our board of directors, dissolve and liquidate, subject (in the case of (ii) and (iii) above) to our obligations under Delaware law to provide for claims of creditors and the requirements of other applicable law.</w:t>
      </w:r>
    </w:p>
    <w:p>
      <w:pPr>
        <w:spacing w:after="0" w:line="19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Under the Delaware General Corporation Law, stockholders may be held liable for claims by third parties against a corporation to the extent of distributions received by them in a dissolution. The pro rata portion of our trust account distributed to our public stockholders upon the redemption of 100% of our outstanding public shares in the event we do not complete our initial business combination within the required time period may be considered a liquidation distribution under Delaware law. If the corporation complies with certain procedures set forth in Section 280 of the Delaware General Corporation Law intended to ensure that it makes reasonable provision for all claims against it, including a 60-day notice period during which any third-party claims can be brought against the corporation, a 90-day period during which the corporation may reject any claims brought, and an additional 150-day waiting period before any redemptions are made to stockholders, any liability of stockholders with respect to a redemption is limited to the lesser of such stockholder’s pro rata share of the claim or the amount distributed to the stockholder, and any liability of the stockholder would be barred after the third anniversary of the dissolution.</w:t>
      </w:r>
    </w:p>
    <w:p>
      <w:pPr>
        <w:spacing w:after="0" w:line="19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Furthermore, if the pro rata portion of our trust account distributed to our public stockholders upon the redemption of 100% of our public shares in the event we do not complete our initial business combination within the required time period is not considered a liquidation distribution under Delaware law and such redemption distribution is deemed to be unlawful, then pursuant to Section 174 of the Delaware General Corporation Law, the statute of limitations for claims of creditors could then be six years after the unlawful redemption distribution, instead of three years, as in the case of a liquidation</w:t>
      </w:r>
    </w:p>
    <w:p>
      <w:pPr>
        <w:spacing w:after="0" w:line="1"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distribution. It is our intention to redeem our public shares as soon as reasonably possible following the 24</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month from the closing of this offering and, therefore, we do not intend to comply with the above procedures. As such, our stockholders could potentially be liable for any claims to the extent of distributions received by them (but no more) and any liability of our stockholders may extend well beyond the third anniversary of such date.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8" w:name="page69"/>
    <w:bookmarkEnd w:id="68"/>
    <w:p>
      <w:pPr>
        <w:jc w:val="both"/>
        <w:ind w:firstLine="324"/>
        <w:spacing w:after="0" w:line="257" w:lineRule="auto"/>
        <w:rPr>
          <w:sz w:val="20"/>
          <w:szCs w:val="20"/>
          <w:color w:val="auto"/>
        </w:rPr>
      </w:pPr>
      <w:r>
        <w:rPr>
          <w:rFonts w:ascii="Arial" w:cs="Arial" w:eastAsia="Arial" w:hAnsi="Arial"/>
          <w:sz w:val="18"/>
          <w:szCs w:val="18"/>
          <w:color w:val="auto"/>
        </w:rPr>
        <w:t>Because we will not be complying with Section 280 of the Delaware General Corporation Law, Section 281(b) of the Delaware General Corporation Law requires us to adopt a plan, based on facts known to us at such time that will provide for our payment of all existing and pending claims or claims that may be potentially brought against us within the subsequent 10 years. However, because we are a blank check company, rather than an operating company, and our operations will be limited to seeking to complete an initial business combination, the only likely claims to arise would be from our vendors (such as lawyers, investment bankers, etc.) or prospective target businesses.</w:t>
      </w:r>
    </w:p>
    <w:p>
      <w:pPr>
        <w:spacing w:after="0" w:line="18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will seek to have all third parties (including any vendors or other entities we engage after this offering, other than our independent registered public accounting firm) and any prospective target businesses enter into valid and enforceable agreements with us waiving any right, title, interest or claim of any kind they may have in or to any monies held in the trust account. The underwriters in this offering will execute such a waiver agreement.</w:t>
      </w:r>
    </w:p>
    <w:p>
      <w:pPr>
        <w:spacing w:after="0" w:line="165"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As a result, the claims that could be made against us will be limited, thereby lessening the likelihood that any claim would result in any liability extending to the trust. We therefore believe that any necessary provision for creditors will be reduced and should not have a significant impact on our ability to distribute the funds in the trust account to our public stockholders. Nevertheless, there is no guarantee that vendors, service providers and prospective target businesses will execute such agreements. In the event that a potential contracted party was to refuse to execute such a waiver, we will execute an agreement with that entity only if our management first determines that we would be unable to obtain, on a reasonable basis, substantially similar services or opportunities from another entity willing to execute such a waiver. Examples of instances where we may engage a third party that refused to execute a waiver would be the engagement of a third party consultant who cannot sign such an agreement due to regulatory restrictions, such as our auditors who are unable to sign due to independence requirements, or whose particular expertise or skills are believed by management to be superior to those of other consultants that would agree to execute a waiver or a situation in which management does not believe it would be able to find a provider of required services willing to provide the waiver. There is also no guarantee that, even if they execute such agreements with us, they will not seek recourse against the trust account. Our insiders have agreed that they will be jointly and severally liable to us if and to the extent any claims by a vendor for services rendered or products sold to us, or a prospective target business with which we have discussed entering into a transaction agreement, reduce the amount of funds in the trust account to below $10.00 per public share, except as to any claims by a third party who executed a valid and enforceable agreement with us waiving any right, title, interest or claim of any kind they may have in or to any monies held in the trust account and except as to any claims under our indemnity of the underwriters of this offering against certain liabilities, including liabilities under the Securities Act. Our board of directors has evaluated our insiders’ financial net worth and believes they will be able to satisfy any indemnification obligations that may arise. However, our insiders may not be able to satisfy their indemnification obligations, as we have not required our insiders to retain any assets to provide for their indemnification obligations, nor have we taken any further steps to ensure that they will be able to satisfy any indemnification obligations that arise. Moreover, our insiders will not be liable to our public stockholders and instead will only have liability to us. As a result, if we liquidate, the per-share distribution from the trust account could be less than approximately $10.00 due to claims or potential claims of creditors. We will distribute to all of our public stockholders, in proportion to their respective equity interests, an aggregate sum equal to the amount then held in the trust account, inclusive of any interest not previously released to us, (subject to our obligations under Delaware law to provide for claims of creditors as described below).</w:t>
      </w:r>
    </w:p>
    <w:p>
      <w:pPr>
        <w:spacing w:after="0" w:line="17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If we are unable to consummate an initial business combination and are forced to redeem 100% of our outstanding public shares for a portion of the funds held in the trust account, we anticipate notifying the trustee of the trust account to begin liquidating such assets promptly after such date and anticipate it will take no more than 10 business days to effectuate the redemption of our public shares. Our insiders have waived their rights to participate in any redemption with respect to their insider shares. We will pay the costs of any subsequent liquidation from our remaining assets outside of the trust account. If such funds are insufficient, our insiders have agreed to pay the funds necessary to complete such liquidation (currently anticipated to be no more than approximately $15,000) and have agreed not to seek repayment of such expenses. Each holder of public shares will receive a full pro rata portion of the amount then in the trust account, plus any pro rata interest earned on the funds held in the trust account and not previously released to us or necessary to pay our taxes. The proceeds deposited in the trust account could, however, become subject to claims of our creditors that are in preference to the claims of public stockholders.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9" w:name="page70"/>
    <w:bookmarkEnd w:id="69"/>
    <w:p>
      <w:pPr>
        <w:jc w:val="both"/>
        <w:ind w:firstLine="324"/>
        <w:spacing w:after="0" w:line="311" w:lineRule="auto"/>
        <w:rPr>
          <w:sz w:val="20"/>
          <w:szCs w:val="20"/>
          <w:color w:val="auto"/>
        </w:rPr>
      </w:pPr>
      <w:r>
        <w:rPr>
          <w:rFonts w:ascii="Arial" w:cs="Arial" w:eastAsia="Arial" w:hAnsi="Arial"/>
          <w:sz w:val="16"/>
          <w:szCs w:val="16"/>
          <w:color w:val="auto"/>
        </w:rPr>
        <w:t>Our public stockholders shall be entitled to receive funds from the trust account only in the event of our failure to complete our initial business combination in the required time period or if the stockholders seek to have us convert their respective shares of common stock upon a business combination which is actually completed by us. In no other circumstances shall a stockholder have any right or interest of any kind to or in the trust account.</w:t>
      </w:r>
    </w:p>
    <w:p>
      <w:pPr>
        <w:spacing w:after="0" w:line="14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If we are forced to file a bankruptcy case or an involuntary bankruptcy case is filed against us which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the per share redemption or conversion amount received by public stockholders may be less than $10.00.</w:t>
      </w:r>
    </w:p>
    <w:p>
      <w:pPr>
        <w:spacing w:after="0" w:line="18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If, after we distribute the proceeds in the trust account to our public stockholders, we file a bankruptcy petition or an involuntary bankruptcy petition is filed against us that is not dismissed, any distributions received by stockholders could be viewed under applicable debtor/creditor and/or bankruptcy laws as either a “preferential transfer” or a “fraudulent conveyance.” As a result, a bankruptcy court could seek to recover all amounts received by our stockholders. In addition, our board of directors may be viewed as having breached its fiduciary duty to our creditors and/or having acted in bad faith, thereby exposing itself and us to claims of punitive damages, by paying public stockholders from the trust account prior to addressing the claims of creditors. Claims may be brought against us for these reasons.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Certificate of Incorporation</w:t>
      </w:r>
    </w:p>
    <w:p>
      <w:pPr>
        <w:spacing w:after="0" w:line="22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Our certificate of incorporation contains certain requirements and restrictions relating to this offering that will apply to us until the consummation of our initial business combination. If we hold a stockholder vote to amend any provisions of our certificate of incorporation relating to stockholder’s rights or pre-business combination activity (including the substance or timing within which we have to complete a business combination), we will provide our public stockholders with the opportunity to redeem their shares of common stock upon approval of any such amendment at a per-share price, payable in cash, equal to the aggregate amount then on deposit in the trust account, including interest earned on the funds held in the trust account and not previously released to us to pay our franchise and income taxes, divided by the number of then outstanding public shares, in connection with any such vote. Our insiders have agreed to waive any conversion rights with respect to any insider shares and any public shares they may hold in connection with any vote to amend our certificate of incorporation. Specifically, our certificate of incorporation provides, among other things, that:</w:t>
      </w:r>
    </w:p>
    <w:p>
      <w:pPr>
        <w:spacing w:after="0" w:line="165" w:lineRule="exact"/>
        <w:rPr>
          <w:sz w:val="20"/>
          <w:szCs w:val="20"/>
          <w:color w:val="auto"/>
        </w:rPr>
      </w:pPr>
    </w:p>
    <w:p>
      <w:pPr>
        <w:jc w:val="both"/>
        <w:ind w:left="660" w:hanging="328"/>
        <w:spacing w:after="0" w:line="255"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prior to the consummation of our initial business combination, we shall either (1) seek stockholder approval of our initial business combination at a meeting called for such purpose at which public stockholders may seek to convert their shares of common stock, regardless of whether they vote for or against the proposed business combination, into a portion of the aggregate amount then on deposit in the trust account, or (2) provide our stockholders with the opportunity to sell their shares to us by means of a tender offer (and thereby avoid the need for a stockholder vote) for an amount equal to their pro rata share of the aggregate amount then on deposit in the trust account, in each case subject to the limitations described herein;</w:t>
      </w:r>
    </w:p>
    <w:p>
      <w:pPr>
        <w:spacing w:after="0" w:line="192"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will consummate our initial business combination only if public stockholders do not exercise conversion rights in an amount that would cause our net tangible assets to be less than $5,000,001 and a majority of the outstanding shares of common stock voted are voted in favor of the business combination;</w:t>
      </w:r>
    </w:p>
    <w:p>
      <w:pPr>
        <w:spacing w:after="0" w:line="18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our initial business combination is not consummated within 24 months of the closing of this offering, then our existence will terminate and we will distribute all amounts in the trust account to all of our public holders of shares of common stock;</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upon the consummation of this offering, $125,000,000, or $143,750,000 if the over-allotment option is exercised in full, shall be placed into the trust account;</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not consummate any other business combination, merger, capital stock exchange, asset acquisition, stock purchase, reorganization or similar transaction prior to our initial business combination; and</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0" w:name="page71"/>
    <w:bookmarkEnd w:id="70"/>
    <w:p>
      <w:pPr>
        <w:ind w:left="66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prior to our initial business combination, we may not issue additional shares of capital stock that would entitle the holders thereof to (i) receive funds from the trust account or (ii) vote on any initial business combination.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Revisions to Agreements with Insiders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Each of our insiders has entered into letter agreements with us pursuant to which each of them has agreed to do certain things relating to us and our activities prior to a business combination. We could seek to amend these letter agreements without the approval of stockholders, although we have no intention to do so. In particular:</w:t>
      </w:r>
    </w:p>
    <w:p>
      <w:pPr>
        <w:spacing w:after="0" w:line="184" w:lineRule="exact"/>
        <w:rPr>
          <w:sz w:val="20"/>
          <w:szCs w:val="20"/>
          <w:color w:val="auto"/>
        </w:rPr>
      </w:pPr>
    </w:p>
    <w:p>
      <w:pPr>
        <w:ind w:left="66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Restrictions relating to liquidating the trust account if we failed to consummate a business combination in the time-frames specified above could be amended, but only if we allowed all stockholders to redeem their shares in connection with such amendment;</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Restrictions relating to our insiders being required to vote in favor of a business combination or against any amendments to our organizational documents could be amended to allow our insiders to vote on a transaction as they wished;</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requirement of members of the management team to remain our officer or director until the closing of a business combination could be amended to allow persons to resign from their positions with us if, for example, the current management team was having difficulty locating a target business and another management team had a potential target business;</w:t>
      </w:r>
    </w:p>
    <w:p>
      <w:pPr>
        <w:spacing w:after="0" w:line="18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restrictions on transfer of our securities could be amended to allow transfer to third parties who were not members of our original management team;</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obligation of our management team to not propose amendments to our organizational documents could be amended to allow them to propose such changes to our stockholders;</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obligation of insiders to not receive any compensation in connection with a business combination could be modified in order to allow them to receive such compensation;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requirement to obtain a valuation for any target business affiliated with our insiders, in the event it was too expensive to do so.</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Except as specified above, stockholders would not be required to be given the opportunity to redeem their shares in connection with such changes.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Such changes could result in:</w:t>
      </w:r>
    </w:p>
    <w:p>
      <w:pPr>
        <w:spacing w:after="0" w:line="211" w:lineRule="exact"/>
        <w:rPr>
          <w:sz w:val="20"/>
          <w:szCs w:val="20"/>
          <w:color w:val="auto"/>
        </w:rPr>
      </w:pPr>
    </w:p>
    <w:p>
      <w:pPr>
        <w:ind w:left="66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having an extended period of time to consummate a business combination (although with less in trust as a certain number of our stockholders would certainly redeem their shares in connection with any such extension);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insiders being able to vote against a business combination or in favor of changes to our organizational documents;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operations being controlled by a new management team that our stockholders did not elect to invest with;</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insiders receiving compensation in connection with a business combination;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insiders closing a transaction with one of their affiliates without receiving an independent valuation of such business.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1" w:name="page72"/>
    <w:bookmarkEnd w:id="71"/>
    <w:p>
      <w:pPr>
        <w:jc w:val="both"/>
        <w:ind w:firstLine="324"/>
        <w:spacing w:after="0" w:line="263" w:lineRule="auto"/>
        <w:rPr>
          <w:sz w:val="20"/>
          <w:szCs w:val="20"/>
          <w:color w:val="auto"/>
        </w:rPr>
      </w:pPr>
      <w:r>
        <w:rPr>
          <w:rFonts w:ascii="Arial" w:cs="Arial" w:eastAsia="Arial" w:hAnsi="Arial"/>
          <w:sz w:val="18"/>
          <w:szCs w:val="18"/>
          <w:color w:val="auto"/>
        </w:rPr>
        <w:t>We will not agree to any such changes unless we believed that such changes were in the best interests of our stockholders (for example, if we believed such a modification were necessary to complete a business combination). Each of our officers and directors have fiduciary obligations to us requiring that they act in our best interests and the best interests of our stockholders.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22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In identifying, evaluating and selecting a target business for our initial business combination, we may encounter intense competition from other entities having a business objective similar to ours, including other blank check companies, private equity groups and leveraged buyout funds, and operating businesses seeking strategic acquisitions. Many of these entities are well established and have significant experience identifying and effecting business combinations directly or through affiliates. Moreover, many of these competitors possess greater financial, technical, human and other resources than us. Our ability to acquire larger target businesses will be limited by our available financial resources. This inherent limitation gives others an advantage in pursuing the acquisition of a target business. Furthermore, the requirement that we acquire a target business or businesses having a fair market value equal to at least 80% of the value of the trust account (excluding any taxes payable) at the time of the agreement to enter into the business combination, our obligation to pay cash in connection with our public stockholders who exercise their redemption rights, may not be viewed favorably by certain target businesses. Any of these factors may place us at a competitive disadvantage in successfully negotiating our initial business combination.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Facilities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will pay to an affiliate of our sponsor a fee of $10,000 per month for use of office space and certain office and secretarial services. The office space will be located at 11682 El Camino Real, Suite 320, San Diego, CA 92130.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Employees</w:t>
      </w:r>
    </w:p>
    <w:p>
      <w:pPr>
        <w:spacing w:after="0" w:line="22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currently have four executive officers. These individuals are not obligated to devote any specific number of hours to our matters but they intend to devote as much of their time as they deem necessary to our affairs until we have completed our initial business combination. The amount of time they will devote in any time period will vary based on whether a target business has been selected for our initial business combination and the stage of the business combination process we are in. We do not intend to have any full time employees prior to the consummation of our initial business combination.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Periodic Reporting and Audited Financial Statements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have registered our common stock under the Exchange Act and have reporting obligations, including the requirement that we file annual, quarterly and current reports with the SEC. In accordance with the requirements of the Exchange Act, our annual report will contain financial statements audited and reported on by our independent registered public accountants.</w:t>
      </w:r>
    </w:p>
    <w:p>
      <w:pPr>
        <w:spacing w:after="0" w:line="18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will provide stockholders with audited financial statements of the prospective target business as part of any proxy solicitation sent to stockholders to assist them in assessing the target business. In all likelihood, the financial information included in the proxy solicitation materials will need to be prepared in accordance with U.S. GAAP or IFRS, depending on the circumstances, and the historical financial statements may be required to be audited in accordance with the standards of the PCAOB. The financial statements may also be required to be prepared in accordance with U.S. GAAP for the Form 8-K announcing the closing of an initial business combination, which would need to be filed within four business days thereafter. We cannot assure you that any particular target business identified by us as a potential acquisition candidate will have the necessary financial information. To the extent that this requirement cannot be met, we may not be able to acquire the proposed target business.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2" w:name="page73"/>
    <w:bookmarkEnd w:id="72"/>
    <w:p>
      <w:pPr>
        <w:jc w:val="both"/>
        <w:ind w:firstLine="324"/>
        <w:spacing w:after="0" w:line="259" w:lineRule="auto"/>
        <w:rPr>
          <w:sz w:val="20"/>
          <w:szCs w:val="20"/>
          <w:color w:val="auto"/>
        </w:rPr>
      </w:pPr>
      <w:r>
        <w:rPr>
          <w:rFonts w:ascii="Arial" w:cs="Arial" w:eastAsia="Arial" w:hAnsi="Arial"/>
          <w:sz w:val="18"/>
          <w:szCs w:val="18"/>
          <w:color w:val="auto"/>
        </w:rPr>
        <w:t>We will be required to comply with the internal control requirements of the Sarbanes-Oxley Act beginning for the fiscal year ending December 31, 2021. A target company may not be in compliance with the provisions of the Sarbanes-Oxley Act regarding adequacy of their internal controls. The development of the internal controls of any such entity to achieve compliance with the Sarbanes-Oxley Act may increase the time and costs necessary to complete any such acquisition.</w:t>
      </w:r>
    </w:p>
    <w:p>
      <w:pPr>
        <w:spacing w:after="0" w:line="18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are an “emerging growth company,” as defined in Section 2(a) of the Securities Act, as modified by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9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187" w:lineRule="exact"/>
        <w:rPr>
          <w:sz w:val="20"/>
          <w:szCs w:val="20"/>
          <w:color w:val="auto"/>
        </w:rPr>
      </w:pPr>
    </w:p>
    <w:p>
      <w:pPr>
        <w:jc w:val="both"/>
        <w:ind w:right="20" w:firstLine="324"/>
        <w:spacing w:after="0" w:line="291" w:lineRule="auto"/>
        <w:rPr>
          <w:sz w:val="20"/>
          <w:szCs w:val="20"/>
          <w:color w:val="auto"/>
        </w:rPr>
      </w:pPr>
      <w:r>
        <w:rPr>
          <w:rFonts w:ascii="Arial" w:cs="Arial" w:eastAsia="Arial" w:hAnsi="Arial"/>
          <w:sz w:val="16"/>
          <w:szCs w:val="16"/>
          <w:color w:val="auto"/>
        </w:rPr>
        <w:t>We will remain an emerging growth company until the earlier of (1) the last day of the fiscal year (a) following the fifth anniversary of the completion of this offering, (b) in which we have total annual gross revenue of at least $1.07 billion, or (c) in which we are deemed to be a large accelerated filer,</w:t>
      </w:r>
    </w:p>
    <w:p>
      <w:pPr>
        <w:jc w:val="both"/>
        <w:spacing w:after="0" w:line="221" w:lineRule="auto"/>
        <w:rPr>
          <w:sz w:val="20"/>
          <w:szCs w:val="20"/>
          <w:color w:val="auto"/>
        </w:rPr>
      </w:pPr>
      <w:r>
        <w:rPr>
          <w:rFonts w:ascii="Arial" w:cs="Arial" w:eastAsia="Arial" w:hAnsi="Arial"/>
          <w:sz w:val="18"/>
          <w:szCs w:val="18"/>
          <w:color w:val="auto"/>
        </w:rPr>
        <w:t>which means the market value of our common stock that is held by non-affiliates exceeds $700 million as of the prior June 30</w:t>
      </w:r>
      <w:r>
        <w:rPr>
          <w:rFonts w:ascii="Arial" w:cs="Arial" w:eastAsia="Arial" w:hAnsi="Arial"/>
          <w:sz w:val="29"/>
          <w:szCs w:val="29"/>
          <w:color w:val="auto"/>
          <w:vertAlign w:val="superscript"/>
        </w:rPr>
        <w:t>th</w:t>
      </w:r>
      <w:r>
        <w:rPr>
          <w:rFonts w:ascii="Arial" w:cs="Arial" w:eastAsia="Arial" w:hAnsi="Arial"/>
          <w:sz w:val="18"/>
          <w:szCs w:val="18"/>
          <w:color w:val="auto"/>
        </w:rPr>
        <w:t>, and (2) the date on which we have issued more than $1.0 billion in non-convertible debt securities during the prior three-year period. References herein to “emerging growth company” shall have the meaning associated with it in the JOBS Act.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There is no material litigation, arbitration or governmental proceeding currently pending against us or any of our officers or directors in their capacity as such, and we and our officers and directors have not been subject to any such proceeding in the 12 months preceding the date of this prospectus.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to Offerings of Blank Check Companies Subject to Rule 419</w:t>
      </w:r>
    </w:p>
    <w:p>
      <w:pPr>
        <w:spacing w:after="0" w:line="229"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following table compares and contrasts the terms of our offering and the terms of an offering of blank check companies under Rule 419 promulgated by the SEC assuming that the gross proceeds, underwriting discounts and underwriting expenses for the Rule 419 offering are the same as this offering and that the underwriters will not exercise their over-allotment option. None of the terms of a Rule 419 offering will apply to this offering because we will be listed on a national securities exchange, we will have net tangible assets in excess of $5,000,001 upon the successful consummation of this offering and will file a Current Report on Form 8-K, including an audited balance sheet demonstrating this fact.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3" w:name="page74"/>
    <w:bookmarkEnd w:id="73"/>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Escrow of offering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of net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80" w:hanging="179"/>
        <w:spacing w:after="0" w:line="282" w:lineRule="auto"/>
        <w:rPr>
          <w:sz w:val="20"/>
          <w:szCs w:val="20"/>
          <w:color w:val="auto"/>
        </w:rPr>
      </w:pPr>
      <w:r>
        <w:rPr>
          <w:rFonts w:ascii="Arial" w:cs="Arial" w:eastAsia="Arial" w:hAnsi="Arial"/>
          <w:sz w:val="18"/>
          <w:szCs w:val="18"/>
          <w:b w:val="1"/>
          <w:bCs w:val="1"/>
          <w:color w:val="auto"/>
        </w:rPr>
        <w:t>Limitation on fair value or net assets of target business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Trading of common stock issued</w:t>
      </w:r>
    </w:p>
    <w:p>
      <w:pPr>
        <w:spacing w:after="0" w:line="20" w:lineRule="exact"/>
        <w:rPr>
          <w:sz w:val="20"/>
          <w:szCs w:val="20"/>
          <w:color w:val="auto"/>
        </w:rPr>
      </w:pPr>
      <w:r>
        <w:rPr>
          <w:sz w:val="20"/>
          <w:szCs w:val="20"/>
          <w:color w:val="auto"/>
        </w:rPr>
        <w:br w:type="column"/>
      </w:r>
    </w:p>
    <w:p>
      <w:pPr>
        <w:ind w:left="1020"/>
        <w:spacing w:after="0"/>
        <w:tabs>
          <w:tab w:leader="none" w:pos="4580" w:val="left"/>
        </w:tabs>
        <w:rPr>
          <w:sz w:val="20"/>
          <w:szCs w:val="20"/>
          <w:color w:val="auto"/>
        </w:rPr>
      </w:pPr>
      <w:r>
        <w:rPr>
          <w:rFonts w:ascii="Arial" w:cs="Arial" w:eastAsia="Arial" w:hAnsi="Arial"/>
          <w:sz w:val="18"/>
          <w:szCs w:val="18"/>
          <w:b w:val="1"/>
          <w:bCs w:val="1"/>
          <w:color w:val="auto"/>
        </w:rPr>
        <w:t>Terms of the Offering</w:t>
      </w:r>
      <w:r>
        <w:rPr>
          <w:sz w:val="20"/>
          <w:szCs w:val="20"/>
          <w:color w:val="auto"/>
        </w:rPr>
        <w:tab/>
      </w:r>
      <w:r>
        <w:rPr>
          <w:rFonts w:ascii="Arial" w:cs="Arial" w:eastAsia="Arial" w:hAnsi="Arial"/>
          <w:sz w:val="16"/>
          <w:szCs w:val="16"/>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505777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057775" cy="17145"/>
                    </a:xfrm>
                    <a:prstGeom prst="rect">
                      <a:avLst/>
                    </a:prstGeom>
                    <a:noFill/>
                  </pic:spPr>
                </pic:pic>
              </a:graphicData>
            </a:graphic>
          </wp:anchor>
        </w:drawing>
      </w:r>
    </w:p>
    <w:p>
      <w:pPr>
        <w:spacing w:after="0" w:line="2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$125,000,000 of the net offering proceeds and $105,637,500 of the offering proceeds would be required proceeds from the sale of the private shares will be to be deposited into either an escrow account with an deposited into a trust account in the United States, insured depositary institution or in a separate bank maintained by Continental Stock Transfer &amp; Trust account established by a broker-dealer in which the</w:t>
      </w:r>
    </w:p>
    <w:p>
      <w:pPr>
        <w:spacing w:after="0" w:line="2" w:lineRule="exact"/>
        <w:rPr>
          <w:sz w:val="20"/>
          <w:szCs w:val="20"/>
          <w:color w:val="auto"/>
        </w:rPr>
      </w:pPr>
    </w:p>
    <w:p>
      <w:pPr>
        <w:jc w:val="both"/>
        <w:ind w:left="3820" w:hanging="3819"/>
        <w:spacing w:after="0" w:line="260" w:lineRule="auto"/>
        <w:tabs>
          <w:tab w:leader="none" w:pos="3800" w:val="left"/>
        </w:tabs>
        <w:rPr>
          <w:sz w:val="20"/>
          <w:szCs w:val="20"/>
          <w:color w:val="auto"/>
        </w:rPr>
      </w:pPr>
      <w:r>
        <w:rPr>
          <w:rFonts w:ascii="Arial" w:cs="Arial" w:eastAsia="Arial" w:hAnsi="Arial"/>
          <w:sz w:val="18"/>
          <w:szCs w:val="18"/>
          <w:color w:val="auto"/>
        </w:rPr>
        <w:t>Company, acting as trustee.</w:t>
      </w:r>
      <w:r>
        <w:rPr>
          <w:sz w:val="20"/>
          <w:szCs w:val="20"/>
          <w:color w:val="auto"/>
        </w:rPr>
        <w:tab/>
      </w:r>
      <w:r>
        <w:rPr>
          <w:rFonts w:ascii="Arial" w:cs="Arial" w:eastAsia="Arial" w:hAnsi="Arial"/>
          <w:sz w:val="18"/>
          <w:szCs w:val="18"/>
          <w:color w:val="auto"/>
        </w:rPr>
        <w:t>broker-dealer acts as trustee for persons having the beneficial interests in the account.</w:t>
      </w:r>
    </w:p>
    <w:p>
      <w:pPr>
        <w:spacing w:after="0" w:line="10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$125,000,000 of the net offering proceeds and Proceeds could be invested only in specified securities proceeds from the sale of the private shares held in such as a money market fund meeting conditions of the trust will only be invested in United States Investment Company Act of 1940 or in securities that are government treasury bills, bonds or notes with a direct obligations of, or obligations guaranteed as to maturity of 185 days or less or in money market principal or interest by, the United States. funds meeting the applicable conditions under Rule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2a-7 promulgated under the Investment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Act of 1940 and that invest solely in United States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government treasuries.</w:t>
      </w:r>
    </w:p>
    <w:p>
      <w:pPr>
        <w:spacing w:after="0" w:line="13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initial target business that we acquire must We would be restricted from acquiring a target business have a fair market value equal to at least 80% of unless the fair value of such business or net assets to be the balance in our trust account net of taxes acquired represent at least 80% of the maximum offering payable at the time of the execution of a definitive proceeds. agreement for our initial business combination.</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The common stock may commence trading on or No trading of the common stock would be permitted</w:t>
      </w:r>
    </w:p>
    <w:p>
      <w:pPr>
        <w:spacing w:after="0" w:line="35" w:lineRule="exact"/>
        <w:rPr>
          <w:sz w:val="20"/>
          <w:szCs w:val="20"/>
          <w:color w:val="auto"/>
        </w:rPr>
      </w:pPr>
    </w:p>
    <w:p>
      <w:pPr>
        <w:jc w:val="both"/>
        <w:ind w:left="3820" w:hanging="3819"/>
        <w:spacing w:after="0" w:line="255" w:lineRule="auto"/>
        <w:tabs>
          <w:tab w:leader="none" w:pos="3800" w:val="left"/>
        </w:tabs>
        <w:rPr>
          <w:sz w:val="20"/>
          <w:szCs w:val="20"/>
          <w:color w:val="auto"/>
        </w:rPr>
      </w:pPr>
      <w:r>
        <w:rPr>
          <w:rFonts w:ascii="Arial" w:cs="Arial" w:eastAsia="Arial" w:hAnsi="Arial"/>
          <w:sz w:val="18"/>
          <w:szCs w:val="18"/>
          <w:color w:val="auto"/>
        </w:rPr>
        <w:t>promptly after the date of this prospectus.</w:t>
      </w:r>
      <w:r>
        <w:rPr>
          <w:sz w:val="20"/>
          <w:szCs w:val="20"/>
          <w:color w:val="auto"/>
        </w:rPr>
        <w:tab/>
      </w:r>
      <w:r>
        <w:rPr>
          <w:rFonts w:ascii="Arial" w:cs="Arial" w:eastAsia="Arial" w:hAnsi="Arial"/>
          <w:sz w:val="18"/>
          <w:szCs w:val="18"/>
          <w:color w:val="auto"/>
        </w:rPr>
        <w:t>until the completion of a business combination. During this period, the common stock would be held in the escrow or trust account.</w:t>
      </w:r>
    </w:p>
    <w:p>
      <w:pPr>
        <w:spacing w:after="0" w:line="200" w:lineRule="exact"/>
        <w:rPr>
          <w:sz w:val="20"/>
          <w:szCs w:val="20"/>
          <w:color w:val="auto"/>
        </w:rPr>
      </w:pPr>
    </w:p>
    <w:p>
      <w:pPr>
        <w:sectPr>
          <w:pgSz w:w="11900" w:h="16838" w:orient="portrait"/>
          <w:cols w:equalWidth="0" w:num="2">
            <w:col w:w="3020" w:space="260"/>
            <w:col w:w="7960"/>
          </w:cols>
          <w:pgMar w:left="320" w:top="1093" w:right="339" w:bottom="1052" w:gutter="0" w:footer="0" w:header="0"/>
        </w:sectPr>
      </w:pP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280" w:type="dxa"/>
            <w:vAlign w:val="bottom"/>
          </w:tcPr>
          <w:p>
            <w:pPr>
              <w:spacing w:after="0"/>
              <w:rPr>
                <w:sz w:val="20"/>
                <w:szCs w:val="20"/>
                <w:color w:val="auto"/>
              </w:rPr>
            </w:pPr>
          </w:p>
        </w:tc>
        <w:tc>
          <w:tcPr>
            <w:tcW w:w="3700" w:type="dxa"/>
            <w:vAlign w:val="bottom"/>
            <w:tcBorders>
              <w:bottom w:val="single" w:sz="8" w:color="auto"/>
            </w:tcBorders>
          </w:tcPr>
          <w:p>
            <w:pPr>
              <w:ind w:left="1020"/>
              <w:spacing w:after="0"/>
              <w:rPr>
                <w:sz w:val="20"/>
                <w:szCs w:val="20"/>
                <w:color w:val="auto"/>
              </w:rPr>
            </w:pPr>
            <w:r>
              <w:rPr>
                <w:rFonts w:ascii="Arial" w:cs="Arial" w:eastAsia="Arial" w:hAnsi="Arial"/>
                <w:sz w:val="18"/>
                <w:szCs w:val="18"/>
                <w:b w:val="1"/>
                <w:bCs w:val="1"/>
                <w:color w:val="auto"/>
              </w:rPr>
              <w:t>Terms of the Offering</w:t>
            </w:r>
          </w:p>
        </w:tc>
        <w:tc>
          <w:tcPr>
            <w:tcW w:w="120" w:type="dxa"/>
            <w:vAlign w:val="bottom"/>
          </w:tcPr>
          <w:p>
            <w:pPr>
              <w:spacing w:after="0"/>
              <w:rPr>
                <w:sz w:val="20"/>
                <w:szCs w:val="20"/>
                <w:color w:val="auto"/>
              </w:rPr>
            </w:pPr>
          </w:p>
        </w:tc>
        <w:tc>
          <w:tcPr>
            <w:tcW w:w="4140" w:type="dxa"/>
            <w:vAlign w:val="bottom"/>
            <w:tcBorders>
              <w:bottom w:val="single" w:sz="8" w:color="auto"/>
            </w:tcBorders>
          </w:tcPr>
          <w:p>
            <w:pPr>
              <w:ind w:left="780"/>
              <w:spacing w:after="0"/>
              <w:rPr>
                <w:sz w:val="20"/>
                <w:szCs w:val="20"/>
                <w:color w:val="auto"/>
              </w:rPr>
            </w:pPr>
            <w:r>
              <w:rPr>
                <w:rFonts w:ascii="Arial" w:cs="Arial" w:eastAsia="Arial" w:hAnsi="Arial"/>
                <w:sz w:val="18"/>
                <w:szCs w:val="18"/>
                <w:b w:val="1"/>
                <w:bCs w:val="1"/>
                <w:color w:val="auto"/>
              </w:rPr>
              <w:t>Terms Under a Rule 419 Offering</w:t>
            </w:r>
          </w:p>
        </w:tc>
      </w:tr>
      <w:tr>
        <w:trPr>
          <w:trHeight w:val="337"/>
        </w:trPr>
        <w:tc>
          <w:tcPr>
            <w:tcW w:w="3280" w:type="dxa"/>
            <w:vAlign w:val="bottom"/>
          </w:tcPr>
          <w:p>
            <w:pPr>
              <w:spacing w:after="0"/>
              <w:rPr>
                <w:sz w:val="20"/>
                <w:szCs w:val="20"/>
                <w:color w:val="auto"/>
              </w:rPr>
            </w:pPr>
            <w:r>
              <w:rPr>
                <w:rFonts w:ascii="Arial" w:cs="Arial" w:eastAsia="Arial" w:hAnsi="Arial"/>
                <w:sz w:val="18"/>
                <w:szCs w:val="18"/>
                <w:b w:val="1"/>
                <w:bCs w:val="1"/>
                <w:color w:val="auto"/>
              </w:rPr>
              <w:t>Election to remain an investor</w:t>
            </w:r>
          </w:p>
        </w:tc>
        <w:tc>
          <w:tcPr>
            <w:tcW w:w="3700" w:type="dxa"/>
            <w:vAlign w:val="bottom"/>
          </w:tcPr>
          <w:p>
            <w:pPr>
              <w:spacing w:after="0"/>
              <w:rPr>
                <w:sz w:val="20"/>
                <w:szCs w:val="20"/>
                <w:color w:val="auto"/>
              </w:rPr>
            </w:pPr>
            <w:r>
              <w:rPr>
                <w:rFonts w:ascii="Arial" w:cs="Arial" w:eastAsia="Arial" w:hAnsi="Arial"/>
                <w:sz w:val="18"/>
                <w:szCs w:val="18"/>
                <w:color w:val="auto"/>
                <w:w w:val="98"/>
              </w:rPr>
              <w:t>We  will  either  (1)  give  our  stockholders  the</w:t>
            </w:r>
          </w:p>
        </w:tc>
        <w:tc>
          <w:tcPr>
            <w:tcW w:w="4260" w:type="dxa"/>
            <w:vAlign w:val="bottom"/>
            <w:gridSpan w:val="2"/>
          </w:tcPr>
          <w:p>
            <w:pPr>
              <w:ind w:left="120"/>
              <w:spacing w:after="0"/>
              <w:rPr>
                <w:sz w:val="20"/>
                <w:szCs w:val="20"/>
                <w:color w:val="auto"/>
              </w:rPr>
            </w:pPr>
            <w:r>
              <w:rPr>
                <w:rFonts w:ascii="Arial" w:cs="Arial" w:eastAsia="Arial" w:hAnsi="Arial"/>
                <w:sz w:val="18"/>
                <w:szCs w:val="18"/>
                <w:color w:val="auto"/>
              </w:rPr>
              <w:t>A prospectus containing information required by the</w:t>
            </w:r>
          </w:p>
        </w:tc>
      </w:tr>
      <w:tr>
        <w:trPr>
          <w:trHeight w:val="216"/>
        </w:trPr>
        <w:tc>
          <w:tcPr>
            <w:tcW w:w="32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1"/>
              </w:rPr>
              <w:t>opportunity to vote on the business combination or</w:t>
            </w:r>
          </w:p>
        </w:tc>
        <w:tc>
          <w:tcPr>
            <w:tcW w:w="4260" w:type="dxa"/>
            <w:vAlign w:val="bottom"/>
            <w:gridSpan w:val="2"/>
          </w:tcPr>
          <w:p>
            <w:pPr>
              <w:ind w:left="120"/>
              <w:spacing w:after="0"/>
              <w:rPr>
                <w:sz w:val="20"/>
                <w:szCs w:val="20"/>
                <w:color w:val="auto"/>
              </w:rPr>
            </w:pPr>
            <w:r>
              <w:rPr>
                <w:rFonts w:ascii="Arial" w:cs="Arial" w:eastAsia="Arial" w:hAnsi="Arial"/>
                <w:sz w:val="18"/>
                <w:szCs w:val="18"/>
                <w:color w:val="auto"/>
                <w:w w:val="90"/>
              </w:rPr>
              <w:t>SEC would be sent to each investor. Each investor would</w:t>
            </w:r>
          </w:p>
        </w:tc>
      </w:tr>
      <w:tr>
        <w:trPr>
          <w:trHeight w:val="216"/>
        </w:trPr>
        <w:tc>
          <w:tcPr>
            <w:tcW w:w="32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8"/>
              </w:rPr>
              <w:t>(2)  provide  our  public  stockholders  with  the</w:t>
            </w:r>
          </w:p>
        </w:tc>
        <w:tc>
          <w:tcPr>
            <w:tcW w:w="4260" w:type="dxa"/>
            <w:vAlign w:val="bottom"/>
            <w:gridSpan w:val="2"/>
          </w:tcPr>
          <w:p>
            <w:pPr>
              <w:ind w:left="120"/>
              <w:spacing w:after="0"/>
              <w:rPr>
                <w:sz w:val="20"/>
                <w:szCs w:val="20"/>
                <w:color w:val="auto"/>
              </w:rPr>
            </w:pPr>
            <w:r>
              <w:rPr>
                <w:rFonts w:ascii="Arial" w:cs="Arial" w:eastAsia="Arial" w:hAnsi="Arial"/>
                <w:sz w:val="18"/>
                <w:szCs w:val="18"/>
                <w:color w:val="auto"/>
              </w:rPr>
              <w:t>be given the opportunity to notify the company, in</w:t>
            </w:r>
          </w:p>
        </w:tc>
      </w:tr>
      <w:tr>
        <w:trPr>
          <w:trHeight w:val="216"/>
        </w:trPr>
        <w:tc>
          <w:tcPr>
            <w:tcW w:w="32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9"/>
              </w:rPr>
              <w:t>opportunity to sell their public shares to us in a</w:t>
            </w:r>
          </w:p>
        </w:tc>
        <w:tc>
          <w:tcPr>
            <w:tcW w:w="4260" w:type="dxa"/>
            <w:vAlign w:val="bottom"/>
            <w:gridSpan w:val="2"/>
          </w:tcPr>
          <w:p>
            <w:pPr>
              <w:ind w:left="120"/>
              <w:spacing w:after="0"/>
              <w:rPr>
                <w:sz w:val="20"/>
                <w:szCs w:val="20"/>
                <w:color w:val="auto"/>
              </w:rPr>
            </w:pPr>
            <w:r>
              <w:rPr>
                <w:rFonts w:ascii="Arial" w:cs="Arial" w:eastAsia="Arial" w:hAnsi="Arial"/>
                <w:sz w:val="18"/>
                <w:szCs w:val="18"/>
                <w:color w:val="auto"/>
                <w:w w:val="92"/>
              </w:rPr>
              <w:t>writing, within a period of no less than 20 business days</w:t>
            </w:r>
          </w:p>
        </w:tc>
      </w:tr>
      <w:tr>
        <w:trPr>
          <w:trHeight w:val="216"/>
        </w:trPr>
        <w:tc>
          <w:tcPr>
            <w:tcW w:w="32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0"/>
              </w:rPr>
              <w:t xml:space="preserve">tender offer for cash equal to their </w:t>
            </w:r>
            <w:r>
              <w:rPr>
                <w:rFonts w:ascii="Arial" w:cs="Arial" w:eastAsia="Arial" w:hAnsi="Arial"/>
                <w:sz w:val="18"/>
                <w:szCs w:val="18"/>
                <w:i w:val="1"/>
                <w:iCs w:val="1"/>
                <w:color w:val="auto"/>
                <w:w w:val="90"/>
              </w:rPr>
              <w:t>pro rata</w:t>
            </w:r>
            <w:r>
              <w:rPr>
                <w:rFonts w:ascii="Arial" w:cs="Arial" w:eastAsia="Arial" w:hAnsi="Arial"/>
                <w:sz w:val="18"/>
                <w:szCs w:val="18"/>
                <w:color w:val="auto"/>
                <w:w w:val="90"/>
              </w:rPr>
              <w:t xml:space="preserve"> share of</w:t>
            </w:r>
          </w:p>
        </w:tc>
        <w:tc>
          <w:tcPr>
            <w:tcW w:w="4260" w:type="dxa"/>
            <w:vAlign w:val="bottom"/>
            <w:gridSpan w:val="2"/>
          </w:tcPr>
          <w:p>
            <w:pPr>
              <w:ind w:left="120"/>
              <w:spacing w:after="0"/>
              <w:rPr>
                <w:sz w:val="20"/>
                <w:szCs w:val="20"/>
                <w:color w:val="auto"/>
              </w:rPr>
            </w:pPr>
            <w:r>
              <w:rPr>
                <w:rFonts w:ascii="Arial" w:cs="Arial" w:eastAsia="Arial" w:hAnsi="Arial"/>
                <w:sz w:val="18"/>
                <w:szCs w:val="18"/>
                <w:color w:val="auto"/>
                <w:w w:val="96"/>
              </w:rPr>
              <w:t>and no more than 45 business days from the effective</w:t>
            </w:r>
          </w:p>
        </w:tc>
      </w:tr>
      <w:tr>
        <w:trPr>
          <w:trHeight w:val="216"/>
        </w:trPr>
        <w:tc>
          <w:tcPr>
            <w:tcW w:w="32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3"/>
              </w:rPr>
              <w:t>the aggregate amount then on deposit in the trust</w:t>
            </w:r>
          </w:p>
        </w:tc>
        <w:tc>
          <w:tcPr>
            <w:tcW w:w="4260" w:type="dxa"/>
            <w:vAlign w:val="bottom"/>
            <w:gridSpan w:val="2"/>
          </w:tcPr>
          <w:p>
            <w:pPr>
              <w:ind w:left="120"/>
              <w:spacing w:after="0"/>
              <w:rPr>
                <w:sz w:val="20"/>
                <w:szCs w:val="20"/>
                <w:color w:val="auto"/>
              </w:rPr>
            </w:pPr>
            <w:r>
              <w:rPr>
                <w:rFonts w:ascii="Arial" w:cs="Arial" w:eastAsia="Arial" w:hAnsi="Arial"/>
                <w:sz w:val="18"/>
                <w:szCs w:val="18"/>
                <w:color w:val="auto"/>
                <w:w w:val="91"/>
              </w:rPr>
              <w:t>date of the post-effective amendment, to decide whether</w:t>
            </w:r>
          </w:p>
        </w:tc>
      </w:tr>
      <w:tr>
        <w:trPr>
          <w:trHeight w:val="216"/>
        </w:trPr>
        <w:tc>
          <w:tcPr>
            <w:tcW w:w="32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5"/>
              </w:rPr>
              <w:t>account,  less  taxes.  If  we  hold  a  meeting  to</w:t>
            </w:r>
          </w:p>
        </w:tc>
        <w:tc>
          <w:tcPr>
            <w:tcW w:w="4260" w:type="dxa"/>
            <w:vAlign w:val="bottom"/>
            <w:gridSpan w:val="2"/>
          </w:tcPr>
          <w:p>
            <w:pPr>
              <w:ind w:left="120"/>
              <w:spacing w:after="0"/>
              <w:rPr>
                <w:sz w:val="20"/>
                <w:szCs w:val="20"/>
                <w:color w:val="auto"/>
              </w:rPr>
            </w:pPr>
            <w:r>
              <w:rPr>
                <w:rFonts w:ascii="Arial" w:cs="Arial" w:eastAsia="Arial" w:hAnsi="Arial"/>
                <w:sz w:val="18"/>
                <w:szCs w:val="18"/>
                <w:color w:val="auto"/>
                <w:w w:val="92"/>
              </w:rPr>
              <w:t>he or she elects to remain a stockholder of the company</w:t>
            </w:r>
          </w:p>
        </w:tc>
      </w:tr>
      <w:tr>
        <w:trPr>
          <w:trHeight w:val="216"/>
        </w:trPr>
        <w:tc>
          <w:tcPr>
            <w:tcW w:w="32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1"/>
              </w:rPr>
              <w:t>approve a proposed business combination, we will</w:t>
            </w:r>
          </w:p>
        </w:tc>
        <w:tc>
          <w:tcPr>
            <w:tcW w:w="4260" w:type="dxa"/>
            <w:vAlign w:val="bottom"/>
            <w:gridSpan w:val="2"/>
          </w:tcPr>
          <w:p>
            <w:pPr>
              <w:ind w:left="120"/>
              <w:spacing w:after="0"/>
              <w:rPr>
                <w:sz w:val="20"/>
                <w:szCs w:val="20"/>
                <w:color w:val="auto"/>
              </w:rPr>
            </w:pPr>
            <w:r>
              <w:rPr>
                <w:rFonts w:ascii="Arial" w:cs="Arial" w:eastAsia="Arial" w:hAnsi="Arial"/>
                <w:sz w:val="18"/>
                <w:szCs w:val="18"/>
                <w:color w:val="auto"/>
              </w:rPr>
              <w:t>or require the return of his or her investment. If the</w:t>
            </w:r>
          </w:p>
        </w:tc>
      </w:tr>
      <w:tr>
        <w:trPr>
          <w:trHeight w:val="216"/>
        </w:trPr>
        <w:tc>
          <w:tcPr>
            <w:tcW w:w="32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send  each  stockholder  a  proxy  statement</w:t>
            </w:r>
          </w:p>
        </w:tc>
        <w:tc>
          <w:tcPr>
            <w:tcW w:w="4260" w:type="dxa"/>
            <w:vAlign w:val="bottom"/>
            <w:gridSpan w:val="2"/>
          </w:tcPr>
          <w:p>
            <w:pPr>
              <w:ind w:left="120"/>
              <w:spacing w:after="0"/>
              <w:rPr>
                <w:sz w:val="20"/>
                <w:szCs w:val="20"/>
                <w:color w:val="auto"/>
              </w:rPr>
            </w:pPr>
            <w:r>
              <w:rPr>
                <w:rFonts w:ascii="Arial" w:cs="Arial" w:eastAsia="Arial" w:hAnsi="Arial"/>
                <w:sz w:val="18"/>
                <w:szCs w:val="18"/>
                <w:color w:val="auto"/>
                <w:w w:val="93"/>
              </w:rPr>
              <w:t>company has not received the notification by the end of</w:t>
            </w:r>
          </w:p>
        </w:tc>
      </w:tr>
      <w:tr>
        <w:trPr>
          <w:trHeight w:val="217"/>
        </w:trPr>
        <w:tc>
          <w:tcPr>
            <w:tcW w:w="32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1"/>
              </w:rPr>
              <w:t>containing information required by the SEC. Under</w:t>
            </w:r>
          </w:p>
        </w:tc>
        <w:tc>
          <w:tcPr>
            <w:tcW w:w="4260" w:type="dxa"/>
            <w:vAlign w:val="bottom"/>
            <w:gridSpan w:val="2"/>
          </w:tcPr>
          <w:p>
            <w:pPr>
              <w:ind w:left="120"/>
              <w:spacing w:after="0" w:line="217" w:lineRule="exact"/>
              <w:rPr>
                <w:sz w:val="20"/>
                <w:szCs w:val="20"/>
                <w:color w:val="auto"/>
              </w:rPr>
            </w:pPr>
            <w:r>
              <w:rPr>
                <w:rFonts w:ascii="Arial" w:cs="Arial" w:eastAsia="Arial" w:hAnsi="Arial"/>
                <w:sz w:val="16"/>
                <w:szCs w:val="16"/>
                <w:color w:val="auto"/>
              </w:rPr>
              <w:t>the 45</w:t>
            </w:r>
            <w:r>
              <w:rPr>
                <w:rFonts w:ascii="Arial" w:cs="Arial" w:eastAsia="Arial" w:hAnsi="Arial"/>
                <w:sz w:val="25"/>
                <w:szCs w:val="25"/>
                <w:color w:val="auto"/>
                <w:vertAlign w:val="superscript"/>
              </w:rPr>
              <w:t>th</w:t>
            </w:r>
            <w:r>
              <w:rPr>
                <w:rFonts w:ascii="Arial" w:cs="Arial" w:eastAsia="Arial" w:hAnsi="Arial"/>
                <w:sz w:val="16"/>
                <w:szCs w:val="16"/>
                <w:color w:val="auto"/>
              </w:rPr>
              <w:t xml:space="preserve"> business day, funds and interest or dividends, if</w:t>
            </w:r>
          </w:p>
        </w:tc>
      </w:tr>
      <w:tr>
        <w:trPr>
          <w:trHeight w:val="216"/>
        </w:trPr>
        <w:tc>
          <w:tcPr>
            <w:tcW w:w="32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2"/>
              </w:rPr>
              <w:t>our certificate of incorporation, we must provide at</w:t>
            </w:r>
          </w:p>
        </w:tc>
        <w:tc>
          <w:tcPr>
            <w:tcW w:w="4260" w:type="dxa"/>
            <w:vAlign w:val="bottom"/>
            <w:gridSpan w:val="2"/>
          </w:tcPr>
          <w:p>
            <w:pPr>
              <w:ind w:left="120"/>
              <w:spacing w:after="0"/>
              <w:rPr>
                <w:sz w:val="20"/>
                <w:szCs w:val="20"/>
                <w:color w:val="auto"/>
              </w:rPr>
            </w:pPr>
            <w:r>
              <w:rPr>
                <w:rFonts w:ascii="Arial" w:cs="Arial" w:eastAsia="Arial" w:hAnsi="Arial"/>
                <w:sz w:val="18"/>
                <w:szCs w:val="18"/>
                <w:color w:val="auto"/>
              </w:rPr>
              <w:t>any,  held  in  the  trust  or  escrow  account  would</w:t>
            </w:r>
          </w:p>
        </w:tc>
      </w:tr>
      <w:tr>
        <w:trPr>
          <w:trHeight w:val="216"/>
        </w:trPr>
        <w:tc>
          <w:tcPr>
            <w:tcW w:w="32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8"/>
              </w:rPr>
              <w:t>least 10 days advance notice of any meeting of</w:t>
            </w:r>
          </w:p>
        </w:tc>
        <w:tc>
          <w:tcPr>
            <w:tcW w:w="4260" w:type="dxa"/>
            <w:vAlign w:val="bottom"/>
            <w:gridSpan w:val="2"/>
          </w:tcPr>
          <w:p>
            <w:pPr>
              <w:ind w:left="120"/>
              <w:spacing w:after="0"/>
              <w:rPr>
                <w:sz w:val="20"/>
                <w:szCs w:val="20"/>
                <w:color w:val="auto"/>
              </w:rPr>
            </w:pPr>
            <w:r>
              <w:rPr>
                <w:rFonts w:ascii="Arial" w:cs="Arial" w:eastAsia="Arial" w:hAnsi="Arial"/>
                <w:sz w:val="18"/>
                <w:szCs w:val="18"/>
                <w:color w:val="auto"/>
                <w:w w:val="95"/>
              </w:rPr>
              <w:t>automatically be returned to the stockholder. Unless a</w:t>
            </w:r>
          </w:p>
        </w:tc>
      </w:tr>
      <w:tr>
        <w:trPr>
          <w:trHeight w:val="216"/>
        </w:trPr>
        <w:tc>
          <w:tcPr>
            <w:tcW w:w="32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9"/>
              </w:rPr>
              <w:t>stockholders. Accordingly, this is the minimum</w:t>
            </w:r>
          </w:p>
        </w:tc>
        <w:tc>
          <w:tcPr>
            <w:tcW w:w="4260" w:type="dxa"/>
            <w:vAlign w:val="bottom"/>
            <w:gridSpan w:val="2"/>
          </w:tcPr>
          <w:p>
            <w:pPr>
              <w:ind w:left="120"/>
              <w:spacing w:after="0"/>
              <w:rPr>
                <w:sz w:val="20"/>
                <w:szCs w:val="20"/>
                <w:color w:val="auto"/>
              </w:rPr>
            </w:pPr>
            <w:r>
              <w:rPr>
                <w:rFonts w:ascii="Arial" w:cs="Arial" w:eastAsia="Arial" w:hAnsi="Arial"/>
                <w:sz w:val="18"/>
                <w:szCs w:val="18"/>
                <w:color w:val="auto"/>
                <w:w w:val="93"/>
              </w:rPr>
              <w:t>sufficient number of investors elect to remain investors,</w:t>
            </w:r>
          </w:p>
        </w:tc>
      </w:tr>
      <w:tr>
        <w:trPr>
          <w:trHeight w:val="216"/>
        </w:trPr>
        <w:tc>
          <w:tcPr>
            <w:tcW w:w="32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3"/>
              </w:rPr>
              <w:t>amount of time we would need to provide holders</w:t>
            </w:r>
          </w:p>
        </w:tc>
        <w:tc>
          <w:tcPr>
            <w:tcW w:w="4260" w:type="dxa"/>
            <w:vAlign w:val="bottom"/>
            <w:gridSpan w:val="2"/>
          </w:tcPr>
          <w:p>
            <w:pPr>
              <w:ind w:left="120"/>
              <w:spacing w:after="0"/>
              <w:rPr>
                <w:sz w:val="20"/>
                <w:szCs w:val="20"/>
                <w:color w:val="auto"/>
              </w:rPr>
            </w:pPr>
            <w:r>
              <w:rPr>
                <w:rFonts w:ascii="Arial" w:cs="Arial" w:eastAsia="Arial" w:hAnsi="Arial"/>
                <w:sz w:val="18"/>
                <w:szCs w:val="18"/>
                <w:color w:val="auto"/>
                <w:w w:val="91"/>
              </w:rPr>
              <w:t>all of the deposited funds in the escrow account must be</w:t>
            </w:r>
          </w:p>
        </w:tc>
      </w:tr>
      <w:tr>
        <w:trPr>
          <w:trHeight w:val="216"/>
        </w:trPr>
        <w:tc>
          <w:tcPr>
            <w:tcW w:w="32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9"/>
              </w:rPr>
              <w:t>to determine whether to exercise their rights to</w:t>
            </w:r>
          </w:p>
        </w:tc>
        <w:tc>
          <w:tcPr>
            <w:tcW w:w="4260" w:type="dxa"/>
            <w:vAlign w:val="bottom"/>
            <w:gridSpan w:val="2"/>
          </w:tcPr>
          <w:p>
            <w:pPr>
              <w:ind w:left="120"/>
              <w:spacing w:after="0"/>
              <w:rPr>
                <w:sz w:val="20"/>
                <w:szCs w:val="20"/>
                <w:color w:val="auto"/>
              </w:rPr>
            </w:pPr>
            <w:r>
              <w:rPr>
                <w:rFonts w:ascii="Arial" w:cs="Arial" w:eastAsia="Arial" w:hAnsi="Arial"/>
                <w:sz w:val="18"/>
                <w:szCs w:val="18"/>
                <w:color w:val="auto"/>
                <w:w w:val="90"/>
              </w:rPr>
              <w:t>returned to all investors and none of the securities will be</w:t>
            </w:r>
          </w:p>
        </w:tc>
      </w:tr>
      <w:tr>
        <w:trPr>
          <w:trHeight w:val="216"/>
        </w:trPr>
        <w:tc>
          <w:tcPr>
            <w:tcW w:w="32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1"/>
              </w:rPr>
              <w:t>convert their shares into cash at such a meeting or</w:t>
            </w:r>
          </w:p>
        </w:tc>
        <w:tc>
          <w:tcPr>
            <w:tcW w:w="4260" w:type="dxa"/>
            <w:vAlign w:val="bottom"/>
            <w:gridSpan w:val="2"/>
          </w:tcPr>
          <w:p>
            <w:pPr>
              <w:ind w:left="120"/>
              <w:spacing w:after="0"/>
              <w:rPr>
                <w:sz w:val="20"/>
                <w:szCs w:val="20"/>
                <w:color w:val="auto"/>
              </w:rPr>
            </w:pPr>
            <w:r>
              <w:rPr>
                <w:rFonts w:ascii="Arial" w:cs="Arial" w:eastAsia="Arial" w:hAnsi="Arial"/>
                <w:sz w:val="18"/>
                <w:szCs w:val="18"/>
                <w:color w:val="auto"/>
              </w:rPr>
              <w:t>issued.</w:t>
            </w:r>
          </w:p>
        </w:tc>
      </w:tr>
      <w:tr>
        <w:trPr>
          <w:trHeight w:val="215"/>
        </w:trPr>
        <w:tc>
          <w:tcPr>
            <w:tcW w:w="32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to  remain  an  investor  in  our  company.</w:t>
            </w:r>
          </w:p>
        </w:tc>
        <w:tc>
          <w:tcPr>
            <w:tcW w:w="120" w:type="dxa"/>
            <w:vAlign w:val="bottom"/>
          </w:tcPr>
          <w:p>
            <w:pPr>
              <w:spacing w:after="0"/>
              <w:rPr>
                <w:sz w:val="18"/>
                <w:szCs w:val="18"/>
                <w:color w:val="auto"/>
              </w:rPr>
            </w:pPr>
          </w:p>
        </w:tc>
        <w:tc>
          <w:tcPr>
            <w:tcW w:w="414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Alternatively, if we do not hold a meeting and</w:t>
            </w:r>
          </w:p>
        </w:tc>
        <w:tc>
          <w:tcPr>
            <w:tcW w:w="120" w:type="dxa"/>
            <w:vAlign w:val="bottom"/>
          </w:tcPr>
          <w:p>
            <w:pPr>
              <w:spacing w:after="0"/>
              <w:rPr>
                <w:sz w:val="18"/>
                <w:szCs w:val="18"/>
                <w:color w:val="auto"/>
              </w:rPr>
            </w:pPr>
          </w:p>
        </w:tc>
        <w:tc>
          <w:tcPr>
            <w:tcW w:w="414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9"/>
              </w:rPr>
              <w:t>instead conduct a tender offer, we will conduct</w:t>
            </w:r>
          </w:p>
        </w:tc>
        <w:tc>
          <w:tcPr>
            <w:tcW w:w="120" w:type="dxa"/>
            <w:vAlign w:val="bottom"/>
          </w:tcPr>
          <w:p>
            <w:pPr>
              <w:spacing w:after="0"/>
              <w:rPr>
                <w:sz w:val="18"/>
                <w:szCs w:val="18"/>
                <w:color w:val="auto"/>
              </w:rPr>
            </w:pPr>
          </w:p>
        </w:tc>
        <w:tc>
          <w:tcPr>
            <w:tcW w:w="414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8"/>
              </w:rPr>
              <w:t>such tender offer in accordance with the tender</w:t>
            </w:r>
          </w:p>
        </w:tc>
        <w:tc>
          <w:tcPr>
            <w:tcW w:w="120" w:type="dxa"/>
            <w:vAlign w:val="bottom"/>
          </w:tcPr>
          <w:p>
            <w:pPr>
              <w:spacing w:after="0"/>
              <w:rPr>
                <w:sz w:val="18"/>
                <w:szCs w:val="18"/>
                <w:color w:val="auto"/>
              </w:rPr>
            </w:pPr>
          </w:p>
        </w:tc>
        <w:tc>
          <w:tcPr>
            <w:tcW w:w="414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8"/>
              </w:rPr>
              <w:t>offer  rules  of  the  SEC  and  file  tender  offer</w:t>
            </w:r>
          </w:p>
        </w:tc>
        <w:tc>
          <w:tcPr>
            <w:tcW w:w="120" w:type="dxa"/>
            <w:vAlign w:val="bottom"/>
          </w:tcPr>
          <w:p>
            <w:pPr>
              <w:spacing w:after="0"/>
              <w:rPr>
                <w:sz w:val="18"/>
                <w:szCs w:val="18"/>
                <w:color w:val="auto"/>
              </w:rPr>
            </w:pPr>
          </w:p>
        </w:tc>
        <w:tc>
          <w:tcPr>
            <w:tcW w:w="414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9"/>
              </w:rPr>
              <w:t>documents  with  the  SEC  which  will  contain</w:t>
            </w:r>
          </w:p>
        </w:tc>
        <w:tc>
          <w:tcPr>
            <w:tcW w:w="120" w:type="dxa"/>
            <w:vAlign w:val="bottom"/>
          </w:tcPr>
          <w:p>
            <w:pPr>
              <w:spacing w:after="0"/>
              <w:rPr>
                <w:sz w:val="18"/>
                <w:szCs w:val="18"/>
                <w:color w:val="auto"/>
              </w:rPr>
            </w:pPr>
          </w:p>
        </w:tc>
        <w:tc>
          <w:tcPr>
            <w:tcW w:w="414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substantially  the  same  financial  and  other</w:t>
            </w:r>
          </w:p>
        </w:tc>
        <w:tc>
          <w:tcPr>
            <w:tcW w:w="120" w:type="dxa"/>
            <w:vAlign w:val="bottom"/>
          </w:tcPr>
          <w:p>
            <w:pPr>
              <w:spacing w:after="0"/>
              <w:rPr>
                <w:sz w:val="18"/>
                <w:szCs w:val="18"/>
                <w:color w:val="auto"/>
              </w:rPr>
            </w:pPr>
          </w:p>
        </w:tc>
        <w:tc>
          <w:tcPr>
            <w:tcW w:w="414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3"/>
              </w:rPr>
              <w:t>information about the initial business combination</w:t>
            </w:r>
          </w:p>
        </w:tc>
        <w:tc>
          <w:tcPr>
            <w:tcW w:w="120" w:type="dxa"/>
            <w:vAlign w:val="bottom"/>
          </w:tcPr>
          <w:p>
            <w:pPr>
              <w:spacing w:after="0"/>
              <w:rPr>
                <w:sz w:val="18"/>
                <w:szCs w:val="18"/>
                <w:color w:val="auto"/>
              </w:rPr>
            </w:pPr>
          </w:p>
        </w:tc>
        <w:tc>
          <w:tcPr>
            <w:tcW w:w="4140" w:type="dxa"/>
            <w:vAlign w:val="bottom"/>
          </w:tcPr>
          <w:p>
            <w:pPr>
              <w:spacing w:after="0"/>
              <w:rPr>
                <w:sz w:val="18"/>
                <w:szCs w:val="18"/>
                <w:color w:val="auto"/>
              </w:rPr>
            </w:pPr>
          </w:p>
        </w:tc>
      </w:tr>
      <w:tr>
        <w:trPr>
          <w:trHeight w:val="230"/>
        </w:trPr>
        <w:tc>
          <w:tcPr>
            <w:tcW w:w="328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5"/>
              </w:rPr>
              <w:t>as we would have included in a proxy statement.</w:t>
            </w:r>
          </w:p>
        </w:tc>
        <w:tc>
          <w:tcPr>
            <w:tcW w:w="120" w:type="dxa"/>
            <w:vAlign w:val="bottom"/>
          </w:tcPr>
          <w:p>
            <w:pPr>
              <w:spacing w:after="0"/>
              <w:rPr>
                <w:sz w:val="20"/>
                <w:szCs w:val="20"/>
                <w:color w:val="auto"/>
              </w:rPr>
            </w:pPr>
          </w:p>
        </w:tc>
        <w:tc>
          <w:tcPr>
            <w:tcW w:w="4140" w:type="dxa"/>
            <w:vAlign w:val="bottom"/>
          </w:tcPr>
          <w:p>
            <w:pPr>
              <w:spacing w:after="0"/>
              <w:rPr>
                <w:sz w:val="20"/>
                <w:szCs w:val="20"/>
                <w:color w:val="auto"/>
              </w:rPr>
            </w:pPr>
          </w:p>
        </w:tc>
      </w:tr>
      <w:tr>
        <w:trPr>
          <w:trHeight w:val="337"/>
        </w:trPr>
        <w:tc>
          <w:tcPr>
            <w:tcW w:w="3280" w:type="dxa"/>
            <w:vAlign w:val="bottom"/>
          </w:tcPr>
          <w:p>
            <w:pPr>
              <w:spacing w:after="0"/>
              <w:rPr>
                <w:sz w:val="24"/>
                <w:szCs w:val="24"/>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1"/>
              </w:rPr>
              <w:t>The tender offer rules require us to hold the tender</w:t>
            </w:r>
          </w:p>
        </w:tc>
        <w:tc>
          <w:tcPr>
            <w:tcW w:w="12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216"/>
        </w:trPr>
        <w:tc>
          <w:tcPr>
            <w:tcW w:w="32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offer  open  for  at  least  20  business  days.</w:t>
            </w:r>
          </w:p>
        </w:tc>
        <w:tc>
          <w:tcPr>
            <w:tcW w:w="120" w:type="dxa"/>
            <w:vAlign w:val="bottom"/>
          </w:tcPr>
          <w:p>
            <w:pPr>
              <w:spacing w:after="0"/>
              <w:rPr>
                <w:sz w:val="18"/>
                <w:szCs w:val="18"/>
                <w:color w:val="auto"/>
              </w:rPr>
            </w:pPr>
          </w:p>
        </w:tc>
        <w:tc>
          <w:tcPr>
            <w:tcW w:w="414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6"/>
              </w:rPr>
              <w:t>Accordingly, this is the minimum amount of time</w:t>
            </w:r>
          </w:p>
        </w:tc>
        <w:tc>
          <w:tcPr>
            <w:tcW w:w="120" w:type="dxa"/>
            <w:vAlign w:val="bottom"/>
          </w:tcPr>
          <w:p>
            <w:pPr>
              <w:spacing w:after="0"/>
              <w:rPr>
                <w:sz w:val="18"/>
                <w:szCs w:val="18"/>
                <w:color w:val="auto"/>
              </w:rPr>
            </w:pPr>
          </w:p>
        </w:tc>
        <w:tc>
          <w:tcPr>
            <w:tcW w:w="414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8"/>
              </w:rPr>
              <w:t>we would need to provide holders to determine</w:t>
            </w:r>
          </w:p>
        </w:tc>
        <w:tc>
          <w:tcPr>
            <w:tcW w:w="120" w:type="dxa"/>
            <w:vAlign w:val="bottom"/>
          </w:tcPr>
          <w:p>
            <w:pPr>
              <w:spacing w:after="0"/>
              <w:rPr>
                <w:sz w:val="18"/>
                <w:szCs w:val="18"/>
                <w:color w:val="auto"/>
              </w:rPr>
            </w:pPr>
          </w:p>
        </w:tc>
        <w:tc>
          <w:tcPr>
            <w:tcW w:w="414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4"/>
              </w:rPr>
              <w:t>whether they want to sell their shares to us in the</w:t>
            </w:r>
          </w:p>
        </w:tc>
        <w:tc>
          <w:tcPr>
            <w:tcW w:w="120" w:type="dxa"/>
            <w:vAlign w:val="bottom"/>
          </w:tcPr>
          <w:p>
            <w:pPr>
              <w:spacing w:after="0"/>
              <w:rPr>
                <w:sz w:val="18"/>
                <w:szCs w:val="18"/>
                <w:color w:val="auto"/>
              </w:rPr>
            </w:pPr>
          </w:p>
        </w:tc>
        <w:tc>
          <w:tcPr>
            <w:tcW w:w="4140" w:type="dxa"/>
            <w:vAlign w:val="bottom"/>
          </w:tcPr>
          <w:p>
            <w:pPr>
              <w:spacing w:after="0"/>
              <w:rPr>
                <w:sz w:val="18"/>
                <w:szCs w:val="18"/>
                <w:color w:val="auto"/>
              </w:rPr>
            </w:pPr>
          </w:p>
        </w:tc>
      </w:tr>
      <w:tr>
        <w:trPr>
          <w:trHeight w:val="230"/>
        </w:trPr>
        <w:tc>
          <w:tcPr>
            <w:tcW w:w="328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2"/>
              </w:rPr>
              <w:t>tender offer or remain an investor in our company.</w:t>
            </w:r>
          </w:p>
        </w:tc>
        <w:tc>
          <w:tcPr>
            <w:tcW w:w="120" w:type="dxa"/>
            <w:vAlign w:val="bottom"/>
          </w:tcPr>
          <w:p>
            <w:pPr>
              <w:spacing w:after="0"/>
              <w:rPr>
                <w:sz w:val="20"/>
                <w:szCs w:val="20"/>
                <w:color w:val="auto"/>
              </w:rPr>
            </w:pPr>
          </w:p>
        </w:tc>
        <w:tc>
          <w:tcPr>
            <w:tcW w:w="4140" w:type="dxa"/>
            <w:vAlign w:val="bottom"/>
          </w:tcPr>
          <w:p>
            <w:pPr>
              <w:spacing w:after="0"/>
              <w:rPr>
                <w:sz w:val="20"/>
                <w:szCs w:val="20"/>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3" w:right="339" w:bottom="1052" w:gutter="0" w:footer="0" w:header="0"/>
          <w:type w:val="continuous"/>
        </w:sectPr>
      </w:pPr>
    </w:p>
    <w:bookmarkStart w:id="74" w:name="page75"/>
    <w:bookmarkEnd w:id="74"/>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 deadline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80" w:hanging="179"/>
        <w:spacing w:after="0" w:line="282" w:lineRule="auto"/>
        <w:rPr>
          <w:sz w:val="20"/>
          <w:szCs w:val="20"/>
          <w:color w:val="auto"/>
        </w:rPr>
      </w:pPr>
      <w:r>
        <w:rPr>
          <w:rFonts w:ascii="Arial" w:cs="Arial" w:eastAsia="Arial" w:hAnsi="Arial"/>
          <w:sz w:val="18"/>
          <w:szCs w:val="18"/>
          <w:b w:val="1"/>
          <w:bCs w:val="1"/>
          <w:color w:val="auto"/>
        </w:rPr>
        <w:t>Interest earned on the funds in the trust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Release of funds</w:t>
      </w:r>
    </w:p>
    <w:p>
      <w:pPr>
        <w:spacing w:after="0" w:line="20" w:lineRule="exact"/>
        <w:rPr>
          <w:sz w:val="20"/>
          <w:szCs w:val="20"/>
          <w:color w:val="auto"/>
        </w:rPr>
      </w:pPr>
      <w:r>
        <w:rPr>
          <w:sz w:val="20"/>
          <w:szCs w:val="20"/>
          <w:color w:val="auto"/>
        </w:rPr>
        <w:br w:type="column"/>
      </w:r>
    </w:p>
    <w:p>
      <w:pPr>
        <w:ind w:left="1020"/>
        <w:spacing w:after="0"/>
        <w:tabs>
          <w:tab w:leader="none" w:pos="4580" w:val="left"/>
        </w:tabs>
        <w:rPr>
          <w:sz w:val="20"/>
          <w:szCs w:val="20"/>
          <w:color w:val="auto"/>
        </w:rPr>
      </w:pPr>
      <w:r>
        <w:rPr>
          <w:rFonts w:ascii="Arial" w:cs="Arial" w:eastAsia="Arial" w:hAnsi="Arial"/>
          <w:sz w:val="18"/>
          <w:szCs w:val="18"/>
          <w:b w:val="1"/>
          <w:bCs w:val="1"/>
          <w:color w:val="auto"/>
        </w:rPr>
        <w:t>Terms of the Offering</w:t>
      </w:r>
      <w:r>
        <w:rPr>
          <w:sz w:val="20"/>
          <w:szCs w:val="20"/>
          <w:color w:val="auto"/>
        </w:rPr>
        <w:tab/>
      </w:r>
      <w:r>
        <w:rPr>
          <w:rFonts w:ascii="Arial" w:cs="Arial" w:eastAsia="Arial" w:hAnsi="Arial"/>
          <w:sz w:val="16"/>
          <w:szCs w:val="16"/>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505777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057775" cy="17145"/>
                    </a:xfrm>
                    <a:prstGeom prst="rect">
                      <a:avLst/>
                    </a:prstGeom>
                    <a:noFill/>
                  </pic:spPr>
                </pic:pic>
              </a:graphicData>
            </a:graphic>
          </wp:anchor>
        </w:drawing>
      </w:r>
    </w:p>
    <w:p>
      <w:pPr>
        <w:spacing w:after="0" w:line="2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Pursuant to our certificate of incorporation, if we If an acquisition has not been consummated within 18 do not complete an initial business combination months after the effective date of the initial registration within 24 months from the consummation of this statement, funds held in the trust or escrow account offering, it will trigger our automatic winding up, would be returned to investors. dissolution and liquidation.</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There can be released to us, from time to time, (i)  All interest earned on the funds in the trust account will</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any interest earned on the funds in the trust account be held in trust for the benefit of public stockholders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that we may need to pay our tax obligations. The until  the  earlier  of  the  completion  of  a  business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remaining interest earned on the funds in the trust combination and our liquidation upon failure to effect 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account will not be released until the earlier of the business combination within the allotted time.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completion of a business combination and our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entry  into  liquidation  upon  failure  to  effect  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business combination within the allotted time.</w:t>
      </w:r>
    </w:p>
    <w:p>
      <w:pPr>
        <w:spacing w:after="0" w:line="13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Except for interest earned on the funds held in the The proceeds held in the escrow account would not be trust account that may be released to us to pay our released until the earlier of the completion of a business tax obligations, the proceeds held in the trust combination or the failure to effect a business account will not be released until the earlier of the combination within the allotted time. completion of a business combination (in which</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case, the proceeds released to us will be net of the</w:t>
      </w:r>
    </w:p>
    <w:p>
      <w:pPr>
        <w:spacing w:after="0" w:line="9" w:lineRule="exact"/>
        <w:rPr>
          <w:sz w:val="20"/>
          <w:szCs w:val="20"/>
          <w:color w:val="auto"/>
        </w:rPr>
      </w:pPr>
    </w:p>
    <w:p>
      <w:pPr>
        <w:spacing w:after="0"/>
        <w:tabs>
          <w:tab w:leader="none" w:pos="540" w:val="left"/>
          <w:tab w:leader="none" w:pos="1020" w:val="left"/>
          <w:tab w:leader="none" w:pos="1340" w:val="left"/>
          <w:tab w:leader="none" w:pos="1760" w:val="left"/>
          <w:tab w:leader="none" w:pos="2680" w:val="left"/>
          <w:tab w:leader="none" w:pos="3000" w:val="left"/>
        </w:tabs>
        <w:rPr>
          <w:sz w:val="20"/>
          <w:szCs w:val="20"/>
          <w:color w:val="auto"/>
        </w:rPr>
      </w:pPr>
      <w:r>
        <w:rPr>
          <w:rFonts w:ascii="Arial" w:cs="Arial" w:eastAsia="Arial" w:hAnsi="Arial"/>
          <w:sz w:val="18"/>
          <w:szCs w:val="18"/>
          <w:color w:val="auto"/>
        </w:rPr>
        <w:t>funds</w:t>
        <w:tab/>
        <w:t>used</w:t>
        <w:tab/>
        <w:t>to</w:t>
        <w:tab/>
        <w:t>pay</w:t>
        <w:tab/>
        <w:t>converting</w:t>
        <w:tab/>
        <w:t>or</w:t>
      </w:r>
      <w:r>
        <w:rPr>
          <w:sz w:val="20"/>
          <w:szCs w:val="20"/>
          <w:color w:val="auto"/>
        </w:rPr>
        <w:tab/>
      </w:r>
      <w:r>
        <w:rPr>
          <w:rFonts w:ascii="Arial" w:cs="Arial" w:eastAsia="Arial" w:hAnsi="Arial"/>
          <w:sz w:val="16"/>
          <w:szCs w:val="16"/>
          <w:color w:val="auto"/>
        </w:rPr>
        <w:t>tendering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stockholders, as the trustee will directly send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appropriate portion of the amount held in trust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converting or tendering stockholders at the time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the business combination) and the liquidation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our trust account upon failure to effect a business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combination within the allotted time.</w:t>
      </w:r>
    </w:p>
    <w:p>
      <w:pPr>
        <w:spacing w:after="0" w:line="200" w:lineRule="exact"/>
        <w:rPr>
          <w:sz w:val="20"/>
          <w:szCs w:val="20"/>
          <w:color w:val="auto"/>
        </w:rPr>
      </w:pPr>
    </w:p>
    <w:p>
      <w:pPr>
        <w:sectPr>
          <w:pgSz w:w="11900" w:h="16838" w:orient="portrait"/>
          <w:cols w:equalWidth="0" w:num="2">
            <w:col w:w="3060" w:space="220"/>
            <w:col w:w="7960"/>
          </w:cols>
          <w:pgMar w:left="320" w:top="1093" w:right="339" w:bottom="1440" w:gutter="0" w:footer="0" w:header="0"/>
        </w:sect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type w:val="continuous"/>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Director Nominees and Executive Officers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current directors, director nominees and executive officers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20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Age</w:t>
            </w:r>
          </w:p>
        </w:tc>
        <w:tc>
          <w:tcPr>
            <w:tcW w:w="5040" w:type="dxa"/>
            <w:vAlign w:val="bottom"/>
          </w:tcPr>
          <w:p>
            <w:pPr>
              <w:spacing w:after="0"/>
              <w:rPr>
                <w:sz w:val="20"/>
                <w:szCs w:val="20"/>
                <w:color w:val="auto"/>
              </w:rPr>
            </w:pPr>
            <w:r>
              <w:rPr>
                <w:rFonts w:ascii="Arial" w:cs="Arial" w:eastAsia="Arial" w:hAnsi="Arial"/>
                <w:sz w:val="18"/>
                <w:szCs w:val="18"/>
                <w:b w:val="1"/>
                <w:bCs w:val="1"/>
                <w:color w:val="auto"/>
              </w:rPr>
              <w:t>Position</w:t>
            </w:r>
          </w:p>
        </w:tc>
      </w:tr>
      <w:tr>
        <w:trPr>
          <w:trHeight w:val="216"/>
        </w:trPr>
        <w:tc>
          <w:tcPr>
            <w:tcW w:w="5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Aaron I. Davis</w:t>
            </w:r>
          </w:p>
        </w:tc>
        <w:tc>
          <w:tcPr>
            <w:tcW w:w="1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42</w:t>
            </w:r>
          </w:p>
        </w:tc>
        <w:tc>
          <w:tcPr>
            <w:tcW w:w="220" w:type="dxa"/>
            <w:vAlign w:val="bottom"/>
            <w:tcBorders>
              <w:top w:val="single" w:sz="8" w:color="CCEEFF"/>
            </w:tcBorders>
            <w:shd w:val="clear" w:color="auto" w:fill="CCEEFF"/>
          </w:tcPr>
          <w:p>
            <w:pPr>
              <w:spacing w:after="0"/>
              <w:rPr>
                <w:sz w:val="18"/>
                <w:szCs w:val="18"/>
                <w:color w:val="auto"/>
              </w:rPr>
            </w:pPr>
          </w:p>
        </w:tc>
        <w:tc>
          <w:tcPr>
            <w:tcW w:w="5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Chairman, Chief Executive Officer</w:t>
            </w: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Christopher Fuglesang, Ph.D., J.D.</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2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President, Director</w:t>
            </w: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Beauchamp</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30</w:t>
            </w:r>
          </w:p>
        </w:tc>
        <w:tc>
          <w:tcPr>
            <w:tcW w:w="220" w:type="dxa"/>
            <w:vAlign w:val="bottom"/>
            <w:shd w:val="clear" w:color="auto" w:fill="CCEEFF"/>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Chief Financial Officer, Treasurer</w:t>
            </w: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Andrew Ellis, M.D., J.D.</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37</w:t>
            </w:r>
          </w:p>
        </w:tc>
        <w:tc>
          <w:tcPr>
            <w:tcW w:w="2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Chief Operating Officer, Secretary</w:t>
            </w: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Carole L. Nuechterlein, J.D.</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59</w:t>
            </w:r>
          </w:p>
        </w:tc>
        <w:tc>
          <w:tcPr>
            <w:tcW w:w="220" w:type="dxa"/>
            <w:vAlign w:val="bottom"/>
            <w:shd w:val="clear" w:color="auto" w:fill="CCEEFF"/>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Director Nominee</w:t>
            </w: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Richard Heyman, Ph.D.</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62</w:t>
            </w:r>
          </w:p>
        </w:tc>
        <w:tc>
          <w:tcPr>
            <w:tcW w:w="2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Director Nominee</w:t>
            </w: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Charles M. Baum, M.D., Ph.D.</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62</w:t>
            </w:r>
          </w:p>
        </w:tc>
        <w:tc>
          <w:tcPr>
            <w:tcW w:w="220" w:type="dxa"/>
            <w:vAlign w:val="bottom"/>
            <w:shd w:val="clear" w:color="auto" w:fill="CCEEFF"/>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Director Nominee</w:t>
            </w:r>
          </w:p>
        </w:tc>
      </w:tr>
      <w:tr>
        <w:trPr>
          <w:trHeight w:val="230"/>
        </w:trPr>
        <w:tc>
          <w:tcPr>
            <w:tcW w:w="5200" w:type="dxa"/>
            <w:vAlign w:val="bottom"/>
            <w:gridSpan w:val="2"/>
          </w:tcPr>
          <w:p>
            <w:pPr>
              <w:spacing w:after="0"/>
              <w:rPr>
                <w:sz w:val="20"/>
                <w:szCs w:val="20"/>
                <w:color w:val="auto"/>
              </w:rPr>
            </w:pPr>
            <w:r>
              <w:rPr>
                <w:rFonts w:ascii="Arial" w:cs="Arial" w:eastAsia="Arial" w:hAnsi="Arial"/>
                <w:sz w:val="18"/>
                <w:szCs w:val="18"/>
                <w:color w:val="auto"/>
              </w:rPr>
              <w:t>Jamie G. Christensen, Ph.D.</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22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Director Nominee</w:t>
            </w:r>
          </w:p>
        </w:tc>
      </w:tr>
    </w:tbl>
    <w:p>
      <w:pPr>
        <w:spacing w:after="0" w:line="18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b w:val="1"/>
          <w:bCs w:val="1"/>
          <w:color w:val="auto"/>
        </w:rPr>
        <w:t xml:space="preserve">Aaron I. Davis </w:t>
      </w:r>
      <w:r>
        <w:rPr>
          <w:rFonts w:ascii="Arial" w:cs="Arial" w:eastAsia="Arial" w:hAnsi="Arial"/>
          <w:sz w:val="18"/>
          <w:szCs w:val="18"/>
          <w:color w:val="auto"/>
        </w:rPr>
        <w:t>has served as our Chief Executive Officer and Chairman of our board of directors since May 2020. Mr. Davis co-founded Boxer</w:t>
      </w:r>
      <w:r>
        <w:rPr>
          <w:rFonts w:ascii="Arial" w:cs="Arial" w:eastAsia="Arial" w:hAnsi="Arial"/>
          <w:sz w:val="18"/>
          <w:szCs w:val="18"/>
          <w:b w:val="1"/>
          <w:bCs w:val="1"/>
          <w:color w:val="auto"/>
        </w:rPr>
        <w:t xml:space="preserve"> </w:t>
      </w:r>
      <w:r>
        <w:rPr>
          <w:rFonts w:ascii="Arial" w:cs="Arial" w:eastAsia="Arial" w:hAnsi="Arial"/>
          <w:sz w:val="18"/>
          <w:szCs w:val="18"/>
          <w:color w:val="auto"/>
        </w:rPr>
        <w:t>Capital, LLC (“Boxer Capital”), the healthcare arm of the Tavistock Group, where he has served as portfolio manager since 2005 and as Chief Executive Officer since 2012. At Boxer Capital, Mr. Davis is responsible for identifying, evaluating and structuring investment opportunities in private and public biotechnology companies. Mr. Davis serves as a member of the board of directors of Mirati Therapeutics, Inc. (Nasdaq:MRTX), Odonate Therapeutics, Inc. (Nasdaq:ODT), iTeos Therapeutics, Inc. (Nasdaq:ITOS), and Sojournix, Inc. and serves as the Executive Chairman of CiVi Biopharma Holdings, Inc. Prior to joining the Tavistock Group, Mr. Davis worked in the Global Healthcare Investment Banking and Private Equity Groups at UBS Warburg, LLC. Mr. Davis received an M.A. degree in biotechnology from Columbia University and a B.B.A. degree in finance from Emory University. We believe Mr. Davis’ experience serving as a director of biotechnology companies and as a manager of funds specializing in the area of life sciences qualifies him to serve on our Board of Directors.</w:t>
      </w:r>
    </w:p>
    <w:p>
      <w:pPr>
        <w:spacing w:after="0" w:line="18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b w:val="1"/>
          <w:bCs w:val="1"/>
          <w:color w:val="auto"/>
        </w:rPr>
        <w:t xml:space="preserve">Christopher Fuglesang, Ph.D., J.D., </w:t>
      </w:r>
      <w:r>
        <w:rPr>
          <w:rFonts w:ascii="Arial" w:cs="Arial" w:eastAsia="Arial" w:hAnsi="Arial"/>
          <w:sz w:val="16"/>
          <w:szCs w:val="16"/>
          <w:color w:val="auto"/>
        </w:rPr>
        <w:t>has served as our President and as a member of our board of directors since May 2020. Dr. Fuglesang joined</w:t>
      </w:r>
      <w:r>
        <w:rPr>
          <w:rFonts w:ascii="Arial" w:cs="Arial" w:eastAsia="Arial" w:hAnsi="Arial"/>
          <w:sz w:val="16"/>
          <w:szCs w:val="16"/>
          <w:b w:val="1"/>
          <w:bCs w:val="1"/>
          <w:color w:val="auto"/>
        </w:rPr>
        <w:t xml:space="preserve"> </w:t>
      </w:r>
      <w:r>
        <w:rPr>
          <w:rFonts w:ascii="Arial" w:cs="Arial" w:eastAsia="Arial" w:hAnsi="Arial"/>
          <w:sz w:val="16"/>
          <w:szCs w:val="16"/>
          <w:color w:val="auto"/>
        </w:rPr>
        <w:t>Tavistock Group in 2005 as a vice president and was a co-founder of Boxer Capital, where he has been a managing director since 2012. At Boxer Capital, Dr. Fuglesang assists in managing the firm’s research team, deal structuring and securities compliance. Prior to joining Boxer Capital, Dr. Fuglesang was vice president at Eidogen-Sertanty, Inc., a structural proteomics software company, and an attorney at Perkins Coie LLC. Dr. Fuglesang is a member of the board of directors of Pandion Therapeutics, Inc. and CiVi Biopharma Holdings, Inc. Dr. Fuglesang served as a member of the board of directors of Kalypsys, Inc. from 2007 to 2013 and of Ambrx Inc. from 2011 to 2015. Dr. Fuglesang received a B.S. in chemistry and physics from the University of California at Los Angeles, a Ph.D. in theoretical chemical physics from the University of California at Los Angeles, and a J.D. from Boston University. We believe Dr. Fuglesang’s experience as an investor in the life sciences industry qualifies him to serve on our board of directors.</w:t>
      </w:r>
    </w:p>
    <w:p>
      <w:pPr>
        <w:spacing w:after="0" w:line="15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 xml:space="preserve">Michael Beauchamp </w:t>
      </w:r>
      <w:r>
        <w:rPr>
          <w:rFonts w:ascii="Arial" w:cs="Arial" w:eastAsia="Arial" w:hAnsi="Arial"/>
          <w:sz w:val="18"/>
          <w:szCs w:val="18"/>
          <w:color w:val="auto"/>
        </w:rPr>
        <w:t>has served as our Chief Financial Officer and Treasurer since May 2020. Mr. Beauchamp has served as Vice President of</w:t>
      </w:r>
      <w:r>
        <w:rPr>
          <w:rFonts w:ascii="Arial" w:cs="Arial" w:eastAsia="Arial" w:hAnsi="Arial"/>
          <w:sz w:val="18"/>
          <w:szCs w:val="18"/>
          <w:b w:val="1"/>
          <w:bCs w:val="1"/>
          <w:color w:val="auto"/>
        </w:rPr>
        <w:t xml:space="preserve"> </w:t>
      </w:r>
      <w:r>
        <w:rPr>
          <w:rFonts w:ascii="Arial" w:cs="Arial" w:eastAsia="Arial" w:hAnsi="Arial"/>
          <w:sz w:val="18"/>
          <w:szCs w:val="18"/>
          <w:color w:val="auto"/>
        </w:rPr>
        <w:t>Finance at Boxer Capital since January 2016, where he is responsible for the firm’s back office operations, including finance, tax, audit and administration. Prior to joining Boxer Capital, Mr. Beauchamp worked in the assurance practice at PricewaterhouseCoopers from 2012 to 2016. Mr. Beauchamp received a bachelor of accountancy degree from the University of San Diego.</w:t>
      </w:r>
    </w:p>
    <w:p>
      <w:pPr>
        <w:spacing w:after="0" w:line="18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b w:val="1"/>
          <w:bCs w:val="1"/>
          <w:color w:val="auto"/>
        </w:rPr>
        <w:t xml:space="preserve">Andrew Ellis, M.D., J.D., </w:t>
      </w:r>
      <w:r>
        <w:rPr>
          <w:rFonts w:ascii="Arial" w:cs="Arial" w:eastAsia="Arial" w:hAnsi="Arial"/>
          <w:sz w:val="18"/>
          <w:szCs w:val="18"/>
          <w:color w:val="auto"/>
        </w:rPr>
        <w:t>has served as our Chief Operating Officer and Secretary since May 2020. Dr. Ellis has served as Senior Counsel and Head</w:t>
      </w:r>
      <w:r>
        <w:rPr>
          <w:rFonts w:ascii="Arial" w:cs="Arial" w:eastAsia="Arial" w:hAnsi="Arial"/>
          <w:sz w:val="18"/>
          <w:szCs w:val="18"/>
          <w:b w:val="1"/>
          <w:bCs w:val="1"/>
          <w:color w:val="auto"/>
        </w:rPr>
        <w:t xml:space="preserve"> </w:t>
      </w:r>
      <w:r>
        <w:rPr>
          <w:rFonts w:ascii="Arial" w:cs="Arial" w:eastAsia="Arial" w:hAnsi="Arial"/>
          <w:sz w:val="18"/>
          <w:szCs w:val="18"/>
          <w:color w:val="auto"/>
        </w:rPr>
        <w:t>of Compliance at Boxer Capital since July 2018, where he is responsible for securities compliance, deal structuring and due diligence for investments in private and public healthcare companies. Prior to joining Boxer Capital, Dr. Ellis was a corporate and securities attorney at Wilson Sonsini Goodrich &amp; Rosati, P.C. from 2013 to 2018, where he worked with life sciences companies and investors on a variety of corporate transactions. Dr. Ellis received an M.D. and general surgery training at Baylor College of Medicine, a J.D. from New York University School of Law, and a B.S. degree in Biology from Baylor University.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6" w:name="page77"/>
    <w:bookmarkEnd w:id="76"/>
    <w:p>
      <w:pPr>
        <w:jc w:val="both"/>
        <w:ind w:firstLine="324"/>
        <w:spacing w:after="0" w:line="291" w:lineRule="auto"/>
        <w:rPr>
          <w:sz w:val="20"/>
          <w:szCs w:val="20"/>
          <w:color w:val="auto"/>
        </w:rPr>
      </w:pPr>
      <w:r>
        <w:rPr>
          <w:rFonts w:ascii="Arial" w:cs="Arial" w:eastAsia="Arial" w:hAnsi="Arial"/>
          <w:sz w:val="16"/>
          <w:szCs w:val="16"/>
          <w:b w:val="1"/>
          <w:bCs w:val="1"/>
          <w:color w:val="auto"/>
        </w:rPr>
        <w:t xml:space="preserve">Carole L. Nuechterlein, J.D., </w:t>
      </w:r>
      <w:r>
        <w:rPr>
          <w:rFonts w:ascii="Arial" w:cs="Arial" w:eastAsia="Arial" w:hAnsi="Arial"/>
          <w:sz w:val="16"/>
          <w:szCs w:val="16"/>
          <w:color w:val="auto"/>
        </w:rPr>
        <w:t>has agreed to serve on our board of directors following the completion of this offering. Ms. Nuechterlein joined F.</w:t>
      </w:r>
      <w:r>
        <w:rPr>
          <w:rFonts w:ascii="Arial" w:cs="Arial" w:eastAsia="Arial" w:hAnsi="Arial"/>
          <w:sz w:val="16"/>
          <w:szCs w:val="16"/>
          <w:b w:val="1"/>
          <w:bCs w:val="1"/>
          <w:color w:val="auto"/>
        </w:rPr>
        <w:t xml:space="preserve"> </w:t>
      </w:r>
      <w:r>
        <w:rPr>
          <w:rFonts w:ascii="Arial" w:cs="Arial" w:eastAsia="Arial" w:hAnsi="Arial"/>
          <w:sz w:val="16"/>
          <w:szCs w:val="16"/>
          <w:color w:val="auto"/>
        </w:rPr>
        <w:t>Hoffmann-La Roche Ltd. in 2001 and currently serves as a Deputy Director and head of Roche Venture Fund. Prior to that, from 1998 to 2001, Ms. Nuechterlein served as General Counsel for SangStat, Inc., a biopharmaceutical company. Ms. Nuechterlein has served as a member of the board of directors of Millendo Therapeutics, Inc. (Nasdaq:MLND) since March 2017. Ms. Nuechterlein serves and has served as a member of the boards of directors of a number of private biotechnology companies, including Entrada Therapeutics since April 2020, Aligos Therapeutics since August 2018, Vivet Therapeutics SAS since April 2017, CiVi BioPharma, Inc. since March 2017, Mission Therapeutics Ltd. since January 2017, Arch Oncology Inc. since August 2016 and Second Genome, Inc. since April 2016. She also served as a member of the board of directors of AveXis Inc., a biotechnology company (Nasdaq:AVXS), from October 2014 to May 2017. Ms. Nuechterlein received a B.A. from Valparaiso University and a J.D. from University of Michigan.</w:t>
      </w:r>
    </w:p>
    <w:p>
      <w:pPr>
        <w:spacing w:after="0" w:line="15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b w:val="1"/>
          <w:bCs w:val="1"/>
          <w:color w:val="auto"/>
        </w:rPr>
        <w:t xml:space="preserve">Richard Heyman, Ph.D., </w:t>
      </w:r>
      <w:r>
        <w:rPr>
          <w:rFonts w:ascii="Arial" w:cs="Arial" w:eastAsia="Arial" w:hAnsi="Arial"/>
          <w:sz w:val="17"/>
          <w:szCs w:val="17"/>
          <w:color w:val="auto"/>
        </w:rPr>
        <w:t>has agreed to serve on our board of directors following the completion of this offering. Dr. Heyman is chairman of the board</w:t>
      </w:r>
      <w:r>
        <w:rPr>
          <w:rFonts w:ascii="Arial" w:cs="Arial" w:eastAsia="Arial" w:hAnsi="Arial"/>
          <w:sz w:val="17"/>
          <w:szCs w:val="17"/>
          <w:b w:val="1"/>
          <w:bCs w:val="1"/>
          <w:color w:val="auto"/>
        </w:rPr>
        <w:t xml:space="preserve"> </w:t>
      </w:r>
      <w:r>
        <w:rPr>
          <w:rFonts w:ascii="Arial" w:cs="Arial" w:eastAsia="Arial" w:hAnsi="Arial"/>
          <w:sz w:val="17"/>
          <w:szCs w:val="17"/>
          <w:color w:val="auto"/>
        </w:rPr>
        <w:t>of directors and co-founder of Metacrine, Inc., a biotechnology company developing new therapeutics for the treatment of liver and gastrointestinal diseases. He also is on the board of directors of Gritstone Oncology, Inc. (Nasdaq:GRTS) and is the co-founder and chairman of the board of directors of ORIC Pharmaceuticals, Inc. (Nasdaq:ORIC). Previously, Dr. Heyman served as president and chief executive officer of Seragon Pharmaceuticals Inc., or Seragon, a privately-held biotechnology company, which was acquired by Genentech in 2014. Prior to Seragon, he co-founded and served as president and chief executive officer of Aragon Pharmaceuticals, Inc., or Aragon, until it was purchased by Johnson &amp; Johnson in 2013. Dr. Heyman is a venture partner for Arch Ventures and also serves on the boards of directors for private life sciences companies Yumanity Therapeutics, Inc., Vividion Therapeutics, Inc., PMV Pharmaceuticals, Inc. and Amunix Inc. He is Vice Chair of the Board of Trustees at the Salk Institute, on the Board Foundation for the American Association for Cancer Research, or AACR, and on the Board of Visitors at the University of California at San Diego Moores Cancer Center. Dr. Heyman received a B.S. in chemistry from the University of Connecticut and a Ph.D. in pharmacology from the University of Minnesota. He was an NIH post-doctoral fellow and staff scientist at the Salk Institute.</w:t>
      </w:r>
    </w:p>
    <w:p>
      <w:pPr>
        <w:spacing w:after="0" w:line="182"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b w:val="1"/>
          <w:bCs w:val="1"/>
          <w:color w:val="auto"/>
        </w:rPr>
        <w:t xml:space="preserve">Charles M. Baum, M.D., Ph.D., </w:t>
      </w:r>
      <w:r>
        <w:rPr>
          <w:rFonts w:ascii="Arial" w:cs="Arial" w:eastAsia="Arial" w:hAnsi="Arial"/>
          <w:sz w:val="16"/>
          <w:szCs w:val="16"/>
          <w:color w:val="auto"/>
        </w:rPr>
        <w:t>has agreed to serve on our board of directors following the completion of this offering. Dr. Baum has been the</w:t>
      </w:r>
      <w:r>
        <w:rPr>
          <w:rFonts w:ascii="Arial" w:cs="Arial" w:eastAsia="Arial" w:hAnsi="Arial"/>
          <w:sz w:val="16"/>
          <w:szCs w:val="16"/>
          <w:b w:val="1"/>
          <w:bCs w:val="1"/>
          <w:color w:val="auto"/>
        </w:rPr>
        <w:t xml:space="preserve"> </w:t>
      </w:r>
      <w:r>
        <w:rPr>
          <w:rFonts w:ascii="Arial" w:cs="Arial" w:eastAsia="Arial" w:hAnsi="Arial"/>
          <w:sz w:val="16"/>
          <w:szCs w:val="16"/>
          <w:color w:val="auto"/>
        </w:rPr>
        <w:t>President and Chief Executive Officer and a member of the board of directors of Mirati Therapeutics, Inc. since November 2012. From June 2003 to September 2012, he was at Pfizer as Senior Vice President for Biotherapeutic Clinical Research within Pfizer’s Worldwide Research &amp; Development division and as Vice President and Head of Oncology Development and Chief Medical Officer for Pfizer’s Biotherapeutics and Bioinnovation Center. From 2000 to 2003, he was responsible for the development of several oncology compounds at Schering-Plough Corporation (acquired by Merck). His career has included academic and hospital positions at Stanford University and Emory University, as well as positions of increasing responsibility within the pharmaceutical industry at SyStemix, Inc. (acquired by Novartis AG), G.D. Searle &amp; Company (acquired by Pfizer), Schering-Plough Corporation (acquired by Merck) and Pfizer. Dr. Baum has served on the board of directors of Immunomedics, Inc. (Nasdaq:IMMU) since February 2019 and was on the board of directors of Array BioPharma Inc. from 2014 until its acquisition by Pfizer in July 2019. Dr. Baum received his M.D. and Ph.D. (Immunology) degrees from Washington University School of Medicine in St. Louis, Missouri and completed his post-doctoral training at Stanford University.</w:t>
      </w:r>
    </w:p>
    <w:p>
      <w:pPr>
        <w:spacing w:after="0" w:line="16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b w:val="1"/>
          <w:bCs w:val="1"/>
          <w:color w:val="auto"/>
        </w:rPr>
        <w:t xml:space="preserve">Jamie G. Christensen, Ph.D., </w:t>
      </w:r>
      <w:r>
        <w:rPr>
          <w:rFonts w:ascii="Arial" w:cs="Arial" w:eastAsia="Arial" w:hAnsi="Arial"/>
          <w:sz w:val="17"/>
          <w:szCs w:val="17"/>
          <w:color w:val="auto"/>
        </w:rPr>
        <w:t>has agreed to serve on our board of directors following the completion of this offering. Dr. Christensen has been the</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 Vice President and Chief Scientific Officer of Mirati Therapeutics, Inc. since June 2013. In his role at Mirati, he is responsible for drug discovery, translational research, drug manufacturing and companion diagnostics research and teams. While at Mirati, Dr. Christensen led activities related to the discovery and advancement of the KRAS G12C inhibitor, MRTX849, as well as the spectrum-selective receptor tyrosine kinase (RTK) inhibitor, sitravatinib, through IND and clinical development. Prior to Mirati, Dr. Christensen most recently was the head of Oncology Precision Medicine and member of the executive leadership team in the Oncology Research Unit at Pfizer. While at Pfizer, Dr Christensen led key aspects of the nonclinical and clinical development of sunitinib (Sutent®), crizotinib (Xalkori®), and palbociclib (Ibrance®). Prior to his time at Pfizer, he held positions at SUGEN/Pharmacia as a Group Leader on the Preclinical Research and Exploratory Development team. Dr. Christensen initiated his industry experience at Warner Lambert/Parke-Davis with research focus in RTK biology and pathway biomarker development in the oncology therapeutic area. Dr. Christensen received his Ph.D. focusing in Molecular Pharmacology from North Carolina State University with dissertation research directed toward characterization of mechanisms of apoptosis dysregulation during the process of carcinogenesis.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Number and Terms of Office of Officers and Directors</w:t>
      </w:r>
    </w:p>
    <w:p>
      <w:pPr>
        <w:spacing w:after="0" w:line="229"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Upon consummation of this offering, we expect that our board of directors will have six members, four of whom will be deemed “independent” under SEC and Nasdaq rules. Our board of directors will be divided into three classes with only one class of directors being elected in each year and each class</w:t>
      </w:r>
    </w:p>
    <w:p>
      <w:pPr>
        <w:spacing w:after="0" w:line="250" w:lineRule="auto"/>
        <w:rPr>
          <w:sz w:val="20"/>
          <w:szCs w:val="20"/>
          <w:color w:val="auto"/>
        </w:rPr>
      </w:pPr>
      <w:r>
        <w:rPr>
          <w:rFonts w:ascii="Arial" w:cs="Arial" w:eastAsia="Arial" w:hAnsi="Arial"/>
          <w:sz w:val="18"/>
          <w:szCs w:val="18"/>
          <w:color w:val="auto"/>
        </w:rPr>
        <w:t>serving a three-year term. The term of office of the first class of directors, consisting of , , and will expire at our first annual meeting of stockholders. The term of office of the second class of directors, consisting of and , will expire at the second annual meeting. The term of office of the third class of directors, consisting of and , will expire at our third annual meeting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stockholders. We may not hold an annual meeting of stockholders until after we consummate our initial business combination.</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Pursuant to an agreement to be entered into concurrently with the issuance and sale of the securities in this offering, our sponsor, upon consummation</w:t>
      </w:r>
    </w:p>
    <w:p>
      <w:pPr>
        <w:spacing w:after="0" w:line="46" w:lineRule="exact"/>
        <w:rPr>
          <w:sz w:val="20"/>
          <w:szCs w:val="20"/>
          <w:color w:val="auto"/>
        </w:rPr>
      </w:pPr>
    </w:p>
    <w:p>
      <w:pPr>
        <w:spacing w:after="0"/>
        <w:tabs>
          <w:tab w:leader="none" w:pos="5340" w:val="left"/>
        </w:tabs>
        <w:rPr>
          <w:sz w:val="20"/>
          <w:szCs w:val="20"/>
          <w:color w:val="auto"/>
        </w:rPr>
      </w:pPr>
      <w:r>
        <w:rPr>
          <w:rFonts w:ascii="Arial" w:cs="Arial" w:eastAsia="Arial" w:hAnsi="Arial"/>
          <w:sz w:val="18"/>
          <w:szCs w:val="18"/>
          <w:color w:val="auto"/>
        </w:rPr>
        <w:t>of an initial business combination, will be entitled to nominate</w:t>
      </w:r>
      <w:r>
        <w:rPr>
          <w:sz w:val="20"/>
          <w:szCs w:val="20"/>
          <w:color w:val="auto"/>
        </w:rPr>
        <w:tab/>
      </w:r>
      <w:r>
        <w:rPr>
          <w:rFonts w:ascii="Arial" w:cs="Arial" w:eastAsia="Arial" w:hAnsi="Arial"/>
          <w:sz w:val="16"/>
          <w:szCs w:val="16"/>
          <w:color w:val="auto"/>
        </w:rPr>
        <w:t>individuals for election to our board of directors.</w:t>
      </w:r>
    </w:p>
    <w:p>
      <w:pPr>
        <w:spacing w:after="0" w:line="21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officers are appointed by the board of directors and serve at the discretion of the board of directors, rather than for specific terms of office. Our board of directors is authorized to appoint persons to the offices set forth in our bylaws as it deems appropriate. Our bylaws provide that our directors may consist of a chairman of the board, and that our officers may consist of chief executive officer, president, chief financial officer, executive vice president(s), vice president(s), secretary, treasurer and such other officers as may be determined by the board of directors.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No executive officer has received any cash compensation for services rendered to us. Commencing on the date of this prospectus through the completion of our initial business combination with a target business, we will pay to an affiliate of our sponsor a fee of $10,000 per month for providing us with office space and certain office and secretarial services. However, pursuant to the terms of such agreement, we may delay payment of such monthly fee upon a determination by our audit committee that we lack sufficient funds held outside the trust to pay actual or anticipated expenses in connection with our initial business combination. Any such unpaid amount will accrue without interest and be due and payable no later than the date of the consummation of our initial business combination. Other than the $10,000 per month administrative fee, no compensation or fees of any kind, including finder’s fees, consulting fees and other similar fees, will be paid to our insiders or any of the members of our management team, for services rendered prior to or in connection with the consummation of our initial business combination (regardless of the type of transaction that it is). However, such individuals will receive reimbursement for any out-of-pocket expenses incurred by them in connection with activities on our behalf, such as identifying potential target businesses, performing business due diligence on suitable target businesses and business combinations as well as traveling to and from the offices, plants or similar locations of prospective target businesses to examine their operations. There is no limit on the amount of out-of-pocket expenses reimbursable by us; provided, however, that to the extent such expenses exceed the available proceeds not deposited in the trust account and the interest income earned on the amounts held in the trust account, such expenses would not be reimbursed by us unless we consummate an initial business combination.</w:t>
      </w:r>
    </w:p>
    <w:p>
      <w:pPr>
        <w:spacing w:after="0" w:line="174"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After our initial business combination, members of our management team who remain with us may be paid consulting, management or other fees from the combined company with any and all amounts being fully disclosed to stockholders, to the extent then known, in the proxy solicitation materials furnished to our stockholders. It is unlikely the amount of such compensation will be known at the time of a stockholder meeting held to consider our initial business combination, as it will be up to the directors of the post-combination business to determine executive and director compensation. In this event, such compensation will be publicly disclosed at the time of its determination in a Current Report on Form 8-K, as required by the SEC.</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Nasdaq listing standards require that within one year of the listing of our securities on the Nasdaq Capital Market we have at least three independent directors and that a majority of our board of directors be independent. An “independent director” is defined generally as a person other than an officer or employee of the company or its subsidiaries or any other individual having a relationship which in the opinion of the company’s board of directors, would interfere with the director’s exercise of independent judgment in carrying out the responsibilities of a director. Our Board of Directors had determined that</w:t>
      </w:r>
    </w:p>
    <w:p>
      <w:pPr>
        <w:spacing w:after="0" w:line="1" w:lineRule="exact"/>
        <w:rPr>
          <w:sz w:val="20"/>
          <w:szCs w:val="20"/>
          <w:color w:val="auto"/>
        </w:rPr>
      </w:pPr>
    </w:p>
    <w:p>
      <w:pPr>
        <w:ind w:firstLine="1191"/>
        <w:spacing w:after="0" w:line="260" w:lineRule="auto"/>
        <w:tabs>
          <w:tab w:leader="none" w:pos="2518" w:val="left"/>
        </w:tabs>
        <w:numPr>
          <w:ilvl w:val="0"/>
          <w:numId w:val="34"/>
        </w:numPr>
        <w:rPr>
          <w:rFonts w:ascii="Arial" w:cs="Arial" w:eastAsia="Arial" w:hAnsi="Arial"/>
          <w:sz w:val="18"/>
          <w:szCs w:val="18"/>
          <w:color w:val="auto"/>
        </w:rPr>
      </w:pPr>
      <w:r>
        <w:rPr>
          <w:rFonts w:ascii="Arial" w:cs="Arial" w:eastAsia="Arial" w:hAnsi="Arial"/>
          <w:sz w:val="18"/>
          <w:szCs w:val="18"/>
          <w:color w:val="auto"/>
        </w:rPr>
        <w:t>, and are “independent directors” as defined in the Nasdaq listing standards and applicable SEC rules. Our independent directors will have regularly scheduled meetings at which only independent directors are present.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8" w:name="page79"/>
    <w:bookmarkEnd w:id="78"/>
    <w:p>
      <w:pPr>
        <w:jc w:val="both"/>
        <w:ind w:firstLine="324"/>
        <w:spacing w:after="0" w:line="263" w:lineRule="auto"/>
        <w:rPr>
          <w:sz w:val="20"/>
          <w:szCs w:val="20"/>
          <w:color w:val="auto"/>
        </w:rPr>
      </w:pPr>
      <w:r>
        <w:rPr>
          <w:rFonts w:ascii="Arial" w:cs="Arial" w:eastAsia="Arial" w:hAnsi="Arial"/>
          <w:sz w:val="18"/>
          <w:szCs w:val="18"/>
          <w:color w:val="auto"/>
        </w:rPr>
        <w:t>We will only enter into a business combination if it is approved by a majority of our independent directors. Additionally, we will only enter into transactions with our officers and directors and their respective affiliates that are on terms no less favorable to us than could be obtained from independent parties. Any related-party transactions must be approved by our audit committee and a majority of disinterested directors.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229"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Effective as of the date of this prospectus, we will establish an audit committee of the board of directors, which will consist of , and , each of whom is an independent director. will serve as chairman of the audit committee. The audit committee’s duties, which are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specified in our Audit Committee Charter, include, but are not limited to:</w:t>
      </w:r>
    </w:p>
    <w:p>
      <w:pPr>
        <w:spacing w:after="0" w:line="211" w:lineRule="exact"/>
        <w:rPr>
          <w:sz w:val="20"/>
          <w:szCs w:val="20"/>
          <w:color w:val="auto"/>
        </w:rPr>
      </w:pPr>
    </w:p>
    <w:p>
      <w:pPr>
        <w:ind w:left="660" w:hanging="319"/>
        <w:spacing w:after="0" w:line="277" w:lineRule="auto"/>
        <w:tabs>
          <w:tab w:leader="none" w:pos="640" w:val="left"/>
        </w:tabs>
        <w:rPr>
          <w:sz w:val="20"/>
          <w:szCs w:val="20"/>
          <w:color w:val="auto"/>
        </w:rPr>
      </w:pPr>
      <w:r>
        <w:rPr>
          <w:rFonts w:ascii="Arial" w:cs="Arial" w:eastAsia="Arial" w:hAnsi="Arial"/>
          <w:sz w:val="18"/>
          <w:szCs w:val="18"/>
          <w:color w:val="auto"/>
        </w:rPr>
        <w:t>●</w:t>
        <w:tab/>
        <w:t>reviewing and discussing with management and the independent auditor the annual audited financial statements, and recommending to the board whether the audited financial statements should be included in our Form 10-K;</w:t>
      </w:r>
    </w:p>
    <w:p>
      <w:pPr>
        <w:spacing w:after="0" w:line="170" w:lineRule="exact"/>
        <w:rPr>
          <w:sz w:val="20"/>
          <w:szCs w:val="20"/>
          <w:color w:val="auto"/>
        </w:rPr>
      </w:pPr>
    </w:p>
    <w:p>
      <w:pPr>
        <w:ind w:left="660" w:hanging="319"/>
        <w:spacing w:after="0" w:line="277" w:lineRule="auto"/>
        <w:tabs>
          <w:tab w:leader="none" w:pos="640" w:val="left"/>
        </w:tabs>
        <w:rPr>
          <w:sz w:val="20"/>
          <w:szCs w:val="20"/>
          <w:color w:val="auto"/>
        </w:rPr>
      </w:pPr>
      <w:r>
        <w:rPr>
          <w:rFonts w:ascii="Arial" w:cs="Arial" w:eastAsia="Arial" w:hAnsi="Arial"/>
          <w:sz w:val="18"/>
          <w:szCs w:val="18"/>
          <w:color w:val="auto"/>
        </w:rPr>
        <w:t>●</w:t>
        <w:tab/>
        <w:t>discussing with management and the independent auditor significant financial reporting issues and judgments made in connection with the preparation of our financial statements;</w:t>
      </w:r>
    </w:p>
    <w:p>
      <w:pPr>
        <w:spacing w:after="0" w:line="170" w:lineRule="exact"/>
        <w:rPr>
          <w:sz w:val="20"/>
          <w:szCs w:val="20"/>
          <w:color w:val="auto"/>
        </w:rPr>
      </w:pPr>
    </w:p>
    <w:p>
      <w:pPr>
        <w:ind w:left="340" w:right="4640"/>
        <w:spacing w:after="0" w:line="500" w:lineRule="auto"/>
        <w:rPr>
          <w:sz w:val="20"/>
          <w:szCs w:val="20"/>
          <w:color w:val="auto"/>
        </w:rPr>
      </w:pPr>
      <w:r>
        <w:rPr>
          <w:rFonts w:ascii="Arial" w:cs="Arial" w:eastAsia="Arial" w:hAnsi="Arial"/>
          <w:sz w:val="18"/>
          <w:szCs w:val="18"/>
          <w:color w:val="auto"/>
        </w:rPr>
        <w:t>● discussing with management major risk assessment and risk management policies; ● monitoring the independence of the independent auditor;</w:t>
      </w:r>
    </w:p>
    <w:p>
      <w:pPr>
        <w:spacing w:after="0" w:line="2" w:lineRule="exact"/>
        <w:rPr>
          <w:sz w:val="20"/>
          <w:szCs w:val="20"/>
          <w:color w:val="auto"/>
        </w:rPr>
      </w:pPr>
    </w:p>
    <w:p>
      <w:pPr>
        <w:ind w:left="660" w:hanging="319"/>
        <w:spacing w:after="0" w:line="277" w:lineRule="auto"/>
        <w:tabs>
          <w:tab w:leader="none" w:pos="640" w:val="left"/>
        </w:tabs>
        <w:rPr>
          <w:sz w:val="20"/>
          <w:szCs w:val="20"/>
          <w:color w:val="auto"/>
        </w:rPr>
      </w:pPr>
      <w:r>
        <w:rPr>
          <w:rFonts w:ascii="Arial" w:cs="Arial" w:eastAsia="Arial" w:hAnsi="Arial"/>
          <w:sz w:val="18"/>
          <w:szCs w:val="18"/>
          <w:color w:val="auto"/>
        </w:rPr>
        <w:t>●</w:t>
        <w:tab/>
        <w:t>verifying the rotation of the lead (or coordinating) audit partner having primary responsibility for the audit and the audit partner responsible for reviewing the audit as required by law;</w:t>
      </w:r>
    </w:p>
    <w:p>
      <w:pPr>
        <w:spacing w:after="0" w:line="170"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color w:val="auto"/>
        </w:rPr>
        <w:t>●</w:t>
        <w:tab/>
        <w:t>reviewing and approving all related-party transactions;</w:t>
      </w:r>
    </w:p>
    <w:p>
      <w:pPr>
        <w:spacing w:after="0" w:line="225"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color w:val="auto"/>
        </w:rPr>
        <w:t>●</w:t>
        <w:tab/>
        <w:t>inquiring and discussing with management our compliance with applicable laws and regulations;</w:t>
      </w:r>
    </w:p>
    <w:p>
      <w:pPr>
        <w:spacing w:after="0" w:line="225" w:lineRule="exact"/>
        <w:rPr>
          <w:sz w:val="20"/>
          <w:szCs w:val="20"/>
          <w:color w:val="auto"/>
        </w:rPr>
      </w:pPr>
    </w:p>
    <w:p>
      <w:pPr>
        <w:ind w:left="660" w:right="20" w:hanging="319"/>
        <w:spacing w:after="0" w:line="277" w:lineRule="auto"/>
        <w:tabs>
          <w:tab w:leader="none" w:pos="640" w:val="left"/>
        </w:tabs>
        <w:rPr>
          <w:sz w:val="20"/>
          <w:szCs w:val="20"/>
          <w:color w:val="auto"/>
        </w:rPr>
      </w:pPr>
      <w:r>
        <w:rPr>
          <w:rFonts w:ascii="Arial" w:cs="Arial" w:eastAsia="Arial" w:hAnsi="Arial"/>
          <w:sz w:val="18"/>
          <w:szCs w:val="18"/>
          <w:color w:val="auto"/>
        </w:rPr>
        <w:t>●</w:t>
        <w:tab/>
        <w:t>pre-approving all audit services and permitted non-audit services to be performed by our independent auditor, including the fees and terms of the services to be performed;</w:t>
      </w:r>
    </w:p>
    <w:p>
      <w:pPr>
        <w:spacing w:after="0" w:line="170"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color w:val="auto"/>
        </w:rPr>
        <w:t>●</w:t>
        <w:tab/>
        <w:t>appointing or replacing the independent auditor;</w:t>
      </w:r>
    </w:p>
    <w:p>
      <w:pPr>
        <w:spacing w:after="0" w:line="225" w:lineRule="exact"/>
        <w:rPr>
          <w:sz w:val="20"/>
          <w:szCs w:val="20"/>
          <w:color w:val="auto"/>
        </w:rPr>
      </w:pPr>
    </w:p>
    <w:p>
      <w:pPr>
        <w:ind w:left="660" w:right="20" w:hanging="319"/>
        <w:spacing w:after="0" w:line="342" w:lineRule="auto"/>
        <w:tabs>
          <w:tab w:leader="none" w:pos="640" w:val="left"/>
        </w:tabs>
        <w:rPr>
          <w:sz w:val="20"/>
          <w:szCs w:val="20"/>
          <w:color w:val="auto"/>
        </w:rPr>
      </w:pPr>
      <w:r>
        <w:rPr>
          <w:rFonts w:ascii="Arial" w:cs="Arial" w:eastAsia="Arial" w:hAnsi="Arial"/>
          <w:sz w:val="16"/>
          <w:szCs w:val="16"/>
          <w:color w:val="auto"/>
        </w:rPr>
        <w:t>●</w:t>
        <w:tab/>
        <w:t>determining the compensation and oversight of the work of the independent auditor (including resolution of disagreements between management and the independent auditor regarding financial reporting) for the purpose of preparing or issuing an audit report or related work;</w:t>
      </w:r>
    </w:p>
    <w:p>
      <w:pPr>
        <w:spacing w:after="0" w:line="124" w:lineRule="exact"/>
        <w:rPr>
          <w:sz w:val="20"/>
          <w:szCs w:val="20"/>
          <w:color w:val="auto"/>
        </w:rPr>
      </w:pPr>
    </w:p>
    <w:p>
      <w:pPr>
        <w:ind w:left="660" w:hanging="319"/>
        <w:spacing w:after="0" w:line="277" w:lineRule="auto"/>
        <w:tabs>
          <w:tab w:leader="none" w:pos="640" w:val="left"/>
        </w:tabs>
        <w:rPr>
          <w:sz w:val="20"/>
          <w:szCs w:val="20"/>
          <w:color w:val="auto"/>
        </w:rPr>
      </w:pPr>
      <w:r>
        <w:rPr>
          <w:rFonts w:ascii="Arial" w:cs="Arial" w:eastAsia="Arial" w:hAnsi="Arial"/>
          <w:sz w:val="18"/>
          <w:szCs w:val="18"/>
          <w:color w:val="auto"/>
        </w:rPr>
        <w:t>●</w:t>
        <w:tab/>
        <w:t>establishing procedures for the receipt, retention and treatment of complaints received by us regarding accounting, internal accounting controls or reports which raise material issues regarding our financial statements or accounting policies; and</w:t>
      </w:r>
    </w:p>
    <w:p>
      <w:pPr>
        <w:spacing w:after="0" w:line="170"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color w:val="auto"/>
        </w:rPr>
        <w:t>●</w:t>
        <w:tab/>
        <w:t>approving reimbursement of expenses incurred by our management team in identifying potential target businesses.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Experts on Audit Committee</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audit committee will at all times be composed exclusively of “independent directors” who are “financially literate” as defined under the Nasdaq listing standards. The Nasdaq listing standards define “financially literate” as being able to read and understand fundamental financial statements, including a company’s balance sheet, income statement and cash flow statement.</w:t>
      </w:r>
    </w:p>
    <w:p>
      <w:pPr>
        <w:spacing w:after="0" w:line="1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we must certify to Nasdaq that the committee has, and will continue to have, at least one member who has past employment experience in finance or accounting, requisite professional certification in accounting, or other comparable experience or background that results in the individual’s financial sophistication. The board of directors has determined that qualifies as an “audit committee financial expert,” as defined under rules and regulations of the SEC.</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t>Nominating Committee</w:t>
      </w:r>
    </w:p>
    <w:p>
      <w:pPr>
        <w:spacing w:after="0" w:line="229" w:lineRule="exact"/>
        <w:rPr>
          <w:sz w:val="20"/>
          <w:szCs w:val="20"/>
          <w:color w:val="auto"/>
        </w:rPr>
      </w:pPr>
    </w:p>
    <w:p>
      <w:pPr>
        <w:jc w:val="both"/>
        <w:ind w:left="840" w:hanging="512"/>
        <w:spacing w:after="0" w:line="258" w:lineRule="auto"/>
        <w:rPr>
          <w:sz w:val="20"/>
          <w:szCs w:val="20"/>
          <w:color w:val="auto"/>
        </w:rPr>
      </w:pPr>
      <w:r>
        <w:rPr>
          <w:rFonts w:ascii="Arial" w:cs="Arial" w:eastAsia="Arial" w:hAnsi="Arial"/>
          <w:sz w:val="18"/>
          <w:szCs w:val="18"/>
          <w:color w:val="auto"/>
        </w:rPr>
        <w:t>Effective as of the date of this prospectus, we have established a nominating committee of the board of directors, which will consist of</w:t>
      </w:r>
      <w:r>
        <w:rPr>
          <w:sz w:val="20"/>
          <w:szCs w:val="20"/>
          <w:color w:val="auto"/>
        </w:rPr>
        <w:t xml:space="preserve"> </w:t>
      </w:r>
      <w:r>
        <w:rPr>
          <w:rFonts w:ascii="Arial" w:cs="Arial" w:eastAsia="Arial" w:hAnsi="Arial"/>
          <w:sz w:val="18"/>
          <w:szCs w:val="18"/>
          <w:color w:val="auto"/>
        </w:rPr>
        <w:t>, and , each of whom is an independent director under Nasdaq’s listing standards. is the Chairperson of the nominating committee.</w:t>
      </w:r>
    </w:p>
    <w:p>
      <w:pPr>
        <w:spacing w:after="0" w:line="216"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The nominating committee is responsible for overseeing the selection of persons to be nominated to serve on our board of directors. The nominating committee considers persons identified by its members, management, stockholders, investment bankers and others.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Guidelines for Selecting Director Nominees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guidelines for selecting nominees, which are specified in the Nominating Committee Charter, generally provide that persons to be nominated:</w:t>
      </w:r>
    </w:p>
    <w:p>
      <w:pPr>
        <w:spacing w:after="0" w:line="248"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should have demonstrated notable or significant achievements in business, education or public service;</w:t>
      </w:r>
    </w:p>
    <w:p>
      <w:pPr>
        <w:spacing w:after="0" w:line="225"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should possess the requisite intelligence, education and experience to make a significant contribution to the board of directors and bring a range of skills, diverse perspectives and backgrounds to its deliberations;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should have the highest ethical standards, a strong sense of professionalism and intense dedication to serving the interests of the stockholders.</w:t>
      </w:r>
    </w:p>
    <w:p>
      <w:pPr>
        <w:spacing w:after="0" w:line="24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nominating committee will consider a number of qualifications relating to management and leadership experience, background and integrity and professionalism in evaluating a person’s candidacy for membership on the board of directors. The nominating committee may require certain skills or attributes, such as financial or accounting experience, to meet specific board needs that arise from time to time and will also consider the overall experience and makeup of its members to obtain a broad and diverse mix of board members. The nominating committee does not distinguish among nominees recommended by stockholders and other persons.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Upon the effectiveness of the registration statement of which this prospectus forms a part, we will establish a compensation committee of the board of</w:t>
      </w:r>
    </w:p>
    <w:p>
      <w:pPr>
        <w:spacing w:after="0" w:line="46"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directors consisting of , , and , each of whom is an independent director. will serve as chairman of the compensation committee. We will adopt a compensation committee charter, which will detail the principal functions of the compensation committee, including:</w:t>
      </w:r>
    </w:p>
    <w:p>
      <w:pPr>
        <w:spacing w:after="0" w:line="200" w:lineRule="exact"/>
        <w:rPr>
          <w:sz w:val="20"/>
          <w:szCs w:val="20"/>
          <w:color w:val="auto"/>
        </w:rPr>
      </w:pPr>
    </w:p>
    <w:p>
      <w:pPr>
        <w:spacing w:after="0" w:line="201" w:lineRule="exact"/>
        <w:rPr>
          <w:sz w:val="20"/>
          <w:szCs w:val="20"/>
          <w:color w:val="auto"/>
        </w:rPr>
      </w:pPr>
    </w:p>
    <w:p>
      <w:pPr>
        <w:jc w:val="both"/>
        <w:ind w:left="660" w:hanging="328"/>
        <w:spacing w:after="0" w:line="263"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reviewing and approving on an annual basis the corporate goals and objectives relevant to our President and Chief Executive Officer’s compensation, evaluating our President and Chief Executive Officer’s performance in light of such goals and objectives and determining and approving the remuneration (if any) of our President and Chief Executive Officer based on such evaluation;</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reviewing and approving the compensation of all of our other executive officers;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reviewing our executive compensation policies and plans;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implementing and administering our incentive compensation equity-based remuneration plans;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assisting management in complying with our proxy statement and annual report disclosure requirements;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approving all special perquisites, special cash payments and other special compensation and benefit arrangements for our executive officers and employees;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producing a report on executive compensation to be included in our annual proxy statement;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reviewing, evaluating and recommending changes, if appropriate, to the remuneration for directors.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0" w:name="page81"/>
    <w:bookmarkEnd w:id="80"/>
    <w:p>
      <w:pPr>
        <w:jc w:val="both"/>
        <w:ind w:firstLine="324"/>
        <w:spacing w:after="0" w:line="259" w:lineRule="auto"/>
        <w:rPr>
          <w:sz w:val="20"/>
          <w:szCs w:val="20"/>
          <w:color w:val="auto"/>
        </w:rPr>
      </w:pPr>
      <w:r>
        <w:rPr>
          <w:rFonts w:ascii="Arial" w:cs="Arial" w:eastAsia="Arial" w:hAnsi="Arial"/>
          <w:sz w:val="18"/>
          <w:szCs w:val="18"/>
          <w:color w:val="auto"/>
        </w:rPr>
        <w:t>The charter will also provide that the compensation committee may, in its sole discretion, retain or obtain the advice of a compensation consultant, legal counsel or other adviser and will be directly responsible for the appointment, compensation and oversight of the work of any such adviser. However, before engaging or receiving advice from a compensation consultant, external legal counsel or any other adviser, the compensation committee will consider the independence of each such adviser, including the factors required by Nasdaq and the SEC.</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may not have a compensation committee in place prior to the completion of our initial business combination. Any executive compensation matters that arise prior to the time we have a compensation committee in place will be determined by our independent directors. None of our directors who currently serve as members of our compensation committee is, or has at any time in the past been, one of our officers or employees. None of our executive officers currently serves, or in the past year has served, as a member of the compensation committee of any other entity that has one or more executive officers serving on our board of directors. None of our executive officers currently serves, or in the past year has served, as a member of the board of directors of any other entity that has one or more executive officers serving on our compensation committee.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Effective upon consummation of this offering, we will adopt a code of ethics that applies to all of our executive officers, directors and employees. The code of ethics codifies the business and ethical principles that govern all aspects of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Investors should be aware of the following potential conflicts of interest:</w:t>
      </w:r>
    </w:p>
    <w:p>
      <w:pPr>
        <w:spacing w:after="0" w:line="225" w:lineRule="exact"/>
        <w:rPr>
          <w:sz w:val="20"/>
          <w:szCs w:val="20"/>
          <w:color w:val="auto"/>
        </w:rPr>
      </w:pPr>
    </w:p>
    <w:p>
      <w:pPr>
        <w:ind w:left="66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None of our officers and directors are required to commit their full time to our affairs and, accordingly, they may have conflicts of interest in allocating their time among various business activities.</w:t>
      </w:r>
    </w:p>
    <w:p>
      <w:pPr>
        <w:spacing w:after="0" w:line="170"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In the course of their other business activities, our officers and directors may become aware of investment and business opportunities which may be appropriate for presentation to our company as well as the other entities with which they are affiliated. Our officers and directors may have conflicts of interest in determining to which entity a particular business opportunity should be presented.</w:t>
      </w:r>
    </w:p>
    <w:p>
      <w:pPr>
        <w:spacing w:after="0" w:line="165"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officers and directors may in the future become affiliated with entities, including other blank check companies, engaged in business activities similar to those intended to be conducted by our company.</w:t>
      </w:r>
    </w:p>
    <w:p>
      <w:pPr>
        <w:spacing w:after="0" w:line="170"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Unless we consummate our initial business combination, our officers, directors and other insiders will not receive reimbursement for any out-of-pocket expenses incurred by them to the extent that such expenses exceed the amount of available proceeds not deposited in the trust account.</w:t>
      </w:r>
    </w:p>
    <w:p>
      <w:pPr>
        <w:spacing w:after="0" w:line="123" w:lineRule="exact"/>
        <w:rPr>
          <w:rFonts w:ascii="Arial" w:cs="Arial" w:eastAsia="Arial" w:hAnsi="Arial"/>
          <w:sz w:val="16"/>
          <w:szCs w:val="16"/>
          <w:color w:val="auto"/>
        </w:rPr>
      </w:pPr>
    </w:p>
    <w:p>
      <w:pPr>
        <w:jc w:val="both"/>
        <w:ind w:left="660" w:hanging="328"/>
        <w:spacing w:after="0" w:line="25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insider shares beneficially owned by our officers and directors will be released from escrow only if our initial business combination is successfully completed. Additionally, if we are unable to complete an initial business combination within the required time frame, our officers and directors will not be entitled to receive any amounts held in the trust account with respect to any of their insider shares or private shares. For the foregoing reasons, our board may have a conflict of interest in determining whether a particular target business is an appropriate business with which to effect our initial business combination.</w:t>
      </w:r>
    </w:p>
    <w:p>
      <w:pPr>
        <w:spacing w:after="0" w:line="188"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In general, officers and directors of a corporation incorporated under the laws of the State of Delaware are required to present business opportunities to a corporation if:</w:t>
      </w:r>
    </w:p>
    <w:p>
      <w:pPr>
        <w:spacing w:after="0" w:line="170"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corporation could financially undertake the opportunity;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opportunity is within the corporation’s line of business;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it would not be fair to the corporation and its stockholders for the opportunity not to be brought to the attention of the corporation.</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1" w:name="page82"/>
    <w:bookmarkEnd w:id="81"/>
    <w:p>
      <w:pPr>
        <w:jc w:val="both"/>
        <w:spacing w:after="0" w:line="268" w:lineRule="auto"/>
        <w:rPr>
          <w:sz w:val="20"/>
          <w:szCs w:val="20"/>
          <w:color w:val="auto"/>
        </w:rPr>
      </w:pPr>
      <w:r>
        <w:rPr>
          <w:rFonts w:ascii="Arial" w:cs="Arial" w:eastAsia="Arial" w:hAnsi="Arial"/>
          <w:sz w:val="17"/>
          <w:szCs w:val="17"/>
          <w:color w:val="auto"/>
        </w:rPr>
        <w:t>Accordingly, as a result of multiple business affiliations, our officers and directors may have similar legal obligations relating to presenting business opportunities meeting the above-listed criteria to multiple entities. Furthermore, our certificate of incorporation provides that the doctrine of corporate opportunity will not apply with respect to any of our officers or directors in circumstances where the application of the doctrine would conflict with any fiduciary duties or contractual obligations they may have. In order to minimize potential conflicts of interest which may arise from multiple affiliations, our officers and directors (other than our independent directors) have agreed to present to us for our consideration, prior to presentation to any other person or entity, any suitable opportunity to acquire a target business, until the earlier of: (1) our consummation of an initial business combination and (2) 24 months from the date of this prospectus. This agreement is, however, subject to any pre-existing fiduciary and contractual obligations such officer or director may from time to time have to another entity. Accordingly, if any of them becomes aware of a business combination opportunity which is suitable for an entity to which he or she has pre-existing fiduciary or contractual obligations, he or she will honor his or her fiduciary or contractual obligations to present such business combination opportunity to such entity, and only present it to us if such entity rejects the opportunity. We do not believe, however, that the pre-existing fiduciary duties or contractual obligations of our officers and directors will materially undermine our ability to complete our business combination because in most cases the affiliated companies are closely held entities controlled by the officer or director or the nature of the affiliated company’s business is such that it is unlikely that a conflict will arise.</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current material pre-existing fiduciary or contractual obligations of our officers, directors and director nominees: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40" w:type="dxa"/>
            <w:vAlign w:val="bottom"/>
          </w:tcPr>
          <w:p>
            <w:pPr>
              <w:ind w:left="820"/>
              <w:spacing w:after="0"/>
              <w:rPr>
                <w:sz w:val="20"/>
                <w:szCs w:val="20"/>
                <w:color w:val="auto"/>
              </w:rPr>
            </w:pPr>
            <w:r>
              <w:rPr>
                <w:rFonts w:ascii="Arial" w:cs="Arial" w:eastAsia="Arial" w:hAnsi="Arial"/>
                <w:sz w:val="18"/>
                <w:szCs w:val="18"/>
                <w:b w:val="1"/>
                <w:bCs w:val="1"/>
                <w:color w:val="auto"/>
              </w:rPr>
              <w:t>Name of Affiliated</w:t>
            </w:r>
          </w:p>
        </w:tc>
        <w:tc>
          <w:tcPr>
            <w:tcW w:w="1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2260" w:type="dxa"/>
            <w:vAlign w:val="bottom"/>
          </w:tcPr>
          <w:p>
            <w:pPr>
              <w:spacing w:after="0"/>
              <w:rPr>
                <w:sz w:val="20"/>
                <w:szCs w:val="20"/>
                <w:color w:val="auto"/>
              </w:rPr>
            </w:pPr>
            <w:r>
              <w:rPr>
                <w:rFonts w:ascii="Arial" w:cs="Arial" w:eastAsia="Arial" w:hAnsi="Arial"/>
                <w:sz w:val="18"/>
                <w:szCs w:val="18"/>
                <w:b w:val="1"/>
                <w:bCs w:val="1"/>
                <w:color w:val="auto"/>
              </w:rPr>
              <w:t>Name of Individual</w:t>
            </w:r>
          </w:p>
        </w:tc>
        <w:tc>
          <w:tcPr>
            <w:tcW w:w="120" w:type="dxa"/>
            <w:vAlign w:val="bottom"/>
          </w:tcPr>
          <w:p>
            <w:pPr>
              <w:spacing w:after="0"/>
              <w:rPr>
                <w:sz w:val="20"/>
                <w:szCs w:val="20"/>
                <w:color w:val="auto"/>
              </w:rPr>
            </w:pPr>
          </w:p>
        </w:tc>
        <w:tc>
          <w:tcPr>
            <w:tcW w:w="3040" w:type="dxa"/>
            <w:vAlign w:val="bottom"/>
          </w:tcPr>
          <w:p>
            <w:pPr>
              <w:ind w:left="1140"/>
              <w:spacing w:after="0"/>
              <w:rPr>
                <w:sz w:val="20"/>
                <w:szCs w:val="20"/>
                <w:color w:val="auto"/>
              </w:rPr>
            </w:pPr>
            <w:r>
              <w:rPr>
                <w:rFonts w:ascii="Arial" w:cs="Arial" w:eastAsia="Arial" w:hAnsi="Arial"/>
                <w:sz w:val="18"/>
                <w:szCs w:val="18"/>
                <w:b w:val="1"/>
                <w:bCs w:val="1"/>
                <w:color w:val="auto"/>
              </w:rPr>
              <w:t>Company</w:t>
            </w:r>
          </w:p>
        </w:tc>
        <w:tc>
          <w:tcPr>
            <w:tcW w:w="100" w:type="dxa"/>
            <w:vAlign w:val="bottom"/>
          </w:tcPr>
          <w:p>
            <w:pPr>
              <w:spacing w:after="0"/>
              <w:rPr>
                <w:sz w:val="20"/>
                <w:szCs w:val="20"/>
                <w:color w:val="auto"/>
              </w:rPr>
            </w:pPr>
          </w:p>
        </w:tc>
        <w:tc>
          <w:tcPr>
            <w:tcW w:w="2260" w:type="dxa"/>
            <w:vAlign w:val="bottom"/>
          </w:tcPr>
          <w:p>
            <w:pPr>
              <w:ind w:left="480"/>
              <w:spacing w:after="0"/>
              <w:rPr>
                <w:sz w:val="20"/>
                <w:szCs w:val="20"/>
                <w:color w:val="auto"/>
              </w:rPr>
            </w:pPr>
            <w:r>
              <w:rPr>
                <w:rFonts w:ascii="Arial" w:cs="Arial" w:eastAsia="Arial" w:hAnsi="Arial"/>
                <w:sz w:val="18"/>
                <w:szCs w:val="18"/>
                <w:b w:val="1"/>
                <w:bCs w:val="1"/>
                <w:color w:val="auto"/>
              </w:rPr>
              <w:t>Entity’s Business</w:t>
            </w:r>
          </w:p>
        </w:tc>
        <w:tc>
          <w:tcPr>
            <w:tcW w:w="100" w:type="dxa"/>
            <w:vAlign w:val="bottom"/>
          </w:tcPr>
          <w:p>
            <w:pPr>
              <w:spacing w:after="0"/>
              <w:rPr>
                <w:sz w:val="20"/>
                <w:szCs w:val="20"/>
                <w:color w:val="auto"/>
              </w:rPr>
            </w:pPr>
          </w:p>
        </w:tc>
        <w:tc>
          <w:tcPr>
            <w:tcW w:w="3360" w:type="dxa"/>
            <w:vAlign w:val="bottom"/>
            <w:gridSpan w:val="2"/>
          </w:tcPr>
          <w:p>
            <w:pPr>
              <w:ind w:left="1240"/>
              <w:spacing w:after="0"/>
              <w:rPr>
                <w:sz w:val="20"/>
                <w:szCs w:val="20"/>
                <w:color w:val="auto"/>
              </w:rPr>
            </w:pPr>
            <w:r>
              <w:rPr>
                <w:rFonts w:ascii="Arial" w:cs="Arial" w:eastAsia="Arial" w:hAnsi="Arial"/>
                <w:sz w:val="18"/>
                <w:szCs w:val="18"/>
                <w:b w:val="1"/>
                <w:bCs w:val="1"/>
                <w:color w:val="auto"/>
              </w:rPr>
              <w:t>Affiliation</w:t>
            </w:r>
          </w:p>
        </w:tc>
      </w:tr>
      <w:tr>
        <w:trPr>
          <w:trHeight w:val="216"/>
        </w:trPr>
        <w:tc>
          <w:tcPr>
            <w:tcW w:w="2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Aaron Davis</w:t>
            </w:r>
          </w:p>
        </w:tc>
        <w:tc>
          <w:tcPr>
            <w:tcW w:w="120" w:type="dxa"/>
            <w:vAlign w:val="bottom"/>
            <w:tcBorders>
              <w:top w:val="single" w:sz="8" w:color="CCEEFF"/>
            </w:tcBorders>
            <w:shd w:val="clear" w:color="auto" w:fill="CCEEFF"/>
          </w:tcPr>
          <w:p>
            <w:pPr>
              <w:spacing w:after="0"/>
              <w:rPr>
                <w:sz w:val="18"/>
                <w:szCs w:val="18"/>
                <w:color w:val="auto"/>
              </w:rPr>
            </w:pPr>
          </w:p>
        </w:tc>
        <w:tc>
          <w:tcPr>
            <w:tcW w:w="3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Boxer Capital, LLC</w:t>
            </w:r>
          </w:p>
        </w:tc>
        <w:tc>
          <w:tcPr>
            <w:tcW w:w="10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Investment Fund</w:t>
            </w:r>
          </w:p>
        </w:tc>
        <w:tc>
          <w:tcPr>
            <w:tcW w:w="100" w:type="dxa"/>
            <w:vAlign w:val="bottom"/>
            <w:tcBorders>
              <w:top w:val="single" w:sz="8" w:color="CCEEFF"/>
            </w:tcBorders>
            <w:shd w:val="clear" w:color="auto" w:fill="CCEEFF"/>
          </w:tcPr>
          <w:p>
            <w:pPr>
              <w:spacing w:after="0"/>
              <w:rPr>
                <w:sz w:val="18"/>
                <w:szCs w:val="18"/>
                <w:color w:val="auto"/>
              </w:rPr>
            </w:pPr>
          </w:p>
        </w:tc>
        <w:tc>
          <w:tcPr>
            <w:tcW w:w="3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Chief Executive Officer</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MVA Investors, LLC</w:t>
            </w:r>
          </w:p>
        </w:tc>
        <w:tc>
          <w:tcPr>
            <w:tcW w:w="2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Investment Fund</w:t>
            </w:r>
          </w:p>
        </w:tc>
        <w:tc>
          <w:tcPr>
            <w:tcW w:w="34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Chief Executive Officer</w:t>
            </w:r>
          </w:p>
        </w:tc>
      </w:tr>
      <w:tr>
        <w:trPr>
          <w:trHeight w:val="216"/>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Mirati Therapeutics, Inc.</w:t>
            </w:r>
          </w:p>
        </w:tc>
        <w:tc>
          <w:tcPr>
            <w:tcW w:w="2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Therapeutics</w:t>
            </w:r>
          </w:p>
        </w:tc>
        <w:tc>
          <w:tcPr>
            <w:tcW w:w="34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Director</w:t>
            </w:r>
          </w:p>
        </w:tc>
      </w:tr>
      <w:tr>
        <w:trPr>
          <w:trHeight w:val="216"/>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Odonate Therapeutics, Inc.</w:t>
            </w:r>
          </w:p>
        </w:tc>
        <w:tc>
          <w:tcPr>
            <w:tcW w:w="10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Therapeutics</w:t>
            </w:r>
          </w:p>
        </w:tc>
        <w:tc>
          <w:tcPr>
            <w:tcW w:w="34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Director</w:t>
            </w:r>
          </w:p>
        </w:tc>
      </w:tr>
      <w:tr>
        <w:trPr>
          <w:trHeight w:val="216"/>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iTeos Therapeutics, Inc.</w:t>
            </w:r>
          </w:p>
        </w:tc>
        <w:tc>
          <w:tcPr>
            <w:tcW w:w="10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Therapeutics</w:t>
            </w:r>
          </w:p>
        </w:tc>
        <w:tc>
          <w:tcPr>
            <w:tcW w:w="34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Director</w:t>
            </w:r>
          </w:p>
        </w:tc>
      </w:tr>
      <w:tr>
        <w:trPr>
          <w:trHeight w:val="216"/>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Tango Therapeutics, Inc.</w:t>
            </w:r>
          </w:p>
        </w:tc>
        <w:tc>
          <w:tcPr>
            <w:tcW w:w="10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Therapeutics</w:t>
            </w:r>
          </w:p>
        </w:tc>
        <w:tc>
          <w:tcPr>
            <w:tcW w:w="100" w:type="dxa"/>
            <w:vAlign w:val="bottom"/>
            <w:shd w:val="clear" w:color="auto" w:fill="CCEEFF"/>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CiVi Biopharma Holdings, Inc.</w:t>
            </w:r>
          </w:p>
        </w:tc>
        <w:tc>
          <w:tcPr>
            <w:tcW w:w="10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Therapeutics</w:t>
            </w:r>
          </w:p>
        </w:tc>
        <w:tc>
          <w:tcPr>
            <w:tcW w:w="10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Executive Chairman</w:t>
            </w:r>
          </w:p>
        </w:tc>
        <w:tc>
          <w:tcPr>
            <w:tcW w:w="100" w:type="dxa"/>
            <w:vAlign w:val="bottom"/>
            <w:shd w:val="clear" w:color="auto" w:fill="CCEEFF"/>
          </w:tcPr>
          <w:p>
            <w:pPr>
              <w:spacing w:after="0"/>
              <w:rPr>
                <w:sz w:val="18"/>
                <w:szCs w:val="18"/>
                <w:color w:val="auto"/>
              </w:rPr>
            </w:pPr>
          </w:p>
        </w:tc>
      </w:tr>
      <w:tr>
        <w:trPr>
          <w:trHeight w:val="216"/>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Sojournix, Inc.</w:t>
            </w:r>
          </w:p>
        </w:tc>
        <w:tc>
          <w:tcPr>
            <w:tcW w:w="10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Therapeutics</w:t>
            </w:r>
          </w:p>
        </w:tc>
        <w:tc>
          <w:tcPr>
            <w:tcW w:w="10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c>
          <w:tcPr>
            <w:tcW w:w="100" w:type="dxa"/>
            <w:vAlign w:val="bottom"/>
            <w:shd w:val="clear" w:color="auto" w:fill="CCEEFF"/>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360" w:type="dxa"/>
            <w:vAlign w:val="bottom"/>
            <w:gridSpan w:val="2"/>
          </w:tcPr>
          <w:p>
            <w:pPr>
              <w:spacing w:after="0"/>
              <w:rPr>
                <w:sz w:val="18"/>
                <w:szCs w:val="18"/>
                <w:color w:val="auto"/>
              </w:rPr>
            </w:pPr>
          </w:p>
        </w:tc>
        <w:tc>
          <w:tcPr>
            <w:tcW w:w="3460" w:type="dxa"/>
            <w:vAlign w:val="bottom"/>
            <w:gridSpan w:val="3"/>
          </w:tcPr>
          <w:p>
            <w:pPr>
              <w:spacing w:after="0"/>
              <w:rPr>
                <w:sz w:val="18"/>
                <w:szCs w:val="18"/>
                <w:color w:val="auto"/>
              </w:rPr>
            </w:pPr>
          </w:p>
        </w:tc>
      </w:tr>
      <w:tr>
        <w:trPr>
          <w:trHeight w:val="216"/>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Christopher Fuglesang</w:t>
            </w:r>
          </w:p>
        </w:tc>
        <w:tc>
          <w:tcPr>
            <w:tcW w:w="1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Boxer Capital, LLC</w:t>
            </w:r>
          </w:p>
        </w:tc>
        <w:tc>
          <w:tcPr>
            <w:tcW w:w="2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Investment Fund</w:t>
            </w:r>
          </w:p>
        </w:tc>
        <w:tc>
          <w:tcPr>
            <w:tcW w:w="34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Managing Director</w:t>
            </w:r>
          </w:p>
        </w:tc>
      </w:tr>
      <w:tr>
        <w:trPr>
          <w:trHeight w:val="216"/>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MVA Investors, LLC</w:t>
            </w:r>
          </w:p>
        </w:tc>
        <w:tc>
          <w:tcPr>
            <w:tcW w:w="2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Investment Fund</w:t>
            </w:r>
          </w:p>
        </w:tc>
        <w:tc>
          <w:tcPr>
            <w:tcW w:w="34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President</w:t>
            </w:r>
          </w:p>
        </w:tc>
      </w:tr>
      <w:tr>
        <w:trPr>
          <w:trHeight w:val="216"/>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Pandion Therapeutics, Inc.</w:t>
            </w:r>
          </w:p>
        </w:tc>
        <w:tc>
          <w:tcPr>
            <w:tcW w:w="2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Therapeutics</w:t>
            </w:r>
          </w:p>
        </w:tc>
        <w:tc>
          <w:tcPr>
            <w:tcW w:w="34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Director</w:t>
            </w:r>
          </w:p>
        </w:tc>
      </w:tr>
      <w:tr>
        <w:trPr>
          <w:trHeight w:val="216"/>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CiVi Biopharma Holdings, Inc.</w:t>
            </w:r>
          </w:p>
        </w:tc>
        <w:tc>
          <w:tcPr>
            <w:tcW w:w="2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Therapeutics</w:t>
            </w:r>
          </w:p>
        </w:tc>
        <w:tc>
          <w:tcPr>
            <w:tcW w:w="34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Director</w:t>
            </w: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360" w:type="dxa"/>
            <w:vAlign w:val="bottom"/>
            <w:gridSpan w:val="2"/>
          </w:tcPr>
          <w:p>
            <w:pPr>
              <w:spacing w:after="0"/>
              <w:rPr>
                <w:sz w:val="18"/>
                <w:szCs w:val="18"/>
                <w:color w:val="auto"/>
              </w:rPr>
            </w:pPr>
          </w:p>
        </w:tc>
        <w:tc>
          <w:tcPr>
            <w:tcW w:w="3460" w:type="dxa"/>
            <w:vAlign w:val="bottom"/>
            <w:gridSpan w:val="3"/>
          </w:tcPr>
          <w:p>
            <w:pPr>
              <w:spacing w:after="0"/>
              <w:rPr>
                <w:sz w:val="18"/>
                <w:szCs w:val="18"/>
                <w:color w:val="auto"/>
              </w:rPr>
            </w:pPr>
          </w:p>
        </w:tc>
      </w:tr>
      <w:tr>
        <w:trPr>
          <w:trHeight w:val="216"/>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Michael Beauchamp</w:t>
            </w:r>
          </w:p>
        </w:tc>
        <w:tc>
          <w:tcPr>
            <w:tcW w:w="1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Boxer Capital, LLC</w:t>
            </w:r>
          </w:p>
        </w:tc>
        <w:tc>
          <w:tcPr>
            <w:tcW w:w="2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Investment Fund</w:t>
            </w:r>
          </w:p>
        </w:tc>
        <w:tc>
          <w:tcPr>
            <w:tcW w:w="34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Vice President of Finance</w:t>
            </w: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360" w:type="dxa"/>
            <w:vAlign w:val="bottom"/>
            <w:gridSpan w:val="2"/>
          </w:tcPr>
          <w:p>
            <w:pPr>
              <w:spacing w:after="0"/>
              <w:rPr>
                <w:sz w:val="18"/>
                <w:szCs w:val="18"/>
                <w:color w:val="auto"/>
              </w:rPr>
            </w:pPr>
          </w:p>
        </w:tc>
        <w:tc>
          <w:tcPr>
            <w:tcW w:w="3460" w:type="dxa"/>
            <w:vAlign w:val="bottom"/>
            <w:gridSpan w:val="3"/>
          </w:tcPr>
          <w:p>
            <w:pPr>
              <w:spacing w:after="0"/>
              <w:rPr>
                <w:sz w:val="18"/>
                <w:szCs w:val="18"/>
                <w:color w:val="auto"/>
              </w:rPr>
            </w:pPr>
          </w:p>
        </w:tc>
      </w:tr>
      <w:tr>
        <w:trPr>
          <w:trHeight w:val="216"/>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Andrew Ellis</w:t>
            </w:r>
          </w:p>
        </w:tc>
        <w:tc>
          <w:tcPr>
            <w:tcW w:w="1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Boxer Capital, LLC</w:t>
            </w:r>
          </w:p>
        </w:tc>
        <w:tc>
          <w:tcPr>
            <w:tcW w:w="2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Investment Fund</w:t>
            </w:r>
          </w:p>
        </w:tc>
        <w:tc>
          <w:tcPr>
            <w:tcW w:w="34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Senior Counsel</w:t>
            </w: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360" w:type="dxa"/>
            <w:vAlign w:val="bottom"/>
            <w:gridSpan w:val="2"/>
          </w:tcPr>
          <w:p>
            <w:pPr>
              <w:spacing w:after="0"/>
              <w:rPr>
                <w:sz w:val="18"/>
                <w:szCs w:val="18"/>
                <w:color w:val="auto"/>
              </w:rPr>
            </w:pPr>
          </w:p>
        </w:tc>
        <w:tc>
          <w:tcPr>
            <w:tcW w:w="3460" w:type="dxa"/>
            <w:vAlign w:val="bottom"/>
            <w:gridSpan w:val="3"/>
          </w:tcPr>
          <w:p>
            <w:pPr>
              <w:spacing w:after="0"/>
              <w:rPr>
                <w:sz w:val="18"/>
                <w:szCs w:val="18"/>
                <w:color w:val="auto"/>
              </w:rPr>
            </w:pPr>
          </w:p>
        </w:tc>
      </w:tr>
      <w:tr>
        <w:trPr>
          <w:trHeight w:val="202"/>
        </w:trPr>
        <w:tc>
          <w:tcPr>
            <w:tcW w:w="2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Carole L. Nuechterlein</w:t>
            </w:r>
          </w:p>
        </w:tc>
        <w:tc>
          <w:tcPr>
            <w:tcW w:w="120" w:type="dxa"/>
            <w:vAlign w:val="bottom"/>
            <w:shd w:val="clear" w:color="auto" w:fill="CCEEFF"/>
          </w:tcPr>
          <w:p>
            <w:pPr>
              <w:spacing w:after="0"/>
              <w:rPr>
                <w:sz w:val="17"/>
                <w:szCs w:val="17"/>
                <w:color w:val="auto"/>
              </w:rPr>
            </w:pPr>
          </w:p>
        </w:tc>
        <w:tc>
          <w:tcPr>
            <w:tcW w:w="3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 Hoffmann-La Roche Ltd.</w:t>
            </w:r>
          </w:p>
        </w:tc>
        <w:tc>
          <w:tcPr>
            <w:tcW w:w="236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Therapeutics</w:t>
            </w:r>
          </w:p>
        </w:tc>
        <w:tc>
          <w:tcPr>
            <w:tcW w:w="346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Deputy Director, Head of Roche Venture</w:t>
            </w:r>
          </w:p>
        </w:tc>
      </w:tr>
      <w:tr>
        <w:trPr>
          <w:trHeight w:val="230"/>
        </w:trPr>
        <w:tc>
          <w:tcPr>
            <w:tcW w:w="2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60" w:type="dxa"/>
            <w:vAlign w:val="bottom"/>
            <w:shd w:val="clear" w:color="auto" w:fill="CCEEFF"/>
          </w:tcPr>
          <w:p>
            <w:pPr>
              <w:spacing w:after="0"/>
              <w:rPr>
                <w:sz w:val="20"/>
                <w:szCs w:val="20"/>
                <w:color w:val="auto"/>
              </w:rPr>
            </w:pPr>
          </w:p>
        </w:tc>
        <w:tc>
          <w:tcPr>
            <w:tcW w:w="34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Fund</w:t>
            </w:r>
          </w:p>
        </w:tc>
      </w:tr>
      <w:tr>
        <w:trPr>
          <w:trHeight w:val="216"/>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Millendo Therapeutics, Inc.</w:t>
            </w:r>
          </w:p>
        </w:tc>
        <w:tc>
          <w:tcPr>
            <w:tcW w:w="2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Therapeutics</w:t>
            </w:r>
          </w:p>
        </w:tc>
        <w:tc>
          <w:tcPr>
            <w:tcW w:w="34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Director</w:t>
            </w:r>
          </w:p>
        </w:tc>
      </w:tr>
      <w:tr>
        <w:trPr>
          <w:trHeight w:val="216"/>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Aligos Therapeutics, Inc.</w:t>
            </w:r>
          </w:p>
        </w:tc>
        <w:tc>
          <w:tcPr>
            <w:tcW w:w="2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Therapeutics</w:t>
            </w:r>
          </w:p>
        </w:tc>
        <w:tc>
          <w:tcPr>
            <w:tcW w:w="34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Director</w:t>
            </w:r>
          </w:p>
        </w:tc>
      </w:tr>
      <w:tr>
        <w:trPr>
          <w:trHeight w:val="216"/>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Vivet Therapeutics SAS</w:t>
            </w:r>
          </w:p>
        </w:tc>
        <w:tc>
          <w:tcPr>
            <w:tcW w:w="10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Therapeutics</w:t>
            </w:r>
          </w:p>
        </w:tc>
        <w:tc>
          <w:tcPr>
            <w:tcW w:w="34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Director</w:t>
            </w:r>
          </w:p>
        </w:tc>
      </w:tr>
      <w:tr>
        <w:trPr>
          <w:trHeight w:val="216"/>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CiVi Biopharma Holdings, Inc.</w:t>
            </w:r>
          </w:p>
        </w:tc>
        <w:tc>
          <w:tcPr>
            <w:tcW w:w="10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Therapeutics</w:t>
            </w:r>
          </w:p>
        </w:tc>
        <w:tc>
          <w:tcPr>
            <w:tcW w:w="34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Director</w:t>
            </w:r>
          </w:p>
        </w:tc>
      </w:tr>
      <w:tr>
        <w:trPr>
          <w:trHeight w:val="216"/>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Entrada Therapeutics, Inc.</w:t>
            </w:r>
          </w:p>
        </w:tc>
        <w:tc>
          <w:tcPr>
            <w:tcW w:w="10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Therapeutics</w:t>
            </w:r>
          </w:p>
        </w:tc>
        <w:tc>
          <w:tcPr>
            <w:tcW w:w="100" w:type="dxa"/>
            <w:vAlign w:val="bottom"/>
            <w:shd w:val="clear" w:color="auto" w:fill="CCEEFF"/>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Mission Therapeutics Ltd.</w:t>
            </w:r>
          </w:p>
        </w:tc>
        <w:tc>
          <w:tcPr>
            <w:tcW w:w="10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Therapeutics</w:t>
            </w:r>
          </w:p>
        </w:tc>
        <w:tc>
          <w:tcPr>
            <w:tcW w:w="10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c>
          <w:tcPr>
            <w:tcW w:w="100" w:type="dxa"/>
            <w:vAlign w:val="bottom"/>
            <w:shd w:val="clear" w:color="auto" w:fill="CCEEFF"/>
          </w:tcPr>
          <w:p>
            <w:pPr>
              <w:spacing w:after="0"/>
              <w:rPr>
                <w:sz w:val="18"/>
                <w:szCs w:val="18"/>
                <w:color w:val="auto"/>
              </w:rPr>
            </w:pPr>
          </w:p>
        </w:tc>
      </w:tr>
      <w:tr>
        <w:trPr>
          <w:trHeight w:val="202"/>
        </w:trPr>
        <w:tc>
          <w:tcPr>
            <w:tcW w:w="2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Arch Oncology Inc.</w:t>
            </w:r>
          </w:p>
        </w:tc>
        <w:tc>
          <w:tcPr>
            <w:tcW w:w="10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Therapeutics</w:t>
            </w:r>
          </w:p>
        </w:tc>
        <w:tc>
          <w:tcPr>
            <w:tcW w:w="100" w:type="dxa"/>
            <w:vAlign w:val="bottom"/>
            <w:shd w:val="clear" w:color="auto" w:fill="CCEEFF"/>
          </w:tcPr>
          <w:p>
            <w:pPr>
              <w:spacing w:after="0"/>
              <w:rPr>
                <w:sz w:val="17"/>
                <w:szCs w:val="17"/>
                <w:color w:val="auto"/>
              </w:rPr>
            </w:pPr>
          </w:p>
        </w:tc>
        <w:tc>
          <w:tcPr>
            <w:tcW w:w="3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Director</w:t>
            </w:r>
          </w:p>
        </w:tc>
        <w:tc>
          <w:tcPr>
            <w:tcW w:w="100" w:type="dxa"/>
            <w:vAlign w:val="bottom"/>
            <w:shd w:val="clear" w:color="auto" w:fill="CCEEFF"/>
          </w:tcPr>
          <w:p>
            <w:pPr>
              <w:spacing w:after="0"/>
              <w:rPr>
                <w:sz w:val="17"/>
                <w:szCs w:val="17"/>
                <w:color w:val="auto"/>
              </w:rPr>
            </w:pPr>
          </w:p>
        </w:tc>
      </w:tr>
      <w:tr>
        <w:trPr>
          <w:trHeight w:val="230"/>
        </w:trPr>
        <w:tc>
          <w:tcPr>
            <w:tcW w:w="2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Second Genome, Inc.</w:t>
            </w:r>
          </w:p>
        </w:tc>
        <w:tc>
          <w:tcPr>
            <w:tcW w:w="100" w:type="dxa"/>
            <w:vAlign w:val="bottom"/>
            <w:shd w:val="clear" w:color="auto" w:fill="CCEEFF"/>
          </w:tcPr>
          <w:p>
            <w:pPr>
              <w:spacing w:after="0"/>
              <w:rPr>
                <w:sz w:val="20"/>
                <w:szCs w:val="20"/>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Therapeutics</w:t>
            </w:r>
          </w:p>
        </w:tc>
        <w:tc>
          <w:tcPr>
            <w:tcW w:w="100" w:type="dxa"/>
            <w:vAlign w:val="bottom"/>
            <w:shd w:val="clear" w:color="auto" w:fill="CCEEFF"/>
          </w:tcPr>
          <w:p>
            <w:pPr>
              <w:spacing w:after="0"/>
              <w:rPr>
                <w:sz w:val="20"/>
                <w:szCs w:val="20"/>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c>
          <w:tcPr>
            <w:tcW w:w="100" w:type="dxa"/>
            <w:vAlign w:val="bottom"/>
            <w:shd w:val="clear" w:color="auto" w:fill="CCEEFF"/>
          </w:tcPr>
          <w:p>
            <w:pPr>
              <w:spacing w:after="0"/>
              <w:rPr>
                <w:sz w:val="20"/>
                <w:szCs w:val="20"/>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360" w:type="dxa"/>
            <w:vAlign w:val="bottom"/>
            <w:gridSpan w:val="2"/>
          </w:tcPr>
          <w:p>
            <w:pPr>
              <w:spacing w:after="0"/>
              <w:rPr>
                <w:sz w:val="18"/>
                <w:szCs w:val="18"/>
                <w:color w:val="auto"/>
              </w:rPr>
            </w:pPr>
          </w:p>
        </w:tc>
        <w:tc>
          <w:tcPr>
            <w:tcW w:w="3460" w:type="dxa"/>
            <w:vAlign w:val="bottom"/>
            <w:gridSpan w:val="3"/>
          </w:tcPr>
          <w:p>
            <w:pPr>
              <w:spacing w:after="0"/>
              <w:rPr>
                <w:sz w:val="18"/>
                <w:szCs w:val="18"/>
                <w:color w:val="auto"/>
              </w:rPr>
            </w:pPr>
          </w:p>
        </w:tc>
      </w:tr>
      <w:tr>
        <w:trPr>
          <w:trHeight w:val="216"/>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Richard Heyman</w:t>
            </w:r>
          </w:p>
        </w:tc>
        <w:tc>
          <w:tcPr>
            <w:tcW w:w="1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Arch Ventures</w:t>
            </w:r>
          </w:p>
        </w:tc>
        <w:tc>
          <w:tcPr>
            <w:tcW w:w="2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Investment Fund</w:t>
            </w:r>
          </w:p>
        </w:tc>
        <w:tc>
          <w:tcPr>
            <w:tcW w:w="34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Venture Partner</w:t>
            </w:r>
          </w:p>
        </w:tc>
      </w:tr>
      <w:tr>
        <w:trPr>
          <w:trHeight w:val="216"/>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Metacrine, Inc.</w:t>
            </w:r>
          </w:p>
        </w:tc>
        <w:tc>
          <w:tcPr>
            <w:tcW w:w="2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Therapeutics</w:t>
            </w:r>
          </w:p>
        </w:tc>
        <w:tc>
          <w:tcPr>
            <w:tcW w:w="34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Chairman</w:t>
            </w:r>
          </w:p>
        </w:tc>
      </w:tr>
      <w:tr>
        <w:trPr>
          <w:trHeight w:val="216"/>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Millendo Therapeutics, Inc.</w:t>
            </w:r>
          </w:p>
        </w:tc>
        <w:tc>
          <w:tcPr>
            <w:tcW w:w="2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Therapeutics</w:t>
            </w:r>
          </w:p>
        </w:tc>
        <w:tc>
          <w:tcPr>
            <w:tcW w:w="34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Director</w:t>
            </w:r>
          </w:p>
        </w:tc>
      </w:tr>
      <w:tr>
        <w:trPr>
          <w:trHeight w:val="216"/>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ORIC Pharmaceuticals</w:t>
            </w:r>
          </w:p>
        </w:tc>
        <w:tc>
          <w:tcPr>
            <w:tcW w:w="10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Therapeutics</w:t>
            </w:r>
          </w:p>
        </w:tc>
        <w:tc>
          <w:tcPr>
            <w:tcW w:w="34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Director</w:t>
            </w:r>
          </w:p>
        </w:tc>
      </w:tr>
      <w:tr>
        <w:trPr>
          <w:trHeight w:val="216"/>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YumanityTherapeutics, Inc.</w:t>
            </w:r>
          </w:p>
        </w:tc>
        <w:tc>
          <w:tcPr>
            <w:tcW w:w="10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Therapeutics</w:t>
            </w:r>
          </w:p>
        </w:tc>
        <w:tc>
          <w:tcPr>
            <w:tcW w:w="34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Director</w:t>
            </w:r>
          </w:p>
        </w:tc>
      </w:tr>
      <w:tr>
        <w:trPr>
          <w:trHeight w:val="216"/>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Vividion Therapeutics, Inc.</w:t>
            </w:r>
          </w:p>
        </w:tc>
        <w:tc>
          <w:tcPr>
            <w:tcW w:w="10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Therapeutics</w:t>
            </w:r>
          </w:p>
        </w:tc>
        <w:tc>
          <w:tcPr>
            <w:tcW w:w="100" w:type="dxa"/>
            <w:vAlign w:val="bottom"/>
            <w:shd w:val="clear" w:color="auto" w:fill="CCEEFF"/>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PMV Pharmaceuticals, Inc.</w:t>
            </w:r>
          </w:p>
        </w:tc>
        <w:tc>
          <w:tcPr>
            <w:tcW w:w="10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Therapeutics</w:t>
            </w:r>
          </w:p>
        </w:tc>
        <w:tc>
          <w:tcPr>
            <w:tcW w:w="10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Chairman</w:t>
            </w:r>
          </w:p>
        </w:tc>
        <w:tc>
          <w:tcPr>
            <w:tcW w:w="100" w:type="dxa"/>
            <w:vAlign w:val="bottom"/>
            <w:shd w:val="clear" w:color="auto" w:fill="CCEEFF"/>
          </w:tcPr>
          <w:p>
            <w:pPr>
              <w:spacing w:after="0"/>
              <w:rPr>
                <w:sz w:val="18"/>
                <w:szCs w:val="18"/>
                <w:color w:val="auto"/>
              </w:rPr>
            </w:pPr>
          </w:p>
        </w:tc>
      </w:tr>
      <w:tr>
        <w:trPr>
          <w:trHeight w:val="216"/>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Amunix, Inc.</w:t>
            </w:r>
          </w:p>
        </w:tc>
        <w:tc>
          <w:tcPr>
            <w:tcW w:w="10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Therapeutics</w:t>
            </w:r>
          </w:p>
        </w:tc>
        <w:tc>
          <w:tcPr>
            <w:tcW w:w="10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c>
          <w:tcPr>
            <w:tcW w:w="100" w:type="dxa"/>
            <w:vAlign w:val="bottom"/>
            <w:shd w:val="clear" w:color="auto" w:fill="CCEEFF"/>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360" w:type="dxa"/>
            <w:vAlign w:val="bottom"/>
            <w:gridSpan w:val="2"/>
          </w:tcPr>
          <w:p>
            <w:pPr>
              <w:spacing w:after="0"/>
              <w:rPr>
                <w:sz w:val="18"/>
                <w:szCs w:val="18"/>
                <w:color w:val="auto"/>
              </w:rPr>
            </w:pPr>
          </w:p>
        </w:tc>
        <w:tc>
          <w:tcPr>
            <w:tcW w:w="3460" w:type="dxa"/>
            <w:vAlign w:val="bottom"/>
            <w:gridSpan w:val="3"/>
          </w:tcPr>
          <w:p>
            <w:pPr>
              <w:spacing w:after="0"/>
              <w:rPr>
                <w:sz w:val="18"/>
                <w:szCs w:val="18"/>
                <w:color w:val="auto"/>
              </w:rPr>
            </w:pPr>
          </w:p>
        </w:tc>
      </w:tr>
      <w:tr>
        <w:trPr>
          <w:trHeight w:val="202"/>
        </w:trPr>
        <w:tc>
          <w:tcPr>
            <w:tcW w:w="2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Charles M. Baum</w:t>
            </w:r>
          </w:p>
        </w:tc>
        <w:tc>
          <w:tcPr>
            <w:tcW w:w="120" w:type="dxa"/>
            <w:vAlign w:val="bottom"/>
            <w:shd w:val="clear" w:color="auto" w:fill="CCEEFF"/>
          </w:tcPr>
          <w:p>
            <w:pPr>
              <w:spacing w:after="0"/>
              <w:rPr>
                <w:sz w:val="17"/>
                <w:szCs w:val="17"/>
                <w:color w:val="auto"/>
              </w:rPr>
            </w:pPr>
          </w:p>
        </w:tc>
        <w:tc>
          <w:tcPr>
            <w:tcW w:w="3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Mirati Therapeutics, Inc.</w:t>
            </w:r>
          </w:p>
        </w:tc>
        <w:tc>
          <w:tcPr>
            <w:tcW w:w="236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Therapeutics</w:t>
            </w:r>
          </w:p>
        </w:tc>
        <w:tc>
          <w:tcPr>
            <w:tcW w:w="346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President,  Chief  Executive  Officer  and</w:t>
            </w:r>
          </w:p>
        </w:tc>
      </w:tr>
      <w:tr>
        <w:trPr>
          <w:trHeight w:val="230"/>
        </w:trPr>
        <w:tc>
          <w:tcPr>
            <w:tcW w:w="2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60" w:type="dxa"/>
            <w:vAlign w:val="bottom"/>
            <w:shd w:val="clear" w:color="auto" w:fill="CCEEFF"/>
          </w:tcPr>
          <w:p>
            <w:pPr>
              <w:spacing w:after="0"/>
              <w:rPr>
                <w:sz w:val="20"/>
                <w:szCs w:val="20"/>
                <w:color w:val="auto"/>
              </w:rPr>
            </w:pPr>
          </w:p>
        </w:tc>
        <w:tc>
          <w:tcPr>
            <w:tcW w:w="34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Director</w:t>
            </w:r>
          </w:p>
        </w:tc>
      </w:tr>
      <w:tr>
        <w:trPr>
          <w:trHeight w:val="216"/>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Immunomedics, Inc.</w:t>
            </w:r>
          </w:p>
        </w:tc>
        <w:tc>
          <w:tcPr>
            <w:tcW w:w="2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Therapeutics</w:t>
            </w:r>
          </w:p>
        </w:tc>
        <w:tc>
          <w:tcPr>
            <w:tcW w:w="34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Director</w:t>
            </w: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360" w:type="dxa"/>
            <w:vAlign w:val="bottom"/>
            <w:gridSpan w:val="2"/>
          </w:tcPr>
          <w:p>
            <w:pPr>
              <w:spacing w:after="0"/>
              <w:rPr>
                <w:sz w:val="18"/>
                <w:szCs w:val="18"/>
                <w:color w:val="auto"/>
              </w:rPr>
            </w:pPr>
          </w:p>
        </w:tc>
        <w:tc>
          <w:tcPr>
            <w:tcW w:w="3460" w:type="dxa"/>
            <w:vAlign w:val="bottom"/>
            <w:gridSpan w:val="3"/>
          </w:tcPr>
          <w:p>
            <w:pPr>
              <w:spacing w:after="0"/>
              <w:rPr>
                <w:sz w:val="18"/>
                <w:szCs w:val="18"/>
                <w:color w:val="auto"/>
              </w:rPr>
            </w:pPr>
          </w:p>
        </w:tc>
      </w:tr>
      <w:tr>
        <w:trPr>
          <w:trHeight w:val="202"/>
        </w:trPr>
        <w:tc>
          <w:tcPr>
            <w:tcW w:w="2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Jamie G. Christensen</w:t>
            </w:r>
          </w:p>
        </w:tc>
        <w:tc>
          <w:tcPr>
            <w:tcW w:w="120" w:type="dxa"/>
            <w:vAlign w:val="bottom"/>
            <w:shd w:val="clear" w:color="auto" w:fill="CCEEFF"/>
          </w:tcPr>
          <w:p>
            <w:pPr>
              <w:spacing w:after="0"/>
              <w:rPr>
                <w:sz w:val="17"/>
                <w:szCs w:val="17"/>
                <w:color w:val="auto"/>
              </w:rPr>
            </w:pPr>
          </w:p>
        </w:tc>
        <w:tc>
          <w:tcPr>
            <w:tcW w:w="3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Mirati Therapeutics, Inc.</w:t>
            </w:r>
          </w:p>
        </w:tc>
        <w:tc>
          <w:tcPr>
            <w:tcW w:w="236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Therapeutics</w:t>
            </w:r>
          </w:p>
        </w:tc>
        <w:tc>
          <w:tcPr>
            <w:tcW w:w="346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Executive Vice President and Chief</w:t>
            </w:r>
          </w:p>
        </w:tc>
      </w:tr>
      <w:tr>
        <w:trPr>
          <w:trHeight w:val="230"/>
        </w:trPr>
        <w:tc>
          <w:tcPr>
            <w:tcW w:w="2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60" w:type="dxa"/>
            <w:vAlign w:val="bottom"/>
            <w:shd w:val="clear" w:color="auto" w:fill="CCEEFF"/>
          </w:tcPr>
          <w:p>
            <w:pPr>
              <w:spacing w:after="0"/>
              <w:rPr>
                <w:sz w:val="20"/>
                <w:szCs w:val="20"/>
                <w:color w:val="auto"/>
              </w:rPr>
            </w:pPr>
          </w:p>
        </w:tc>
        <w:tc>
          <w:tcPr>
            <w:tcW w:w="34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Scientific Officer</w:t>
            </w: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2" w:name="page83"/>
    <w:bookmarkEnd w:id="82"/>
    <w:p>
      <w:pPr>
        <w:jc w:val="both"/>
        <w:ind w:firstLine="324"/>
        <w:spacing w:after="0" w:line="255" w:lineRule="auto"/>
        <w:rPr>
          <w:sz w:val="20"/>
          <w:szCs w:val="20"/>
          <w:color w:val="auto"/>
        </w:rPr>
      </w:pPr>
      <w:r>
        <w:rPr>
          <w:rFonts w:ascii="Arial" w:cs="Arial" w:eastAsia="Arial" w:hAnsi="Arial"/>
          <w:sz w:val="18"/>
          <w:szCs w:val="18"/>
          <w:color w:val="auto"/>
        </w:rPr>
        <w:t>Further, our insiders, including our officers and directors, have agreed to vote any shares of common stock held by them in favor of our initial business combination. In addition, they have agreed to waive their respective rights to receive any amounts held in the trust account with respect to their insider shares and private shares if we are unable to complete our initial business combination within the required time frame. If they purchase shares of common stock in this offering or in the open market, however, they would be entitled to receive their pro rata share of the amounts held in the trust account if we are unable to complete our initial business combination within the required time frame, but have agreed not to convert such shares in connection with the consummation of our initial business combination.</w:t>
      </w:r>
    </w:p>
    <w:p>
      <w:pPr>
        <w:spacing w:after="0" w:line="19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All ongoing and future transactions between us and any of our officers and directors or their respective affiliates will be on terms believed by us to be no less favorable to us than are available from unaffiliated third parties. Such transactions will require prior approval by our audit committee and a majority of our uninterested “independent” directors, or the members of our board who do not have an interest in the transaction, in either case who had access, at our expense, to our attorneys or independent legal counsel. We will not enter into any such transaction unless our audit committee and a majority of our disinterested “independent” directors determine that the terms of such transaction are no less favorable to us than those that would be available to us with respect to such a transaction from unaffiliated third parties.</w:t>
      </w:r>
    </w:p>
    <w:p>
      <w:pPr>
        <w:spacing w:after="0" w:line="17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To further minimize conflicts of interest, we have agreed not to consummate our initial business combination with an entity that is affiliated with any of our officers, directors or other insiders, unless we have obtained (i) an opinion from an independent investment banking firm that the business combination is fair to our unaffiliated stockholders from a financial point of view and (ii) the approval of a majority of our disinterested and independent directors (if we have any at that time). In no event will our insiders or any of the members of our management team be paid any finder’s fee, consulting fee or other similar compensation prior to, or for any services they render in order to effectuate, the consummation of our initial business combination (regardless of the type of transaction that it is).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and Indemnification of Directors and Officers</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certificate of incorporation provides that our directors and officers will be indemnified by us to the fullest extent authorized by Delaware law as it now exists or may in the future be amended. In addition, our certificate of incorporation provides that our directors will not be personally liable for monetary damages to us for breaches of their fiduciary duty as directors, unless they violated their duty of loyalty to us or our stockholders, acted in bad faith, knowingly or intentionally violated the law, authorized unlawful payments of dividends, unlawful stock purchases or unlawful redemptions, or derived an improper personal benefit from their actions as directors. Notwithstanding the foregoing, as set forth in our certificate of incorporation, such indemnification will not extend to any claims our insiders may make to us to cover any loss that they may sustain as a result of their agreement to pay debts and obligations to target businesses or vendors or other entities that are owed money by us for services rendered or contracted for or products sold to us as described elsewhere in this prospectus.</w:t>
      </w:r>
    </w:p>
    <w:p>
      <w:pPr>
        <w:spacing w:after="0" w:line="19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bylaws also will permit us to secure insurance on behalf of any officer, director or employee for any liability arising out of his or her actions, regardless of whether Delaware law would permit indemnification. We will purchase a policy of directors’ and officers’ liability insurance that insures our directors and officers against the cost of defense, settlement or payment of a judgment in some circumstances and insures us against our obligations to indemnify the directors and officers.</w:t>
      </w:r>
    </w:p>
    <w:p>
      <w:pPr>
        <w:spacing w:after="0" w:line="18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These provisions may discourage stockholders from bringing a lawsuit against our directors for breach of their fiduciary duty. These provisions also may have the effect of reducing the likelihood of derivative litigation against directors and officers, even though such an action, if successful, might otherwise benefit us and our stockholders. Furthermore, a stockholder’s investment may be adversely affected to the extent we pay the costs of settlement and damage awards against directors and officers pursuant to these provisions. We believe that these provisions, the insurance and the indemnity agreements are necessary to attract and retain talented and experienced directors and officers.</w:t>
      </w:r>
    </w:p>
    <w:p>
      <w:pPr>
        <w:spacing w:after="0" w:line="17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PRINCIPAL STOCKHOLDERS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following table sets forth information regarding the beneficial ownership of our shares of common stock as of the date of this prospectus and as adjusted to reflect the sale of our shares of common stock included in the shares of common stock offered by this prospectus (assuming none of the individuals listed purchase shares in this offering), by:</w:t>
      </w:r>
    </w:p>
    <w:p>
      <w:pPr>
        <w:spacing w:after="0" w:line="184"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each person known by us to be the beneficial owner of more than 5% of our issued and outstanding shares of common stock;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each of our officers, directors and director nominees;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all of our officers, directors and director nominees as a group.</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Unless otherwise indicated, we believe that all persons named in the table have sole voting and investment power with respect to all shares of common stock beneficially owned by them.</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340"/>
        </w:trPr>
        <w:tc>
          <w:tcPr>
            <w:tcW w:w="5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00" w:type="dxa"/>
            <w:vAlign w:val="bottom"/>
            <w:gridSpan w:val="4"/>
          </w:tcPr>
          <w:p>
            <w:pPr>
              <w:jc w:val="right"/>
              <w:ind w:right="820"/>
              <w:spacing w:after="0"/>
              <w:rPr>
                <w:sz w:val="20"/>
                <w:szCs w:val="20"/>
                <w:color w:val="auto"/>
              </w:rPr>
            </w:pPr>
            <w:r>
              <w:rPr>
                <w:rFonts w:ascii="Arial" w:cs="Arial" w:eastAsia="Arial" w:hAnsi="Arial"/>
                <w:sz w:val="18"/>
                <w:szCs w:val="18"/>
                <w:b w:val="1"/>
                <w:bCs w:val="1"/>
                <w:color w:val="auto"/>
              </w:rPr>
              <w:t>Prior to Offering</w:t>
            </w:r>
          </w:p>
        </w:tc>
        <w:tc>
          <w:tcPr>
            <w:tcW w:w="2600" w:type="dxa"/>
            <w:vAlign w:val="bottom"/>
            <w:gridSpan w:val="4"/>
          </w:tcPr>
          <w:p>
            <w:pPr>
              <w:jc w:val="right"/>
              <w:ind w:right="740"/>
              <w:spacing w:after="0"/>
              <w:rPr>
                <w:sz w:val="20"/>
                <w:szCs w:val="20"/>
                <w:color w:val="auto"/>
              </w:rPr>
            </w:pPr>
            <w:r>
              <w:rPr>
                <w:rFonts w:ascii="Arial" w:cs="Arial" w:eastAsia="Arial" w:hAnsi="Arial"/>
                <w:sz w:val="18"/>
                <w:szCs w:val="18"/>
                <w:b w:val="1"/>
                <w:bCs w:val="1"/>
                <w:color w:val="auto"/>
              </w:rPr>
              <w:t>After Offering</w:t>
            </w:r>
            <w:r>
              <w:rPr>
                <w:rFonts w:ascii="Arial" w:cs="Arial" w:eastAsia="Arial" w:hAnsi="Arial"/>
                <w:sz w:val="29"/>
                <w:szCs w:val="29"/>
                <w:b w:val="1"/>
                <w:bCs w:val="1"/>
                <w:color w:val="auto"/>
                <w:vertAlign w:val="superscript"/>
              </w:rPr>
              <w:t>(2)</w:t>
            </w:r>
          </w:p>
        </w:tc>
        <w:tc>
          <w:tcPr>
            <w:tcW w:w="0" w:type="dxa"/>
            <w:vAlign w:val="bottom"/>
          </w:tcPr>
          <w:p>
            <w:pPr>
              <w:spacing w:after="0"/>
              <w:rPr>
                <w:sz w:val="1"/>
                <w:szCs w:val="1"/>
                <w:color w:val="auto"/>
              </w:rPr>
            </w:pPr>
          </w:p>
        </w:tc>
      </w:tr>
      <w:tr>
        <w:trPr>
          <w:trHeight w:val="198"/>
        </w:trPr>
        <w:tc>
          <w:tcPr>
            <w:tcW w:w="5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2"/>
              </w:rPr>
              <w:t>Approximate</w:t>
            </w:r>
          </w:p>
        </w:tc>
        <w:tc>
          <w:tcPr>
            <w:tcW w:w="26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2"/>
              </w:rPr>
              <w:t>Approximate</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Percentage of</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Percentage of</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Amount</w:t>
            </w: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Outstanding</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Amount</w:t>
            </w: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Outstanding</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and Nature of</w:t>
            </w: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Shares of</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and Nature of</w:t>
            </w: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Shares</w:t>
            </w:r>
          </w:p>
        </w:tc>
        <w:tc>
          <w:tcPr>
            <w:tcW w:w="0" w:type="dxa"/>
            <w:vAlign w:val="bottom"/>
          </w:tcPr>
          <w:p>
            <w:pPr>
              <w:spacing w:after="0"/>
              <w:rPr>
                <w:sz w:val="1"/>
                <w:szCs w:val="1"/>
                <w:color w:val="auto"/>
              </w:rPr>
            </w:pPr>
          </w:p>
        </w:tc>
      </w:tr>
      <w:tr>
        <w:trPr>
          <w:trHeight w:val="216"/>
        </w:trPr>
        <w:tc>
          <w:tcPr>
            <w:tcW w:w="5840" w:type="dxa"/>
            <w:vAlign w:val="bottom"/>
            <w:vMerge w:val="restart"/>
          </w:tcPr>
          <w:p>
            <w:pPr>
              <w:spacing w:after="0"/>
              <w:rPr>
                <w:sz w:val="20"/>
                <w:szCs w:val="20"/>
                <w:color w:val="auto"/>
              </w:rPr>
            </w:pPr>
            <w:r>
              <w:rPr>
                <w:rFonts w:ascii="Arial" w:cs="Arial" w:eastAsia="Arial" w:hAnsi="Arial"/>
                <w:sz w:val="18"/>
                <w:szCs w:val="18"/>
                <w:b w:val="1"/>
                <w:bCs w:val="1"/>
                <w:color w:val="auto"/>
              </w:rPr>
              <w:t>Name and Address of Beneficial Owner</w:t>
            </w:r>
            <w:r>
              <w:rPr>
                <w:rFonts w:ascii="Arial" w:cs="Arial" w:eastAsia="Arial" w:hAnsi="Arial"/>
                <w:sz w:val="29"/>
                <w:szCs w:val="29"/>
                <w:b w:val="1"/>
                <w:bCs w:val="1"/>
                <w:color w:val="auto"/>
                <w:vertAlign w:val="superscript"/>
              </w:rPr>
              <w:t>(1)</w:t>
            </w:r>
          </w:p>
        </w:tc>
        <w:tc>
          <w:tcPr>
            <w:tcW w:w="100" w:type="dxa"/>
            <w:vAlign w:val="bottom"/>
            <w:vMerge w:val="restart"/>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Beneficial</w:t>
            </w: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Common</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Beneficial</w:t>
            </w: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of Common</w:t>
            </w:r>
          </w:p>
        </w:tc>
        <w:tc>
          <w:tcPr>
            <w:tcW w:w="0" w:type="dxa"/>
            <w:vAlign w:val="bottom"/>
          </w:tcPr>
          <w:p>
            <w:pPr>
              <w:spacing w:after="0"/>
              <w:rPr>
                <w:sz w:val="1"/>
                <w:szCs w:val="1"/>
                <w:color w:val="auto"/>
              </w:rPr>
            </w:pPr>
          </w:p>
        </w:tc>
      </w:tr>
      <w:tr>
        <w:trPr>
          <w:trHeight w:val="241"/>
        </w:trPr>
        <w:tc>
          <w:tcPr>
            <w:tcW w:w="584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Ownership</w:t>
            </w: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Stock</w:t>
            </w:r>
          </w:p>
        </w:tc>
        <w:tc>
          <w:tcPr>
            <w:tcW w:w="26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Ownership</w:t>
            </w: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Stock</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8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BCTG Holdings, LLC (our sponsor) </w:t>
            </w:r>
            <w:r>
              <w:rPr>
                <w:rFonts w:ascii="Arial" w:cs="Arial" w:eastAsia="Arial" w:hAnsi="Arial"/>
                <w:sz w:val="29"/>
                <w:szCs w:val="29"/>
                <w:color w:val="auto"/>
                <w:vertAlign w:val="superscript"/>
              </w:rPr>
              <w:t>(3)</w:t>
            </w:r>
          </w:p>
        </w:tc>
        <w:tc>
          <w:tcPr>
            <w:tcW w:w="10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3,593,750</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3,575,000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Arial" w:cs="Arial" w:eastAsia="Arial" w:hAnsi="Arial"/>
                <w:sz w:val="18"/>
                <w:szCs w:val="18"/>
                <w:color w:val="auto"/>
              </w:rPr>
              <w:t>Aaron Davis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Christopher Fuglesang</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Arial" w:cs="Arial" w:eastAsia="Arial" w:hAnsi="Arial"/>
                <w:sz w:val="18"/>
                <w:szCs w:val="18"/>
                <w:color w:val="auto"/>
              </w:rPr>
              <w:t>Michael Beauchamp</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Andrew Ellis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Arial" w:cs="Arial" w:eastAsia="Arial" w:hAnsi="Arial"/>
                <w:sz w:val="18"/>
                <w:szCs w:val="18"/>
                <w:color w:val="auto"/>
              </w:rPr>
              <w:t>Carole L. Nuechterlein</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Heyman</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Arial" w:cs="Arial" w:eastAsia="Arial" w:hAnsi="Arial"/>
                <w:sz w:val="18"/>
                <w:szCs w:val="18"/>
                <w:color w:val="auto"/>
              </w:rPr>
              <w:t>Charles M. Baum</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Jamie G. Christensen</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40" w:type="dxa"/>
            <w:vAlign w:val="bottom"/>
            <w:gridSpan w:val="2"/>
          </w:tcPr>
          <w:p>
            <w:pPr>
              <w:spacing w:after="0"/>
              <w:rPr>
                <w:sz w:val="20"/>
                <w:szCs w:val="20"/>
                <w:color w:val="auto"/>
              </w:rPr>
            </w:pPr>
            <w:r>
              <w:rPr>
                <w:rFonts w:ascii="Arial" w:cs="Arial" w:eastAsia="Arial" w:hAnsi="Arial"/>
                <w:sz w:val="18"/>
                <w:szCs w:val="18"/>
                <w:color w:val="auto"/>
              </w:rPr>
              <w:t>All officers and directors as a group (8 individuals)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3,593,750</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3,575,000</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Less than 1%.</w:t>
      </w:r>
    </w:p>
    <w:p>
      <w:pPr>
        <w:spacing w:after="0" w:line="225" w:lineRule="exact"/>
        <w:rPr>
          <w:sz w:val="20"/>
          <w:szCs w:val="20"/>
          <w:color w:val="auto"/>
        </w:rPr>
      </w:pPr>
    </w:p>
    <w:p>
      <w:pPr>
        <w:ind w:left="340" w:hanging="332"/>
        <w:spacing w:after="0" w:line="277"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Unless otherwise indicated, the business address of each of the individuals is c/o BCTG Acquisition Corp., 11682 El Camino Real, Suite 320, San Diego, CA 92130.</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Assumes no exercise of the over-allotment option and, therefore, an aggregate of 468,750 shares of common stock held by our initial stockholders are forfeited.</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board consisting of Aaron Davis, Christopher Fuglesang and Andrew Ellis makes voting and dispositive decisions with respect to our securities owned by the sponsor. Each of Aaron Davis, Christopher Fuglesang and Andrew Ellis disclaims any pecuniary interest in the sponsor except to the extent of his beneficial interest in the securities owned by the sponsor.</w:t>
      </w:r>
    </w:p>
    <w:p>
      <w:pPr>
        <w:spacing w:after="0" w:line="18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Immediately after this offering, our initial stockholders will beneficially own 20% of the then issued and outstanding shares of common stock (assuming none of them purchase any shares of our common stock offered by this prospectus). None of our initial stockholders, officers and directors has indicated to us that he intends to purchase securities in this offering. Because of the ownership block held by our initial stockholders, such individuals may be able to effectively exercise control over all matters requiring approval by our stockholders, including the election of directors and approval of significant corporate transactions other than approval of our initial business combination.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4" w:name="page85"/>
    <w:bookmarkEnd w:id="84"/>
    <w:p>
      <w:pPr>
        <w:jc w:val="both"/>
        <w:ind w:firstLine="324"/>
        <w:spacing w:after="0" w:line="311" w:lineRule="auto"/>
        <w:rPr>
          <w:sz w:val="20"/>
          <w:szCs w:val="20"/>
          <w:color w:val="auto"/>
        </w:rPr>
      </w:pPr>
      <w:r>
        <w:rPr>
          <w:rFonts w:ascii="Arial" w:cs="Arial" w:eastAsia="Arial" w:hAnsi="Arial"/>
          <w:sz w:val="16"/>
          <w:szCs w:val="16"/>
          <w:color w:val="auto"/>
        </w:rPr>
        <w:t>If the underwriters do not exercise all or a portion of the over-allotment option, our initial stockholders will have up to an aggregate 468,750 shares of common stock subject to forfeiture. Only a number of shares necessary to maintain our initial stockholders’ collective 20% ownership interest in our shares of common stock after giving effect to the offering and the exercise, if any, of the underwriters’ over-allotment option will be forfeited.</w:t>
      </w:r>
    </w:p>
    <w:p>
      <w:pPr>
        <w:spacing w:after="0" w:line="14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All of the insider shares issued and outstanding prior to the date of this prospectus will be placed in escrow with Continental Stock Transfer &amp; Trust Company, as escrow agent. Founder shares will not be transferred, assigned, sold or released from escrow until the earlier of (i) one year after the date of the consummation of our initial business combination or (ii) the date on which the closing price of our shares of common stock equals or exceeds $12.00 per share (as adjusted for stock splits, stock dividends, reorganizations and recapitalizations) for any 20 trading days within any 30-trading day period commencing after our initial business combination, or earlier if, subsequent to our initial business combination, we consummate a subsequent liquidation, merger, stock exchange or other similar transaction which results in all of our stockholders having the right to exchange their shares of common stock for cash, securities or other property. Up to 468,750 of the insider shares may also be released from escrow earlier than this date for forfeiture and cancellation if the over-allotment option is not exercised in full as described above.</w:t>
      </w:r>
    </w:p>
    <w:p>
      <w:pPr>
        <w:spacing w:after="0" w:line="178"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During the escrow period, the holders of these shares will not be able to sell or transfer their securities except (i) for transfers to our officers, directors or their respective affiliates (including for transfers to an entity’s members upon its liquidation), (ii) to relatives and trusts for estate planning purposes, (iii) by virtue of the laws of descent and distribution upon death, (iv) pursuant to a qualified domestic relations order, (v) by certain pledges to secure obligations incurred in connection with purchases of our securities, (vi) by private sales made at or prior to the consummation of a business combination at prices no greater than the price at which the shares were originally purchased or (vii) to us for no value for cancellation in connection with the consummation of our initial business combination, in each case (except for clause (vii)) where the transferee agrees to the terms of the escrow agreement, but will retain all other rights as our stockholders, including, without limitation, the right to vote their shares of common stock and the right to receive cash dividends, if declared. If dividends are declared and payable in shares of common stock, such dividends will also be placed in escrow. If we are unable to effect a business combination and liquidate the trust account, none of our initial stockholders will receive any portion of the liquidation proceeds with respect to their insider shares.</w:t>
      </w:r>
    </w:p>
    <w:p>
      <w:pPr>
        <w:spacing w:after="0" w:line="18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sponsor has committed to purchase from us an aggregate of 450,000 shares of our common stock (or 487,500 shares if the underwriters’ over-allotment option is exercised in full) at a price of $10.00 per share ($4,500,000 in the aggregate, or $4,875,000 in the aggregate if the underwriters’ over-allotment option is exercised in full), in a private placement that will close simultaneously with the closing of this offering. If we do not complete our initial business combination within 24 months from the closing of this offering, the proceeds from the sale of the private shares will be included in the liquidating distribution to the holders of our public shares.</w:t>
      </w:r>
    </w:p>
    <w:p>
      <w:pPr>
        <w:spacing w:after="0" w:line="18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order to meet our working capital needs following the consummation of this offering, our initial stockholders, officers and directors or their affiliates may, but are not obligated to, loan us funds, from time to time or at any time, in whatever amount they deem reasonable in their sole discretion. Each loan would be evidenced by a promissory note. The notes would either be paid upon consummation of our initial business combination, without interest, or, at the lender’s discretion, up to $1,500,000 of the notes may be converted upon consummation of our business combination into additional private shares at a price of $10.00 per share (which, for example, would result in the holders being issued 500,000 shares if $500,000 of notes were so converted). Such private shares will be identical to the private shares to be issued at the closing of this offering. Our stockholders have approved the issuance of the private shares upon conversion of such notes, to the extent the holder wishes to so convert them at the time of the consummation of our initial business combination. If we do not complete a business combination, the loans will not be repaid.</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BCTG Holdings, LLC is our “promoter,” as that term is defined under the Federal securities laws.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CERTAIN TRANSACTIONS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June 4, 2020, our sponsor purchased 3,593,750 shares, which we refer to herein as “founder shares” or “insider shares,” for an aggregate purchase price of $25,000. The founder shares include an aggregate of up to 468,750 shares that are subject to forfeiture to the extent that the underwriters’ over-allotment option is not exercised in full or in part.</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If the underwriters do not exercise all or a portion of their over-allotment option, our initial stockholders have agreed that up to an aggregate of 468,750 shares of common stock in proportion to the portion of the over-allotment option that was not exercised are subject to forfeiture and would be immediately cancelled.</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If the underwriters determine the size of the offering should be increased (including pursuant to Rule 462(b) under the Securities Act) or decreased, a share capitalizations or a contribution back to capital, as applicable, would be effectuated in order to maintain our initial stockholder’s ownership at 20% of the number of shares issued and outstanding after the closing of this offering.</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sponsor has committed to purchase from us an aggregate of 450,000 shares of our common stock (or 487,500 shares if the underwriters’ over-allotment option is exercised in full) at a price of $10.00 per share ($4,500,000 in the aggregate, or $4,875,000 in the aggregate if the underwriters’ over-allotment option is exercised in full), in a private placement that will close simultaneously with the closing of this offering. If we do not complete our initial business combination within 24 months from the closing of this offering, the proceeds from the sale of the private shares will be included in the liquidating distribution to the holders of our public shares.</w:t>
      </w:r>
    </w:p>
    <w:p>
      <w:pPr>
        <w:spacing w:after="0" w:line="18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order to meet our working capital needs following the consummation of this offering, our initial stockholders, officers and directors or their affiliates may, but are not obligated to, loan us funds, from time to time or at any time, in whatever amount they deem reasonable in their sole discretion. Each loan would be evidenced by a promissory note. The notes would either be paid upon consummation of our initial business combination, without interest, or, at the lender’s discretion, up to $1,500,000 of the notes may be converted upon consummation of our business combination into additional private shares at a price of $10.00 per share (which, for example, would result in the holders being issued 500,000 shares if $500,000 of notes were so converted). Such private shares will be identical to the private shares to be issued at the closing of this offering. Our stockholders have approved the issuance of the private shares upon conversion of such notes, to the extent the holder wishes to so convert them at the time of the consummation of our initial business combination. If we do not complete a business combination, the loans will not be repaid.</w:t>
      </w:r>
    </w:p>
    <w:p>
      <w:pPr>
        <w:spacing w:after="0" w:line="17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holders of our insider shares issued and outstanding on the date of this prospectus, as well as the holders of the private shares, will be entitled to registration and stockholder rights pursuant to an agreement to be signed prior to or on the effective date of this offering. The holders of a majority of these securities are entitled to make up to two demands that we register such securities. The holders of the majority of the insider shares can elect to exercise these registration rights at any time commencing three months prior to the date on which these shares of common stock are to be released from escrow. In addition, the holders have certain “piggy-back” registration rights with respect to registration statements filed subsequent to our consummation of a business combination. We will bear the expenses incurred in connection with the filing of any such registration statements.</w:t>
      </w:r>
    </w:p>
    <w:p>
      <w:pPr>
        <w:spacing w:after="0" w:line="17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Pursuant to the registration rights and stockholder rights agreement our sponsor will be entitled, upon consummation of our initial business combination, to nominate three individuals for election to our board of directors, which is described under the section of this prospectus entitled “Description of Securities—Registration and Stockholder Rights.”</w:t>
      </w:r>
    </w:p>
    <w:p>
      <w:pPr>
        <w:spacing w:after="0" w:line="18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will reimburse our officers and directors for any reasonable out-of-pocket business expenses incurred by them in connection with certain activities on our behalf such as identifying and investigating possible target businesses and business combinations. There is no limit on the amount of out-of-pocket expenses reimbursable by us; provided, however, that to the extent such expenses exceed the available proceeds not deposited in the trust account and the interest income earned on the amounts held in the trust account, such expenses would not be reimbursed by us unless we consummate an initial business combination. Our audit committee will review and approve all reimbursements and payments made to any initial stockholder or member of our management team, or our or their respective affiliates, and any reimbursements and payments made to members of our audit committee will be reviewed and approved by our Board of Directors, with any interested director abstaining from such review and approval.</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6" w:name="page87"/>
    <w:bookmarkEnd w:id="86"/>
    <w:p>
      <w:pPr>
        <w:jc w:val="both"/>
        <w:ind w:firstLine="324"/>
        <w:spacing w:after="0" w:line="263" w:lineRule="auto"/>
        <w:rPr>
          <w:sz w:val="20"/>
          <w:szCs w:val="20"/>
          <w:color w:val="auto"/>
        </w:rPr>
      </w:pPr>
      <w:r>
        <w:rPr>
          <w:rFonts w:ascii="Arial" w:cs="Arial" w:eastAsia="Arial" w:hAnsi="Arial"/>
          <w:sz w:val="18"/>
          <w:szCs w:val="18"/>
          <w:color w:val="auto"/>
        </w:rPr>
        <w:t>No compensation or fees of any kind, including finder’s fees, consulting fees or other similar compensation, will be paid to any of our initial stockholders, officers or directors who owned our shares of common stock prior to this offering, or to any of their respective affiliates, prior to or with respect to the business combination (regardless of the type of transaction that it is).</w:t>
      </w:r>
    </w:p>
    <w:p>
      <w:pPr>
        <w:spacing w:after="0" w:line="18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sponsor has entered into an agreement with us to purchase at least an aggregate of 2,500,000 shares of common stock for an aggregate purchase price of $25,000,000, or $10.00 per share of common stock, prior to, concurrently with, or following the closing of our business combination in a private placement. The shares of common stock issuable pursuant to the forward purchase agreement will be identical to the shares of common stock being sold in this offering, except that the holders thereof will have certain registration rights, as described herein. The capital from such transaction may be used as part of the consideration to the sellers in our initial business combination, and any excess capital from such private placement would be used for working capital in the post-transaction company.</w:t>
      </w:r>
    </w:p>
    <w:p>
      <w:pPr>
        <w:spacing w:after="0" w:line="19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All ongoing and future transactions between us and any of our officers and directors or their respective affiliates will be on terms believed by us to be no less favorable to us than are available from unaffiliated third parties. Such transactions, including the payment of any compensation, will require prior approval by a majority of our uninterested “independent” directors (to the extent we have any) or the members of our board who do not have an interest in the transaction, in either case who had access, at our expense, to our attorneys or independent legal counsel. We will not enter into any such transaction unless our disinterested “independent” directors (or, if there are no “independent” directors, our disinterested directors) determine that the terms of such transaction are no less favorable to us than those that would be available to us with respect to such a transaction from unaffiliated third parties.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Policy</w:t>
      </w:r>
    </w:p>
    <w:p>
      <w:pPr>
        <w:spacing w:after="0" w:line="22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Our Code of Ethics, which we will adopt upon consummation of this offering, will require us to avoid, wherever possible, all related party transactions that could result in actual or potential conflicts of interests, except under guidelines approved by the board of directors (or the audit committee). Related-party transactions are defined as transactions in which (1) the aggregate amount involved will or may be expected to exceed $120,000 in any calendar year,</w:t>
      </w:r>
    </w:p>
    <w:p>
      <w:pPr>
        <w:spacing w:after="0" w:line="2" w:lineRule="exact"/>
        <w:rPr>
          <w:sz w:val="20"/>
          <w:szCs w:val="20"/>
          <w:color w:val="auto"/>
        </w:rPr>
      </w:pPr>
    </w:p>
    <w:p>
      <w:pPr>
        <w:jc w:val="both"/>
        <w:ind w:firstLine="8"/>
        <w:spacing w:after="0" w:line="271" w:lineRule="auto"/>
        <w:tabs>
          <w:tab w:leader="none" w:pos="277" w:val="left"/>
        </w:tabs>
        <w:numPr>
          <w:ilvl w:val="0"/>
          <w:numId w:val="41"/>
        </w:numPr>
        <w:rPr>
          <w:rFonts w:ascii="Arial" w:cs="Arial" w:eastAsia="Arial" w:hAnsi="Arial"/>
          <w:sz w:val="17"/>
          <w:szCs w:val="17"/>
          <w:color w:val="auto"/>
        </w:rPr>
      </w:pPr>
      <w:r>
        <w:rPr>
          <w:rFonts w:ascii="Arial" w:cs="Arial" w:eastAsia="Arial" w:hAnsi="Arial"/>
          <w:sz w:val="17"/>
          <w:szCs w:val="17"/>
          <w:color w:val="auto"/>
        </w:rPr>
        <w:t>we or any of our subsidiaries is a participant, and (3) any (a) executive officer, director or nominee for election as a director, (b) greater than 5% beneficial owner of our common stock, or (c) immediate family member, of the persons referred to in clauses (a) and (b), has or will have a direct or indirect material interest (other than solely as a result of being a director or a less than 10% beneficial owner of another entity). A conflict of interest situation can arise when a person takes actions or has interests that may make it difficult to perform his or her work objectively and effectively. Conflicts of interest may also arise if a person, or a member of his or her family, receives improper personal benefits as a result of his or her position.</w:t>
      </w:r>
    </w:p>
    <w:p>
      <w:pPr>
        <w:spacing w:after="0" w:line="17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audit committee, pursuant to its written charter, will be responsible for reviewing and approving related-party transactions to the extent we enter into such transactions. All ongoing and future transactions between us and any of our officers and directors or their respective affiliates will be on terms believed by us to be no less favorable to us than are available from unaffiliated third parties. Such transactions will require prior approval by our audit committee and a majority of our uninterested “independent” directors, or the members of our board who do not have an interest in the transaction, in either case who had access, at our expense, to our attorneys or independent legal counsel. We will not enter into any such transaction unless our audit committee and a majority of our disinterested “independent” directors determine that the terms of such transaction are no less favorable to us than those that would be available to us with respect to such a transaction from unaffiliated third parties. Additionally, we require each of our directors and executive officers to complete a directors’ and officers’ questionnaire that elicits information about related party transactions.</w:t>
      </w:r>
    </w:p>
    <w:p>
      <w:pPr>
        <w:spacing w:after="0" w:line="17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These procedures are intended to determine whether any such related party transaction impairs the independence of a director or presents a conflict of interest on the part of a director, employee or officer.</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To further minimize potential conflicts of interest, we have agreed not to consummate a business combination with an entity which is affiliated with any of our initial stockholders unless we obtain an opinion from an independent investment banking firm that the business combination is fair to our unaffiliated stockholders from a financial point of view. Furthermore, in no event will any of our existing officers, directors or initial stockholders, or any entity with which they are affiliated, be paid any finder’s fee, consulting fee or other compensation prior to, or for any services they render in order to effectuate, the consummation of a business combination.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DESCRIPTION OF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left="440"/>
        <w:spacing w:after="0"/>
        <w:tabs>
          <w:tab w:leader="none" w:pos="8640" w:val="left"/>
        </w:tabs>
        <w:rPr>
          <w:sz w:val="20"/>
          <w:szCs w:val="20"/>
          <w:color w:val="auto"/>
        </w:rPr>
      </w:pPr>
      <w:r>
        <w:rPr>
          <w:rFonts w:ascii="Arial" w:cs="Arial" w:eastAsia="Arial" w:hAnsi="Arial"/>
          <w:sz w:val="18"/>
          <w:szCs w:val="18"/>
          <w:color w:val="auto"/>
        </w:rPr>
        <w:t>Pursuant to our amended certificate of incorporation, our authorized capital stock consists of</w:t>
      </w:r>
      <w:r>
        <w:rPr>
          <w:sz w:val="20"/>
          <w:szCs w:val="20"/>
          <w:color w:val="auto"/>
        </w:rPr>
        <w:tab/>
      </w:r>
      <w:r>
        <w:rPr>
          <w:rFonts w:ascii="Arial" w:cs="Arial" w:eastAsia="Arial" w:hAnsi="Arial"/>
          <w:sz w:val="16"/>
          <w:szCs w:val="16"/>
          <w:color w:val="auto"/>
        </w:rPr>
        <w:t>shares of common stock, par value</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$0.0001, and 1,000,000 shares of preferred stock, par value $0.0001. As of the date of this prospectus, 3,593,750 shares of common stock are issued and outstanding, held by our sponsor, our directors, and affiliates of our management team. No preferred shares are issued or outstanding.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holders of record of our common stock are entitled to one vote for each share held on all matters to be voted on by stockholders. In connection with any vote held to approve our initial business combination, our insiders, officers and directors, have agreed to vote their respective shares of common stock owned by them immediately prior to this offering, including both the insider shares and any shares acquired in this offering or following this offering in the open market, in favor of the proposed business combination.</w:t>
      </w:r>
    </w:p>
    <w:p>
      <w:pPr>
        <w:spacing w:after="0" w:line="18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will consummate our initial business combination only if public stockholders do not exercise conversion rights in an amount that would cause our net tangible assets to be less than $5,000,001 and a majority of the outstanding shares of common stock voted are voted in favor of the business combination.</w:t>
      </w:r>
    </w:p>
    <w:p>
      <w:pPr>
        <w:spacing w:after="0" w:line="18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Pursuant to our certificate of incorporation, if we do not consummate our initial business combination within 24 months from the closing of this offering, we will (i) cease all operations except for the purpose of winding up, (ii) as promptly as reasonably possible but not more than ten business days thereafter, redeem 100% of the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our remaining stockholders and our board of directors, dissolve and liquidate, subject (in the case of (ii) and (iii) above) to our obligations under Delaware law to provide for claims of creditors and the requirements of other applicable law. Our insiders have agreed to waive their rights to share in any distribution with respect to their insider shares.</w:t>
      </w:r>
    </w:p>
    <w:p>
      <w:pPr>
        <w:spacing w:after="0" w:line="17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stockholders have no conversion, preemptive or other subscription rights and there are no sinking fund or redemption provisions applicable to the shares of common stock, except that public stockholders have the right to sell their shares to us in any tender offer or have their shares of common stock converted to cash equal to their pro rata share of the trust account if they vote on the proposed business combination and the business combination is completed.</w:t>
      </w:r>
    </w:p>
    <w:p>
      <w:pPr>
        <w:spacing w:after="0" w:line="18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If we hold a stockholder vote to amend any provisions of our certificate of incorporation relating to stockholder’s rights or pre-business combination activity (including the substance or timing within which we have to complete a business combination), we will provide our public stockholders with the opportunity to redeem their shares of common stock upon approval of any such amendment at a per-share price, payable in cash, equal to the aggregate amount then on deposit in the trust account, including interest earned on the funds held in the trust account and not previously released to us to pay our franchise and income taxes, divided by the number of then outstanding public shares, in connection with any such vote. In either of such events, converting stockholders would be paid their pro rata portion of the trust account promptly following consummation of the business combination or the approval of the amendment to the certificate of incorporation. If the business combination is not consummated or the amendment is not approved, stockholders will not be paid such amounts.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There are no shares of preferred stock outstanding. No shares of preferred stock are being issued or registered in this offering. Accordingly, our board of directors is empowered, without stockholder approval, to issue preferred stock with dividend, liquidation, conversion, voting or other rights which could adversely affect the voting power or other rights of the holders of common stock. However, the underwriting agreement prohibits us, prior to a business combination, from issuing preferred stock which participates in any manner in the proceeds of the trust account, or which votes as a class with the common stock on our initial business combination. We may issue some or all of the preferred stock to effect our initial business combination. In addition, the preferred stock could be utilized as a method of discouraging, delaying or preventing a change in control of us. Although we do not currently intend to issue any shares of preferred stock, we reserve the right to do so in the future.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have not paid any cash dividends on our shares of common stock to date and do not intend to pay cash dividends prior to the completion of a business combination. The payment of cash dividends in the future will be dependent upon our revenues and earnings, if any, capital requirements and general financial condition subsequent to completion of a business combination. The payment of any dividends subsequent to a business combination will be within the discretion of our then board of directors. It is the present intention of our board of directors to retain all earnings, if any, for use in our business operations and, accordingly, our board does not anticipate declaring any dividends in the foreseeable future.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Transfer Agent</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transfer agent for our shares of common stock is Continental Stock Transfer &amp; Trust Company, 1 State Street, 30th Floor, New York, New York 10004.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2857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Anti-Takeover Provisions of Delaware Law and our Certificate of Incorporation and By-Laws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have opted out of Section 203 of the Delaware General Corporate Law, or the DGCL. However, our amended and restated certificate of incorporation contains similar provisions providing that we may not engage in certain “business combinations” with any “interested stockholder” for a three-year period following the time that the stockholder became an interested stockholder, unless:</w:t>
      </w:r>
    </w:p>
    <w:p>
      <w:pPr>
        <w:spacing w:after="0" w:line="184" w:lineRule="exact"/>
        <w:rPr>
          <w:sz w:val="20"/>
          <w:szCs w:val="20"/>
          <w:color w:val="auto"/>
        </w:rPr>
      </w:pPr>
    </w:p>
    <w:p>
      <w:pPr>
        <w:ind w:left="660" w:right="140" w:hanging="328"/>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prior to such time, our board of directors approved either the business combination or the transaction which resulted in the stockholder becoming an interested stockholder;</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at or subsequent to that time, the business combination is approved by our board of directors and by the affirmative vote of holders of at least 66 2/3% of the outstanding voting stock that is not owned by the interested stockholder.</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Generally, a “business combination” includes a merger, asset or stock sale or certain other transactions resulting in a financial benefit to the interested stockholder. Subject to certain exceptions, an “interested stockholder” is a person who, together with that person’s affiliates and associates, owns, or within the previous three years owned, 20% or more of our voting stock.</w:t>
      </w:r>
    </w:p>
    <w:p>
      <w:pPr>
        <w:spacing w:after="0" w:line="18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Under certain circumstances, this provision will make it more difficult for a person who would be an “interested stockholder” to effect various business combinations with a corporation for a three-year period. This provision may encourage companies interested in acquiring our company to negotiate in advance with our board of directors because the stockholder approval requirement would be avoided if our board of directors approves either the business combination or the transaction which results in the stockholder becoming an interested stockholder. These provisions also may have the effect of preventing changes in our board of directors and may make it more difficult to accomplish transactions which stockholders may otherwise deem to be in their best interests.</w:t>
      </w:r>
    </w:p>
    <w:p>
      <w:pPr>
        <w:spacing w:after="0" w:line="19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amended and restated certificate of incorporation provides that our sponsor and its respective affiliates, any of their respective direct or indirect transferees of at least 20% of our outstanding common stock and any group as to which such persons are party to, do not constitute “interested stockholders” for purposes of this provision.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meeting of stockholders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bylaws provide that special meetings of our stockholders may be called only by a majority vote of our board of directors, by our chief executive officer or by our chairman.</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t>Advance notice requirements for stockholder proposals and director nominations</w:t>
      </w:r>
    </w:p>
    <w:p>
      <w:pPr>
        <w:spacing w:after="0" w:line="22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bylaws provide that stockholders seeking to bring business before our annual meeting of stockholders, or to nominate candidates for election as directors at our annual meeting of stockholders must provide timely notice of their intent in writing. To be timely, a stockholder’s notice will need to be</w:t>
      </w:r>
    </w:p>
    <w:p>
      <w:pPr>
        <w:jc w:val="both"/>
        <w:spacing w:after="0" w:line="200" w:lineRule="auto"/>
        <w:rPr>
          <w:sz w:val="20"/>
          <w:szCs w:val="20"/>
          <w:color w:val="auto"/>
        </w:rPr>
      </w:pPr>
      <w:r>
        <w:rPr>
          <w:rFonts w:ascii="Arial" w:cs="Arial" w:eastAsia="Arial" w:hAnsi="Arial"/>
          <w:sz w:val="18"/>
          <w:szCs w:val="18"/>
          <w:color w:val="auto"/>
        </w:rPr>
        <w:t>delivered to our principal executive offices not later than the close of business on the 90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nor earlier than the opening of business on the 120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prior to the scheduled date of the annual meeting of stockholders. Our bylaws also specify certain requirements as to the form and content of a stockholders’ meeting. These provisions may preclude our stockholders from bringing matters before our annual meeting of stockholders or from making nominations for directors at our annual meeting of stockholders.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but unissued shares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authorized but unissued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us by means of a proxy contest, tender offer, merger or otherwise.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Exclusive forum for certain lawsuits</w:t>
      </w:r>
    </w:p>
    <w:p>
      <w:pPr>
        <w:spacing w:after="0" w:line="225"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Our amended and restated certificate of incorporation will provide that, unless we consent in writing to the selection of an alternative forum, the Court of Chancery of the State of Delaware shall, to the fullest extent permitted by law, be the sole and exclusive forum for any (1) derivative action or proceeding brought on behalf of our company, (2) action asserting a claim of breach of a fiduciary duty owed by any director, officer, employee or agent of our company to our company or our stockholders, or any claim for aiding and abetting any such alleged breach, (3) action asserting a claim against our company or any director or officer of our company arising pursuant to any provision of the DGCL or our amended and restated certificate of incorporation or our bylaws, or (4) action asserting a claim against us or any director or officer of our company governed by the internal affairs doctrine except for, as to each of (1) through (4) above, any claim (A)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or (C) arising under the federal securities laws, including the Securities Act as to which the Court of Chancery and the federal district court for the District of Delaware shall concurrently be the sole and exclusive forums. Notwithstanding the foregoing, the inclusion of such provision in our amended and restated certificate of incorporation will not be deemed to be a waiver by our stockholders of our obligation to comply with federal securities laws, rules and regulations, and the provisions of this paragraph will not apply to suits brought to enforce any liability or duty created by the Exchange Act or any other claim for which the federal district courts of the United States of America shall be the sole and exclusive forum. Although we believe this provision benefits us by providing increased consistency in the application of Delaware law in the types of lawsuits to which it applies, the provision may have the effect of discouraging lawsuits against our directors and officers. Furthermore, the enforceability of choice of forum provisions in other companies’ certificates of incorporation has been challenged in legal proceedings, and it is possible that a court could find these types of provisions to be inapplicable or unenforceable.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SECURITIES ELIGIBLE FOR FUTURE SALE</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Immediately after this offering, we will have 16,075,000 shares of common stock issued and outstanding, or 18,456,250 shares of common stock if the over-allotment option is exercised in full. Of these shares, the 12,500,000 shares sold in this offering, or 14,375,000 shares if the over-allotment option is exercised in full, will be freely tradable without restriction or further registration under the Securities Act, except for any shares purchased by one of our affiliates within the meaning of Rule 144 under the Securities Act. All of the remaining shares are restricted securities under Rule 144, in that they were issued in private transactions not involving a public offering. All of those shares will not be transferable except in limited circumstances described elsewhere in this prospectus.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Rule 144</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person who has beneficially owned restricted shares of common stock for at least six months would be entitled to sell their securities provided that</w:t>
      </w:r>
    </w:p>
    <w:p>
      <w:pPr>
        <w:spacing w:after="0" w:line="46" w:lineRule="exact"/>
        <w:rPr>
          <w:sz w:val="20"/>
          <w:szCs w:val="20"/>
          <w:color w:val="auto"/>
        </w:rPr>
      </w:pPr>
    </w:p>
    <w:p>
      <w:pPr>
        <w:jc w:val="both"/>
        <w:ind w:firstLine="8"/>
        <w:spacing w:after="0" w:line="253" w:lineRule="auto"/>
        <w:tabs>
          <w:tab w:leader="none" w:pos="232" w:val="left"/>
        </w:tabs>
        <w:numPr>
          <w:ilvl w:val="0"/>
          <w:numId w:val="43"/>
        </w:numPr>
        <w:rPr>
          <w:rFonts w:ascii="Arial" w:cs="Arial" w:eastAsia="Arial" w:hAnsi="Arial"/>
          <w:sz w:val="18"/>
          <w:szCs w:val="18"/>
          <w:color w:val="auto"/>
        </w:rPr>
      </w:pPr>
      <w:r>
        <w:rPr>
          <w:rFonts w:ascii="Arial" w:cs="Arial" w:eastAsia="Arial" w:hAnsi="Arial"/>
          <w:sz w:val="18"/>
          <w:szCs w:val="18"/>
          <w:color w:val="auto"/>
        </w:rPr>
        <w:t>such person is not deemed to have been one of our affiliates at the time of, or at any time during the three months preceding, a sale and (ii) we are subject to the Exchange Act periodic reporting requirements for at least three months before the sale. Persons who have beneficially owned restricted shares of common stock for at least six months but who are our affiliates at the time of, or any time during the three months preceding, a sale, would be subject to additional restrictions, by which such person would be entitled to sell within any three-month period a number of shares that does not exceed the greater of either of the following:</w:t>
      </w:r>
    </w:p>
    <w:p>
      <w:pPr>
        <w:spacing w:after="0" w:line="19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1% of the number of shares of common stock then issued and outstanding, which will equal 160,750 shares immediately after this offering (or 184,562 if the over-allotment option is exercised in full); and</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average weekly trading volume of the shares of common stock during the four calendar weeks preceding the filing of a notice on Form 144 with respect to the sale.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Sales under Rule 144 are also limited by manner of sale provisions and notice requirements and to the availability of current public information about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the Use of Rule 144 by Shell Companies or Former Shell Companies</w:t>
      </w:r>
    </w:p>
    <w:p>
      <w:pPr>
        <w:spacing w:after="0" w:line="229"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Historically, the SEC staff had taken the position that Rule 144 is not available for the resale of securities initially issued by companies that are, or previously were, blank check companies, like us. The SEC has codified and expanded this position in the amendments discussed above by prohibiting the use of Rule 144 for resale of securities issued by any shell companies (other than business combination related shell companies) or any issuer that has been at any time previously a shell company. The SEC has provided an important exception to this prohibition, however, if the following conditions are met:</w:t>
      </w:r>
    </w:p>
    <w:p>
      <w:pPr>
        <w:spacing w:after="0" w:line="157"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issuer of the securities that was formerly a shell company has ceased to be a shell company;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issuer of the securities is subject to the reporting requirements of Section 13 or 15(d) of the Exchange Act;</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issuer of the securities has filed all Exchange Act reports and material required to be filed, as applicable, during the preceding 12 months (or such shorter period that the issuer was required to file such reports and materials), other than Form 8-K reports;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at least one year has elapsed from the time that the issuer filed current Form 10 type information with the SEC reflecting its status as an entity that is not a shell company.</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1" w:name="page92"/>
    <w:bookmarkEnd w:id="91"/>
    <w:p>
      <w:pPr>
        <w:jc w:val="both"/>
        <w:ind w:firstLine="324"/>
        <w:spacing w:after="0" w:line="277" w:lineRule="auto"/>
        <w:rPr>
          <w:sz w:val="20"/>
          <w:szCs w:val="20"/>
          <w:color w:val="auto"/>
        </w:rPr>
      </w:pPr>
      <w:r>
        <w:rPr>
          <w:rFonts w:ascii="Arial" w:cs="Arial" w:eastAsia="Arial" w:hAnsi="Arial"/>
          <w:sz w:val="18"/>
          <w:szCs w:val="18"/>
          <w:color w:val="auto"/>
        </w:rPr>
        <w:t>As a result, it is likely that pursuant to Rule 144, our initial stockholders will be able to sell their insider shares freely without registration one year after we have completed our initial business combination assuming they are not an affiliate of ours at that time.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and Stockholder Rights</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holders of our insider shares issued and outstanding on the date of this prospectus, as well as the holders of the private shares, will be entitled to registration and stockholder rights pursuant to an agreement to be signed prior to or on the effective date of this offering. The holders of a majority of these securities are entitled to make up to two demands that we register such securities. The holders of the majority of the insider shares can elect to exercise these registration rights at any time commencing three months prior to the date on which these shares of common stock are to be released from escrow. The holders of a majority of the private shares can elect to exercise these registration rights at any time after we consummate a business combination. In addition, the holders have certain “piggy-back” registration rights with respect to registration statements filed subsequent to our consummation of a business combination. We will bear the expenses incurred in connection with the filing of any such registration statements.</w:t>
      </w:r>
    </w:p>
    <w:p>
      <w:pPr>
        <w:spacing w:after="0" w:line="16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addition, pursuant to the registration and stockholder rights agreement, our sponsor, upon consummation of an initial business combination, will be entitled to nominate one individual for election to our board of directors.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intend to offer our securities described in this prospectus through the underwriters named below. SVB Leerink LLC is the representative for the underwriters. We have entered into an underwriting agreement with the representative. Subject to the terms and conditions of the underwriting agreement, each of the underwriters has severally agreed to purchase from us the number of shares listed next to its name in the following table: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ind w:left="140"/>
              <w:spacing w:after="0"/>
              <w:rPr>
                <w:sz w:val="20"/>
                <w:szCs w:val="20"/>
                <w:color w:val="auto"/>
              </w:rPr>
            </w:pPr>
            <w:r>
              <w:rPr>
                <w:rFonts w:ascii="Arial" w:cs="Arial" w:eastAsia="Arial" w:hAnsi="Arial"/>
                <w:sz w:val="18"/>
                <w:szCs w:val="18"/>
                <w:b w:val="1"/>
                <w:bCs w:val="1"/>
                <w:color w:val="auto"/>
              </w:rPr>
              <w:t>Number of</w:t>
            </w:r>
          </w:p>
        </w:tc>
        <w:tc>
          <w:tcPr>
            <w:tcW w:w="0" w:type="dxa"/>
            <w:vAlign w:val="bottom"/>
          </w:tcPr>
          <w:p>
            <w:pPr>
              <w:spacing w:after="0"/>
              <w:rPr>
                <w:sz w:val="1"/>
                <w:szCs w:val="1"/>
                <w:color w:val="auto"/>
              </w:rPr>
            </w:pPr>
          </w:p>
        </w:tc>
      </w:tr>
      <w:tr>
        <w:trPr>
          <w:trHeight w:val="241"/>
        </w:trPr>
        <w:tc>
          <w:tcPr>
            <w:tcW w:w="10020" w:type="dxa"/>
            <w:vAlign w:val="bottom"/>
            <w:gridSpan w:val="2"/>
          </w:tcPr>
          <w:p>
            <w:pPr>
              <w:spacing w:after="0"/>
              <w:rPr>
                <w:sz w:val="20"/>
                <w:szCs w:val="20"/>
                <w:color w:val="auto"/>
              </w:rPr>
            </w:pPr>
            <w:r>
              <w:rPr>
                <w:rFonts w:ascii="Arial" w:cs="Arial" w:eastAsia="Arial" w:hAnsi="Arial"/>
                <w:sz w:val="18"/>
                <w:szCs w:val="18"/>
                <w:b w:val="1"/>
                <w:bCs w:val="1"/>
                <w:color w:val="auto"/>
              </w:rPr>
              <w:t>Underwriter</w:t>
            </w:r>
          </w:p>
        </w:tc>
        <w:tc>
          <w:tcPr>
            <w:tcW w:w="1220" w:type="dxa"/>
            <w:vAlign w:val="bottom"/>
            <w:gridSpan w:val="2"/>
          </w:tcPr>
          <w:p>
            <w:pPr>
              <w:ind w:left="300"/>
              <w:spacing w:after="0"/>
              <w:rPr>
                <w:sz w:val="20"/>
                <w:szCs w:val="20"/>
                <w:color w:val="auto"/>
              </w:rPr>
            </w:pPr>
            <w:r>
              <w:rPr>
                <w:rFonts w:ascii="Arial" w:cs="Arial" w:eastAsia="Arial" w:hAnsi="Arial"/>
                <w:sz w:val="18"/>
                <w:szCs w:val="18"/>
                <w:b w:val="1"/>
                <w:bCs w:val="1"/>
                <w:color w:val="auto"/>
              </w:rPr>
              <w:t>Shares</w:t>
            </w:r>
          </w:p>
        </w:tc>
        <w:tc>
          <w:tcPr>
            <w:tcW w:w="0" w:type="dxa"/>
            <w:vAlign w:val="bottom"/>
          </w:tcPr>
          <w:p>
            <w:pPr>
              <w:spacing w:after="0"/>
              <w:rPr>
                <w:sz w:val="1"/>
                <w:szCs w:val="1"/>
                <w:color w:val="auto"/>
              </w:rPr>
            </w:pPr>
          </w:p>
        </w:tc>
      </w:tr>
      <w:tr>
        <w:trPr>
          <w:trHeight w:val="250"/>
        </w:trPr>
        <w:tc>
          <w:tcPr>
            <w:tcW w:w="990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SVB Leerink LLC</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00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20" w:type="dxa"/>
            <w:vAlign w:val="bottom"/>
            <w:gridSpan w:val="2"/>
          </w:tcPr>
          <w:p>
            <w:pPr>
              <w:ind w:left="300"/>
              <w:spacing w:after="0"/>
              <w:rPr>
                <w:sz w:val="20"/>
                <w:szCs w:val="20"/>
                <w:color w:val="auto"/>
              </w:rPr>
            </w:pPr>
            <w:r>
              <w:rPr>
                <w:rFonts w:ascii="Arial" w:cs="Arial" w:eastAsia="Arial" w:hAnsi="Arial"/>
                <w:sz w:val="18"/>
                <w:szCs w:val="18"/>
                <w:color w:val="auto"/>
                <w:w w:val="99"/>
              </w:rPr>
              <w:t>12,500,000</w:t>
            </w:r>
          </w:p>
        </w:tc>
        <w:tc>
          <w:tcPr>
            <w:tcW w:w="0" w:type="dxa"/>
            <w:vAlign w:val="bottom"/>
          </w:tcPr>
          <w:p>
            <w:pPr>
              <w:spacing w:after="0"/>
              <w:rPr>
                <w:sz w:val="1"/>
                <w:szCs w:val="1"/>
                <w:color w:val="auto"/>
              </w:rPr>
            </w:pPr>
          </w:p>
        </w:tc>
      </w:tr>
      <w:tr>
        <w:trPr>
          <w:trHeight w:val="21"/>
        </w:trPr>
        <w:tc>
          <w:tcPr>
            <w:tcW w:w="10020" w:type="dxa"/>
            <w:vAlign w:val="bottom"/>
            <w:gridSpan w:val="2"/>
            <w:vMerge w:val="restart"/>
          </w:tcPr>
          <w:p>
            <w:pPr>
              <w:ind w:left="340"/>
              <w:spacing w:after="0"/>
              <w:rPr>
                <w:sz w:val="20"/>
                <w:szCs w:val="20"/>
                <w:color w:val="auto"/>
              </w:rPr>
            </w:pPr>
            <w:r>
              <w:rPr>
                <w:rFonts w:ascii="Arial" w:cs="Arial" w:eastAsia="Arial" w:hAnsi="Arial"/>
                <w:sz w:val="18"/>
                <w:szCs w:val="18"/>
                <w:color w:val="auto"/>
                <w:w w:val="91"/>
              </w:rPr>
              <w:t>A copy of the underwriting agreement has been filed as an exhibit to the registration statement of which this prospectus forms a part.</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10020" w:type="dxa"/>
            <w:vAlign w:val="bottom"/>
            <w:gridSpan w:val="2"/>
            <w:vMerge w:val="continue"/>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020" w:type="dxa"/>
            <w:vAlign w:val="bottom"/>
            <w:gridSpan w:val="2"/>
          </w:tcPr>
          <w:p>
            <w:pPr>
              <w:spacing w:after="0"/>
              <w:rPr>
                <w:sz w:val="20"/>
                <w:szCs w:val="20"/>
                <w:color w:val="auto"/>
              </w:rPr>
            </w:pPr>
            <w:r>
              <w:rPr>
                <w:rFonts w:ascii="Arial" w:cs="Arial" w:eastAsia="Arial" w:hAnsi="Arial"/>
                <w:sz w:val="18"/>
                <w:szCs w:val="18"/>
                <w:b w:val="1"/>
                <w:bCs w:val="1"/>
                <w:color w:val="auto"/>
              </w:rPr>
              <w:t>Listing of our Securities</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shares of common stock will be quoted on Nasdaq under the symbol “BCTG.” Our shares will be listed on Nasdaq on or promptly after the effective date of the registration statement.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Over-allotment Option</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granted the underwriters an option to buy up to 1,875,000 additional shares. The underwriters may exercise this option solely for the purpose of covering over-allotments, if any, made in connection with this offering. The underwriters have 45 days from the date of this prospectus to exercise this option. If the underwriters exercise this option, they will each purchase additional shares approximately in proportion to the amounts specified in the table above.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2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Shares sold by the underwriters to the public will initially be offered at the offering price set forth on the cover of this prospectus. The underwriters will be entitled to a cash underwriting discount of $2,500,000 (or $2,875,000 if the over-allotment option is exercised in full). Any shares sold by the underwriters to securities dealers may be sold at a discount of up to $___ per share from the public offering price. Any of these securities dealers may resell any shares purchased from the underwriters to other brokers or dealers at a discount of up to $___ per share from the public offering price. If all of the shares are not sold at the initial public offering price, the representative may change the offering price and the other selling terms. Upon execution of the underwriting agreement, the underwriters will be obligated to purchase the shares at the prices and upon the terms stated therein, and, as a result, will thereafter bear any risk associated with changing the offering price to the public or other selling terms.</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agreed to reimburse the underwriters for all expenses and fees related to the review by FINRA, which will not exceed $15,000.</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shows the per share and total underwriting discounts and commissions we will pay to the underwriters assuming both no exercise and full exercise of the underwriters’ over-allotment option to purchase up to an additional 1,875,000 shares.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5"/>
              </w:rPr>
              <w:t>Without</w:t>
            </w:r>
          </w:p>
        </w:tc>
        <w:tc>
          <w:tcPr>
            <w:tcW w:w="14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7"/>
              </w:rPr>
              <w:t>With</w:t>
            </w:r>
          </w:p>
        </w:tc>
      </w:tr>
      <w:tr>
        <w:trPr>
          <w:trHeight w:val="216"/>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Over-</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Over-</w:t>
            </w:r>
          </w:p>
        </w:tc>
      </w:tr>
      <w:tr>
        <w:trPr>
          <w:trHeight w:val="241"/>
        </w:trPr>
        <w:tc>
          <w:tcPr>
            <w:tcW w:w="7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ind w:left="60"/>
              <w:spacing w:after="0"/>
              <w:rPr>
                <w:sz w:val="20"/>
                <w:szCs w:val="20"/>
                <w:color w:val="auto"/>
              </w:rPr>
            </w:pPr>
            <w:r>
              <w:rPr>
                <w:rFonts w:ascii="Arial" w:cs="Arial" w:eastAsia="Arial" w:hAnsi="Arial"/>
                <w:sz w:val="18"/>
                <w:szCs w:val="18"/>
                <w:b w:val="1"/>
                <w:bCs w:val="1"/>
                <w:color w:val="auto"/>
              </w:rPr>
              <w:t>Per Share</w:t>
            </w:r>
          </w:p>
        </w:tc>
        <w:tc>
          <w:tcPr>
            <w:tcW w:w="140" w:type="dxa"/>
            <w:vAlign w:val="bottom"/>
          </w:tcPr>
          <w:p>
            <w:pPr>
              <w:spacing w:after="0"/>
              <w:rPr>
                <w:sz w:val="20"/>
                <w:szCs w:val="20"/>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allotment</w:t>
            </w: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allotment</w:t>
            </w: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125,000,000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143,750,000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57"/>
        </w:trPr>
        <w:tc>
          <w:tcPr>
            <w:tcW w:w="7320" w:type="dxa"/>
            <w:vAlign w:val="bottom"/>
          </w:tcPr>
          <w:p>
            <w:pPr>
              <w:spacing w:after="0" w:line="256" w:lineRule="exact"/>
              <w:rPr>
                <w:sz w:val="20"/>
                <w:szCs w:val="20"/>
                <w:color w:val="auto"/>
              </w:rPr>
            </w:pPr>
            <w:r>
              <w:rPr>
                <w:rFonts w:ascii="Arial" w:cs="Arial" w:eastAsia="Arial" w:hAnsi="Arial"/>
                <w:sz w:val="18"/>
                <w:szCs w:val="18"/>
                <w:color w:val="auto"/>
              </w:rPr>
              <w:t>Discount</w:t>
            </w:r>
            <w:r>
              <w:rPr>
                <w:rFonts w:ascii="Arial" w:cs="Arial" w:eastAsia="Arial" w:hAnsi="Arial"/>
                <w:sz w:val="29"/>
                <w:szCs w:val="29"/>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0.55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6,875,000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7,906,250</w:t>
            </w:r>
          </w:p>
        </w:tc>
      </w:tr>
      <w:tr>
        <w:trPr>
          <w:trHeight w:val="256"/>
        </w:trPr>
        <w:tc>
          <w:tcPr>
            <w:tcW w:w="73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Proceeds before expenses</w:t>
            </w:r>
            <w:r>
              <w:rPr>
                <w:rFonts w:ascii="Arial" w:cs="Arial" w:eastAsia="Arial" w:hAnsi="Arial"/>
                <w:sz w:val="29"/>
                <w:szCs w:val="29"/>
                <w:color w:val="auto"/>
                <w:vertAlign w:val="superscript"/>
              </w:rPr>
              <w:t>(2)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9.45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118,125,000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135,843,750</w:t>
            </w:r>
          </w:p>
        </w:tc>
      </w:tr>
    </w:tbl>
    <w:p>
      <w:pPr>
        <w:spacing w:after="0" w:line="202" w:lineRule="exact"/>
        <w:rPr>
          <w:sz w:val="20"/>
          <w:szCs w:val="20"/>
          <w:color w:val="auto"/>
        </w:rPr>
      </w:pPr>
    </w:p>
    <w:p>
      <w:pPr>
        <w:ind w:left="340" w:right="20" w:hanging="332"/>
        <w:spacing w:after="0" w:line="277" w:lineRule="auto"/>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Such amount includes $4,375,000, or $0.35 per share (or $5,031,250 if the underwriters’ over-allotment option is exercised in full) payable to the underwriters for deferred underwriting commissions upon completion of a business combination.</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offering expenses are estimated at $750,000.</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color w:val="auto"/>
        </w:rPr>
        <w:t>Transfer Restrictions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our sponsor and our officers and directors have agreed that, for a period of 180 days from the date of this prospectus, we and they will not, without the prior written consent of SVB Leerink LLC, offer, sell, contract to sell, pledge or otherwise dispose of, directly or indirectly, any common or any other securities convertible into, or exercisable, or exchangeable for our common stock, provided, however, that we may (1) issue and sell the private placement shares, (2) issue and sell the additional shares to cover our underwriters’ over-allotment option (if any),and (3) issue securities in connection with an initial business combination. SVB Leerink LLC may in its sole discretion, release any of the securities subject to this lock-up agreement at any time without notice.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Pricing of Securities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have been advised by the representative that the underwriters propose to offer the shares to the public at the offering price set forth on the cover page of this prospectus.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Prior to this offering there has been no public market for any of our securities. The public offering price of the shares was negotiated between us and the representative. Factors considered in determining the prices and terms of the shares of common stock include:</w:t>
      </w:r>
    </w:p>
    <w:p>
      <w:pPr>
        <w:spacing w:after="0" w:line="170"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history and prospects of companies whose principal business is the acquisition of other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prior offerings of those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prospects for acquiring an operating business at attractive values;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capital structure;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per share amount of net proceeds being placed into the trust account;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 assessment of our management and their experience in identifying operating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general conditions of the securities markets at the time of the offering;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other factors as were deemed relevant.</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However, although these factors were considered, the determination of our offering price is more arbitrary than the pricing of securities for an operating company in a particular industry since the underwriters are unable to compare our financial results and prospects with those of public companies operating in the same industry.</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color w:val="auto"/>
        </w:rPr>
        <w:t>Regulatory Restrictions on Purchase of Securities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Rules of the SEC may limit the ability of the underwriters to bid for or purchase our shares before the distribution of the shares is completed. However, the underwriters may engage in the following activities in accordance with the rules:</w:t>
      </w:r>
    </w:p>
    <w:p>
      <w:pPr>
        <w:spacing w:after="0" w:line="170" w:lineRule="exact"/>
        <w:rPr>
          <w:sz w:val="20"/>
          <w:szCs w:val="20"/>
          <w:color w:val="auto"/>
        </w:rPr>
      </w:pPr>
    </w:p>
    <w:p>
      <w:pPr>
        <w:ind w:left="660" w:hanging="328"/>
        <w:spacing w:after="0" w:line="308" w:lineRule="auto"/>
        <w:tabs>
          <w:tab w:leader="none" w:pos="6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Stabilizing Transactions. The underwriters may make bids or purchases for the purpose of preventing or retarding a decline in the price of our shares, as long as stabilizing bids do not exceed the offering price of $10.00 and the underwriters comply with all other applicable rules.</w:t>
      </w:r>
    </w:p>
    <w:p>
      <w:pPr>
        <w:spacing w:after="0" w:line="146" w:lineRule="exact"/>
        <w:rPr>
          <w:rFonts w:ascii="Arial" w:cs="Arial" w:eastAsia="Arial" w:hAnsi="Arial"/>
          <w:sz w:val="17"/>
          <w:szCs w:val="17"/>
          <w:color w:val="auto"/>
        </w:rPr>
      </w:pPr>
    </w:p>
    <w:p>
      <w:pPr>
        <w:jc w:val="both"/>
        <w:ind w:left="660" w:hanging="328"/>
        <w:spacing w:after="0" w:line="287" w:lineRule="auto"/>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Over-Allotments and Syndicate Coverage Transactions. The underwriters may create a short position in our shares by selling more of our shares than are set forth on the cover page of this prospectus up to the amount of the over-allotment option. This is known as a covered short position. The underwriters may also create a short position in our shares by selling more of our shares than are set forth on the cover page of this prospectus and the shares allowed by the over-allotment option. This is known as a naked short position. If the underwriters create a short position during the offering, the representative may engage in syndicate covering transactions by purchasing our shares in the open market. The representative may also elect to reduce any short position by exercising all or part of the over-allotment option. Determining what method to use in reducing the short position depends on how the shares trade in the aftermarket following the offering. If the share price drops following the offering, the short position is usually covered with shares purchased by the underwriters in the aftermarket. However, the underwriters may cover a short position by exercising the over-allotment option even if the share price drops following the offering. If the share price rises after the offering, then the over-allotment option is used to cover the short position. If the short position is more than the over-allotment option, the naked short must be covered by purchases in the aftermarket, which could be at prices above the offering price.</w:t>
      </w:r>
    </w:p>
    <w:p>
      <w:pPr>
        <w:spacing w:after="0" w:line="171"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Penalty Bids. The representative may reclaim a selling concession from a syndicate member when the shares originally sold by the syndicate member are purchased in a stabilizing or syndicate covering transaction to cover syndicate short positions.</w:t>
      </w:r>
    </w:p>
    <w:p>
      <w:pPr>
        <w:spacing w:after="0" w:line="17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Stabilization and syndicate covering transactions may cause the price of our securities to be higher than they would be in the absence of these transactions. The imposition of a penalty bid might also have an effect on the prices of our securities if it discourages resales of our securities.</w:t>
      </w:r>
    </w:p>
    <w:p>
      <w:pPr>
        <w:spacing w:after="0" w:line="14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Neither we nor the underwriters make any representation or prediction as to the effect that the transactions described above may have on the price of our securities. These transactions may occur on Nasdaq, in the over-the-counter market or on any trading market. If any of these transactions are commenced, they may be discontinued without notice at any time.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Terms</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Except as set forth above, we are not under any contractual obligation to engage any of the underwriters to provide any services for us after this offering, and have no present intent to do so. However, any of the underwriters may, among other things, introduce us to potential target businesses or assist us in raising additional capital, as needs may arise in the future. If any underwriter provides services to us after this offering, we may pay the underwriter fair and reasonable fees that would be determined at that time in an arm’s length negotiation; provided that no agreement will be entered into with the underwriter and no fees for such services will be paid to the underwriter prior to the date which is 90 days after the date of this prospectus, unless FINRA determines that such payment would not be deemed underwriter’s compensation in connection with this offering.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have agreed to indemnify the underwriters against some liabilities, including civil liabilities under the Securities Act, or to contribute to payments the underwriters may be required to make in this respect.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Resale Restrictions</w:t>
      </w:r>
    </w:p>
    <w:p>
      <w:pPr>
        <w:spacing w:after="0" w:line="229"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intend to distribute our securities in the Province of Ontario, Canada (the “Canadian Offering Jurisdiction”) by way of a private placement and exempt from the requirement that we prepare and file a prospectus with the securities regulatory authorities in such Canadian Offering Jurisdiction. Any resale of our securities in Canada must be made under applicable securities laws that will vary depending on the relevant jurisdiction, and which may require resales to be made under available statutory exemptions or under a discretionary exemption granted by the applicable Canadian securities regulatory authority. Canadian resale restrictions in some circumstances may apply to resales of interests made outside of Canada. Canadian purchasers are advised to seek legal advice prior to any resale of our securities. We may never be a “reporting issuer”, as such term is defined under applicable Canadian securities legislation, in any province or territory of Canada in which our securities will be offered and there currently is no public market for any of the securities in Canada, and one may never develop. Canadian investors are advised that we have no intention to file a prospectus or similar document with any securities regulatory authority in Canada qualifying the resale of the securities to the public in any province or territory in Canada.</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color w:val="auto"/>
        </w:rPr>
        <w:t>Representations of Purchasers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Canadian purchaser will be required to represent to us and the dealer from whom the purchase confirmation is received that:</w:t>
      </w:r>
    </w:p>
    <w:p>
      <w:pPr>
        <w:spacing w:after="0" w:line="225" w:lineRule="exact"/>
        <w:rPr>
          <w:sz w:val="20"/>
          <w:szCs w:val="20"/>
          <w:color w:val="auto"/>
        </w:rPr>
      </w:pPr>
    </w:p>
    <w:p>
      <w:pPr>
        <w:ind w:left="660" w:right="20" w:hanging="328"/>
        <w:spacing w:after="0" w:line="27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purchaser is entitled under applicable provincial securities laws to purchase our securities without the benefit of a prospectus qualified under those securities laws;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where required by law, that the purchaser is purchasing as principal and not as agent;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purchaser has reviewed the text above under Resale Restrictions;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purchaser acknowledges and consents to the provision of specified information concerning its purchase of our securities to the regulatory authority that by law is entitled to collect the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Rights of Action — Ontario Purchasers Only</w:t>
      </w:r>
    </w:p>
    <w:p>
      <w:pPr>
        <w:spacing w:after="0" w:line="22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Under Ontario securities legislation, certain purchasers who purchase a security offered by this prospectus during the period of distribution will have a statutory right of action for damages, or while still the owner of our securities, for rescission against us in the event that this prospectus contains a misrepresentation without regard to whether the purchaser relied on the misrepresentation. The right of action for damages is exercisable not later than the earlier of 180 days from the date the purchaser first had knowledge of the facts giving rise to the cause of action and three years from the date on which payment is made for our securities. The right of action for rescission is exercisable not later than 180 days from the date on which payment is made for our securities. If a purchaser elects to exercise the right of action for rescission, the purchaser will have no right of action for damages against us. In no case will the amount recoverable in any action exceed the price at which our securities were offered to the purchaser and if the purchaser is shown to have purchased the securities with knowledge of the misrepresentation, we will have no liability. In the case of an action for damages, we will not be liable for all or any portion of the damages that are proven to not represent the depreciation in value of our securities as a result of the misrepresentation relied upon. These rights are in addition to, and without derogation from, any other rights or remedies available at law to an Ontario purchaser. The foregoing is a summary of the rights available to an Ontario purchaser. Ontario purchasers should refer to the complete text of the relevant statutory provisions.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Enforcement of Legal Rights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All of our directors and officers as well as the experts named herein are located outside of Canada and, as a result, it may not be possible for Canadian purchasers to effect service of process within Canada upon us or those persons. All of our assets and the assets of those persons are located outside of Canada and, as a result, it may not be possible to satisfy a judgment against us or those persons in Canada or to enforce a judgment obtained in Canadian courts against us or those persons outside of Canada.</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Collection of Personal Information</w:t>
      </w:r>
    </w:p>
    <w:p>
      <w:pPr>
        <w:spacing w:after="0" w:line="22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If a Canadian purchaser is resident in or otherwise subject to the securities laws of the Province of Ontario, the Purchaser authorizes the indirect collection of personal information pertaining to the Canadian purchaser by the Ontario Securities Commission (the “OSC”) and each Canadian purchaser will be required to acknowledge and agree that the Canadian purchaser has been notified by us (i) of the delivery to the OSC of personal information pertaining to the Canadian purchaser, including, without limitation, the full name, residential address and telephone number of the Canadian purchaser, the number and type of securities purchased and the total purchase price paid in respect of the securities, (ii) that this information is being collected indirectly by the OSC under the authority granted to it in securities legislation, (iii) that this information is being collected for the purposes of the administration and enforcement of the securities legislation of Ontario, and (iv) that the title, business address and business telephone number of the public official in Ontario who can answer questions about the OSC’s indirect collection of the information is the Administrative Assistant to the Director of Corporate Finance, the Ontario Securities Commission, Suite 1903, Box 5520, Queen Street West, Toronto, Ontario, M5H 3S8, Telephone: (416) 593-8086, Facsimile: (416) 593-8252.</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Loeb &amp; Loeb LLP is acting as United States counsel in connection with the registration of our securities under the Securities Act and will pass on the validity of the securities offered in the prospectus. Kirkland &amp; Ellis LLP is acting as counsel for the underwriters in this offering.</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financial statements of BCTG Acquisition Corp. as of June 30, 2020 and for the period from May 21, 2020 (inception) through June 30, 2020 appearing in this prospectus have been audited by WithumSmith+Brown, PC, independent registered public accounting firm, as set forth in their report thereon, appearing elsewhere in this prospectus, and are included in reliance on such report given on the authority of such firm as an experts in auditing and accounting.</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 xml:space="preserve">We have filed with the SEC a registration statement on Form S-1, which includes exhibits, schedules and amendments, under the Securities Act, with respect to this offering of our securities. Although this prospectus, which forms a part of the registration statement, contains all material information included in the registration statement, parts of the registration statement have been omitted as permitted by rules and regulations of the SEC. We refer you to the registration statement and its exhibits for further information about us, our securities and this offering. The registration statement and its exhibits, as well as our other reports filed with the SEC, can be inspected and copied at the SEC’s public reference room at 100 F Street, N.E., Washington, D.C. 20549. The public may obtain information about the operation of the public reference room by calling the SEC at 1-800-SEC-0330. In addition, the SEC maintains a web site at </w:t>
      </w:r>
      <w:r>
        <w:rPr>
          <w:rFonts w:ascii="Arial" w:cs="Arial" w:eastAsia="Arial" w:hAnsi="Arial"/>
          <w:sz w:val="17"/>
          <w:szCs w:val="17"/>
          <w:i w:val="1"/>
          <w:iCs w:val="1"/>
          <w:color w:val="auto"/>
        </w:rPr>
        <w:t>http://www.sec.gov</w:t>
      </w:r>
      <w:r>
        <w:rPr>
          <w:rFonts w:ascii="Arial" w:cs="Arial" w:eastAsia="Arial" w:hAnsi="Arial"/>
          <w:sz w:val="17"/>
          <w:szCs w:val="17"/>
          <w:color w:val="auto"/>
        </w:rPr>
        <w:t xml:space="preserve"> which contains the Form S-1 and other reports, proxy and information statements and information regarding issuers that file electronically with the SEC.</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9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BCTG Acquisition Corp.</w:t>
            </w:r>
          </w:p>
        </w:tc>
        <w:tc>
          <w:tcPr>
            <w:tcW w:w="1000" w:type="dxa"/>
            <w:vAlign w:val="bottom"/>
          </w:tcPr>
          <w:p>
            <w:pPr>
              <w:spacing w:after="0"/>
              <w:rPr>
                <w:sz w:val="20"/>
                <w:szCs w:val="20"/>
                <w:color w:val="auto"/>
              </w:rPr>
            </w:pPr>
          </w:p>
        </w:tc>
      </w:tr>
      <w:tr>
        <w:trPr>
          <w:trHeight w:val="432"/>
        </w:trPr>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9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rPr>
              <w:t>INDEX TO FINANCIAL STATEMENTS</w:t>
            </w:r>
          </w:p>
        </w:tc>
        <w:tc>
          <w:tcPr>
            <w:tcW w:w="1000" w:type="dxa"/>
            <w:vAlign w:val="bottom"/>
          </w:tcPr>
          <w:p>
            <w:pPr>
              <w:spacing w:after="0"/>
              <w:rPr>
                <w:sz w:val="24"/>
                <w:szCs w:val="24"/>
                <w:color w:val="auto"/>
              </w:rPr>
            </w:pPr>
          </w:p>
        </w:tc>
      </w:tr>
      <w:tr>
        <w:trPr>
          <w:trHeight w:val="453"/>
        </w:trPr>
        <w:tc>
          <w:tcPr>
            <w:tcW w:w="180" w:type="dxa"/>
            <w:vAlign w:val="bottom"/>
            <w:tcBorders>
              <w:bottom w:val="single" w:sz="8" w:color="CCEEFF"/>
            </w:tcBorders>
          </w:tcPr>
          <w:p>
            <w:pPr>
              <w:spacing w:after="0"/>
              <w:rPr>
                <w:sz w:val="24"/>
                <w:szCs w:val="24"/>
                <w:color w:val="auto"/>
              </w:rPr>
            </w:pPr>
          </w:p>
        </w:tc>
        <w:tc>
          <w:tcPr>
            <w:tcW w:w="1120" w:type="dxa"/>
            <w:vAlign w:val="bottom"/>
            <w:tcBorders>
              <w:bottom w:val="single" w:sz="8" w:color="CCEEFF"/>
            </w:tcBorders>
          </w:tcPr>
          <w:p>
            <w:pPr>
              <w:spacing w:after="0"/>
              <w:rPr>
                <w:sz w:val="24"/>
                <w:szCs w:val="24"/>
                <w:color w:val="auto"/>
              </w:rPr>
            </w:pPr>
          </w:p>
        </w:tc>
        <w:tc>
          <w:tcPr>
            <w:tcW w:w="858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Page</w:t>
            </w:r>
          </w:p>
        </w:tc>
      </w:tr>
      <w:tr>
        <w:trPr>
          <w:trHeight w:val="216"/>
        </w:trPr>
        <w:tc>
          <w:tcPr>
            <w:tcW w:w="10240" w:type="dxa"/>
            <w:vAlign w:val="bottom"/>
            <w:gridSpan w:val="4"/>
            <w:shd w:val="clear" w:color="auto" w:fill="CCEEFF"/>
          </w:tcPr>
          <w:p>
            <w:pPr>
              <w:spacing w:after="0"/>
              <w:rPr>
                <w:rFonts w:ascii="Arial" w:cs="Arial" w:eastAsia="Arial" w:hAnsi="Arial"/>
                <w:sz w:val="18"/>
                <w:szCs w:val="18"/>
                <w:u w:val="single" w:color="auto"/>
                <w:color w:val="0000EE"/>
              </w:rPr>
            </w:pPr>
            <w:hyperlink w:anchor="page99">
              <w:r>
                <w:rPr>
                  <w:rFonts w:ascii="Arial" w:cs="Arial" w:eastAsia="Arial" w:hAnsi="Arial"/>
                  <w:sz w:val="18"/>
                  <w:szCs w:val="18"/>
                  <w:u w:val="single" w:color="auto"/>
                  <w:color w:val="0000EE"/>
                </w:rPr>
                <w:t>REPORT OF INDEPENDENT REGISTERED PUBLIC ACCOUNTING FIRM</w:t>
              </w:r>
            </w:hyperlink>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F-2</w:t>
            </w:r>
          </w:p>
        </w:tc>
      </w:tr>
      <w:tr>
        <w:trPr>
          <w:trHeight w:val="216"/>
        </w:trPr>
        <w:tc>
          <w:tcPr>
            <w:tcW w:w="10240" w:type="dxa"/>
            <w:vAlign w:val="bottom"/>
            <w:gridSpan w:val="4"/>
          </w:tcPr>
          <w:p>
            <w:pPr>
              <w:spacing w:after="0"/>
              <w:rPr>
                <w:rFonts w:ascii="Arial" w:cs="Arial" w:eastAsia="Arial" w:hAnsi="Arial"/>
                <w:sz w:val="18"/>
                <w:szCs w:val="18"/>
                <w:u w:val="single" w:color="auto"/>
                <w:color w:val="0000EE"/>
              </w:rPr>
            </w:pPr>
            <w:hyperlink w:anchor="page100">
              <w:r>
                <w:rPr>
                  <w:rFonts w:ascii="Arial" w:cs="Arial" w:eastAsia="Arial" w:hAnsi="Arial"/>
                  <w:sz w:val="18"/>
                  <w:szCs w:val="18"/>
                  <w:u w:val="single" w:color="auto"/>
                  <w:color w:val="0000EE"/>
                </w:rPr>
                <w:t>BALANCE SHEET AS OF JUNE 30, 2020</w:t>
              </w:r>
            </w:hyperlink>
          </w:p>
        </w:tc>
        <w:tc>
          <w:tcPr>
            <w:tcW w:w="1000" w:type="dxa"/>
            <w:vAlign w:val="bottom"/>
          </w:tcPr>
          <w:p>
            <w:pPr>
              <w:jc w:val="center"/>
              <w:spacing w:after="0"/>
              <w:rPr>
                <w:sz w:val="20"/>
                <w:szCs w:val="20"/>
                <w:color w:val="auto"/>
              </w:rPr>
            </w:pPr>
            <w:r>
              <w:rPr>
                <w:rFonts w:ascii="Arial" w:cs="Arial" w:eastAsia="Arial" w:hAnsi="Arial"/>
                <w:sz w:val="18"/>
                <w:szCs w:val="18"/>
                <w:color w:val="auto"/>
                <w:w w:val="88"/>
              </w:rPr>
              <w:t>F-3</w:t>
            </w:r>
          </w:p>
        </w:tc>
      </w:tr>
      <w:tr>
        <w:trPr>
          <w:trHeight w:val="216"/>
        </w:trPr>
        <w:tc>
          <w:tcPr>
            <w:tcW w:w="10240" w:type="dxa"/>
            <w:vAlign w:val="bottom"/>
            <w:gridSpan w:val="4"/>
            <w:shd w:val="clear" w:color="auto" w:fill="CCEEFF"/>
          </w:tcPr>
          <w:p>
            <w:pPr>
              <w:spacing w:after="0"/>
              <w:rPr>
                <w:rFonts w:ascii="Arial" w:cs="Arial" w:eastAsia="Arial" w:hAnsi="Arial"/>
                <w:sz w:val="18"/>
                <w:szCs w:val="18"/>
                <w:u w:val="single" w:color="auto"/>
                <w:color w:val="0000EE"/>
              </w:rPr>
            </w:pPr>
            <w:hyperlink w:anchor="page101">
              <w:r>
                <w:rPr>
                  <w:rFonts w:ascii="Arial" w:cs="Arial" w:eastAsia="Arial" w:hAnsi="Arial"/>
                  <w:sz w:val="18"/>
                  <w:szCs w:val="18"/>
                  <w:u w:val="single" w:color="auto"/>
                  <w:color w:val="0000EE"/>
                </w:rPr>
                <w:t>STATEMENT OF OPERATIONS FOR THE PERIOD FROM MAY 21, 2020 (INCEPTION) THROUGH JUNE 30, 2020</w:t>
              </w:r>
            </w:hyperlink>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F-4</w:t>
            </w:r>
          </w:p>
        </w:tc>
      </w:tr>
      <w:tr>
        <w:trPr>
          <w:trHeight w:val="175"/>
        </w:trPr>
        <w:tc>
          <w:tcPr>
            <w:tcW w:w="10240" w:type="dxa"/>
            <w:vAlign w:val="bottom"/>
            <w:gridSpan w:val="4"/>
          </w:tcPr>
          <w:p>
            <w:pPr>
              <w:spacing w:after="0" w:line="176" w:lineRule="exact"/>
              <w:rPr>
                <w:rFonts w:ascii="Arial" w:cs="Arial" w:eastAsia="Arial" w:hAnsi="Arial"/>
                <w:sz w:val="18"/>
                <w:szCs w:val="18"/>
                <w:color w:val="0000EE"/>
                <w:w w:val="99"/>
              </w:rPr>
            </w:pPr>
            <w:hyperlink w:anchor="page102">
              <w:r>
                <w:rPr>
                  <w:rFonts w:ascii="Arial" w:cs="Arial" w:eastAsia="Arial" w:hAnsi="Arial"/>
                  <w:sz w:val="18"/>
                  <w:szCs w:val="18"/>
                  <w:color w:val="0000EE"/>
                  <w:w w:val="99"/>
                </w:rPr>
                <w:t>STATEMENT OF CHANGES IN STOCKHOLDER’S EQUITY FOR THE PERIOD FROM MAY 21, 2020 (INCEPTION) THROUGH</w:t>
              </w:r>
            </w:hyperlink>
          </w:p>
        </w:tc>
        <w:tc>
          <w:tcPr>
            <w:tcW w:w="1000" w:type="dxa"/>
            <w:vAlign w:val="bottom"/>
          </w:tcPr>
          <w:p>
            <w:pPr>
              <w:spacing w:after="0"/>
              <w:rPr>
                <w:sz w:val="15"/>
                <w:szCs w:val="15"/>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970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102">
              <w:r>
                <w:rPr>
                  <w:rFonts w:ascii="Arial" w:cs="Arial" w:eastAsia="Arial" w:hAnsi="Arial"/>
                  <w:sz w:val="18"/>
                  <w:szCs w:val="18"/>
                  <w:color w:val="0000EE"/>
                </w:rPr>
                <w:t>JUNE 30, 2020</w:t>
              </w:r>
            </w:hyperlink>
          </w:p>
        </w:tc>
        <w:tc>
          <w:tcPr>
            <w:tcW w:w="360" w:type="dxa"/>
            <w:vAlign w:val="bottom"/>
          </w:tcPr>
          <w:p>
            <w:pPr>
              <w:spacing w:after="0"/>
              <w:rPr>
                <w:sz w:val="17"/>
                <w:szCs w:val="17"/>
                <w:color w:val="auto"/>
              </w:rPr>
            </w:pPr>
          </w:p>
        </w:tc>
        <w:tc>
          <w:tcPr>
            <w:tcW w:w="1000" w:type="dxa"/>
            <w:vAlign w:val="bottom"/>
          </w:tcPr>
          <w:p>
            <w:pPr>
              <w:jc w:val="center"/>
              <w:spacing w:after="0" w:line="196" w:lineRule="exact"/>
              <w:rPr>
                <w:sz w:val="20"/>
                <w:szCs w:val="20"/>
                <w:color w:val="auto"/>
              </w:rPr>
            </w:pPr>
            <w:r>
              <w:rPr>
                <w:rFonts w:ascii="Arial" w:cs="Arial" w:eastAsia="Arial" w:hAnsi="Arial"/>
                <w:sz w:val="18"/>
                <w:szCs w:val="18"/>
                <w:color w:val="auto"/>
                <w:w w:val="88"/>
              </w:rPr>
              <w:t>F-5</w:t>
            </w:r>
          </w:p>
        </w:tc>
      </w:tr>
      <w:tr>
        <w:trPr>
          <w:trHeight w:val="21"/>
        </w:trPr>
        <w:tc>
          <w:tcPr>
            <w:tcW w:w="180" w:type="dxa"/>
            <w:vAlign w:val="bottom"/>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6"/>
        </w:trPr>
        <w:tc>
          <w:tcPr>
            <w:tcW w:w="10240" w:type="dxa"/>
            <w:vAlign w:val="bottom"/>
            <w:gridSpan w:val="4"/>
            <w:shd w:val="clear" w:color="auto" w:fill="CCEEFF"/>
          </w:tcPr>
          <w:p>
            <w:pPr>
              <w:spacing w:after="0"/>
              <w:rPr>
                <w:rFonts w:ascii="Arial" w:cs="Arial" w:eastAsia="Arial" w:hAnsi="Arial"/>
                <w:sz w:val="18"/>
                <w:szCs w:val="18"/>
                <w:u w:val="single" w:color="auto"/>
                <w:color w:val="0000EE"/>
              </w:rPr>
            </w:pPr>
            <w:hyperlink w:anchor="page103">
              <w:r>
                <w:rPr>
                  <w:rFonts w:ascii="Arial" w:cs="Arial" w:eastAsia="Arial" w:hAnsi="Arial"/>
                  <w:sz w:val="18"/>
                  <w:szCs w:val="18"/>
                  <w:u w:val="single" w:color="auto"/>
                  <w:color w:val="0000EE"/>
                </w:rPr>
                <w:t>STATEMENT OF CASH FLOWS FOR THE PERIOD FROM MAY 21, 2020 (INCEPTION) THROUGH JUNE 30, 2020</w:t>
              </w:r>
            </w:hyperlink>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F-6</w:t>
            </w:r>
          </w:p>
        </w:tc>
      </w:tr>
      <w:tr>
        <w:trPr>
          <w:trHeight w:val="230"/>
        </w:trPr>
        <w:tc>
          <w:tcPr>
            <w:tcW w:w="10240" w:type="dxa"/>
            <w:vAlign w:val="bottom"/>
            <w:gridSpan w:val="4"/>
          </w:tcPr>
          <w:p>
            <w:pPr>
              <w:spacing w:after="0"/>
              <w:rPr>
                <w:rFonts w:ascii="Arial" w:cs="Arial" w:eastAsia="Arial" w:hAnsi="Arial"/>
                <w:sz w:val="18"/>
                <w:szCs w:val="18"/>
                <w:u w:val="single" w:color="auto"/>
                <w:color w:val="0000EE"/>
              </w:rPr>
            </w:pPr>
            <w:hyperlink w:anchor="page104">
              <w:r>
                <w:rPr>
                  <w:rFonts w:ascii="Arial" w:cs="Arial" w:eastAsia="Arial" w:hAnsi="Arial"/>
                  <w:sz w:val="18"/>
                  <w:szCs w:val="18"/>
                  <w:u w:val="single" w:color="auto"/>
                  <w:color w:val="0000EE"/>
                </w:rPr>
                <w:t>NOTES TO FINANCIAL STATEMENTS</w:t>
              </w:r>
            </w:hyperlink>
          </w:p>
        </w:tc>
        <w:tc>
          <w:tcPr>
            <w:tcW w:w="1000" w:type="dxa"/>
            <w:vAlign w:val="bottom"/>
          </w:tcPr>
          <w:p>
            <w:pPr>
              <w:jc w:val="center"/>
              <w:spacing w:after="0"/>
              <w:rPr>
                <w:sz w:val="20"/>
                <w:szCs w:val="20"/>
                <w:color w:val="auto"/>
              </w:rPr>
            </w:pPr>
            <w:r>
              <w:rPr>
                <w:rFonts w:ascii="Arial" w:cs="Arial" w:eastAsia="Arial" w:hAnsi="Arial"/>
                <w:sz w:val="18"/>
                <w:szCs w:val="18"/>
                <w:color w:val="auto"/>
                <w:w w:val="88"/>
              </w:rPr>
              <w:t>F-7</w:t>
            </w:r>
          </w:p>
        </w:tc>
      </w:tr>
    </w:tbl>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8" w:name="page99"/>
    <w:bookmarkEnd w:id="98"/>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 and the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BCTG Acquisition Corp.</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audited the accompanying balance sheet of BCTG Acquisition Corp. (the “Company”) as of June 30, 2020, the related statements of operations, changes in stockholder’s equity and cash flows for the period from May 21, 2020 (inception) through June 30, 2020, and the related notes (collectively referred to as the “financial statements”). In our opinion, the financial statements present fairly, in all material respects, the financial position of the Company as of June 30, 2020, and the results of its operations and its cash flows for the period from May 21, 2020 (inception) through June 30, 2020, in conformity with accounting principles generally accepted in the United States of America.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 WithumSmith+Brown, PC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30, 2020</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234"/>
        </w:trPr>
        <w:tc>
          <w:tcPr>
            <w:tcW w:w="10020" w:type="dxa"/>
            <w:vAlign w:val="bottom"/>
          </w:tcPr>
          <w:p>
            <w:pPr>
              <w:jc w:val="center"/>
              <w:ind w:left="1130"/>
              <w:spacing w:after="0"/>
              <w:rPr>
                <w:sz w:val="20"/>
                <w:szCs w:val="20"/>
                <w:color w:val="auto"/>
              </w:rPr>
            </w:pPr>
            <w:r>
              <w:rPr>
                <w:rFonts w:ascii="Arial" w:cs="Arial" w:eastAsia="Arial" w:hAnsi="Arial"/>
                <w:sz w:val="18"/>
                <w:szCs w:val="18"/>
                <w:b w:val="1"/>
                <w:bCs w:val="1"/>
                <w:color w:val="auto"/>
                <w:w w:val="99"/>
              </w:rPr>
              <w:t>BCTG ACQUISITION CORP.</w:t>
            </w: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0020" w:type="dxa"/>
            <w:vAlign w:val="bottom"/>
          </w:tcPr>
          <w:p>
            <w:pPr>
              <w:jc w:val="center"/>
              <w:ind w:left="1130"/>
              <w:spacing w:after="0"/>
              <w:rPr>
                <w:sz w:val="20"/>
                <w:szCs w:val="20"/>
                <w:color w:val="auto"/>
              </w:rPr>
            </w:pPr>
            <w:r>
              <w:rPr>
                <w:rFonts w:ascii="Arial" w:cs="Arial" w:eastAsia="Arial" w:hAnsi="Arial"/>
                <w:sz w:val="18"/>
                <w:szCs w:val="18"/>
                <w:b w:val="1"/>
                <w:bCs w:val="1"/>
                <w:color w:val="auto"/>
                <w:w w:val="99"/>
              </w:rPr>
              <w:t>BALANCE SHEET</w:t>
            </w: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0020" w:type="dxa"/>
            <w:vAlign w:val="bottom"/>
          </w:tcPr>
          <w:p>
            <w:pPr>
              <w:jc w:val="center"/>
              <w:ind w:left="1130"/>
              <w:spacing w:after="0"/>
              <w:rPr>
                <w:sz w:val="20"/>
                <w:szCs w:val="20"/>
                <w:color w:val="auto"/>
              </w:rPr>
            </w:pPr>
            <w:r>
              <w:rPr>
                <w:rFonts w:ascii="Arial" w:cs="Arial" w:eastAsia="Arial" w:hAnsi="Arial"/>
                <w:sz w:val="18"/>
                <w:szCs w:val="18"/>
                <w:b w:val="1"/>
                <w:bCs w:val="1"/>
                <w:color w:val="auto"/>
                <w:w w:val="88"/>
              </w:rPr>
              <w:t>June 30, 2020</w:t>
            </w: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1002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10020" w:type="dxa"/>
            <w:vAlign w:val="bottom"/>
          </w:tcPr>
          <w:p>
            <w:pPr>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10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24,993</w:t>
            </w:r>
          </w:p>
        </w:tc>
      </w:tr>
      <w:tr>
        <w:trPr>
          <w:trHeight w:val="203"/>
        </w:trPr>
        <w:tc>
          <w:tcPr>
            <w:tcW w:w="100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current assets</w:t>
            </w:r>
          </w:p>
        </w:tc>
        <w:tc>
          <w:tcPr>
            <w:tcW w:w="3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24,993</w:t>
            </w:r>
          </w:p>
        </w:tc>
        <w:tc>
          <w:tcPr>
            <w:tcW w:w="100" w:type="dxa"/>
            <w:vAlign w:val="bottom"/>
            <w:tcBorders>
              <w:top w:val="single" w:sz="8" w:color="CCEEFF"/>
            </w:tcBorders>
          </w:tcPr>
          <w:p>
            <w:pPr>
              <w:spacing w:after="0"/>
              <w:rPr>
                <w:sz w:val="17"/>
                <w:szCs w:val="17"/>
                <w:color w:val="auto"/>
              </w:rPr>
            </w:pPr>
          </w:p>
        </w:tc>
      </w:tr>
      <w:tr>
        <w:trPr>
          <w:trHeight w:val="249"/>
        </w:trPr>
        <w:tc>
          <w:tcPr>
            <w:tcW w:w="10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offering costs associated with the proposed public offering</w:t>
            </w:r>
          </w:p>
        </w:tc>
        <w:tc>
          <w:tcPr>
            <w:tcW w:w="36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38,500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78"/>
        </w:trPr>
        <w:tc>
          <w:tcPr>
            <w:tcW w:w="1002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63,493</w:t>
            </w:r>
          </w:p>
        </w:tc>
      </w:tr>
      <w:tr>
        <w:trPr>
          <w:trHeight w:val="216"/>
        </w:trPr>
        <w:tc>
          <w:tcPr>
            <w:tcW w:w="100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440</w:t>
            </w:r>
          </w:p>
        </w:tc>
      </w:tr>
      <w:tr>
        <w:trPr>
          <w:trHeight w:val="216"/>
        </w:trPr>
        <w:tc>
          <w:tcPr>
            <w:tcW w:w="10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13,500</w:t>
            </w:r>
          </w:p>
        </w:tc>
      </w:tr>
      <w:tr>
        <w:trPr>
          <w:trHeight w:val="237"/>
        </w:trPr>
        <w:tc>
          <w:tcPr>
            <w:tcW w:w="10020" w:type="dxa"/>
            <w:vAlign w:val="bottom"/>
          </w:tcPr>
          <w:p>
            <w:pPr>
              <w:ind w:left="180"/>
              <w:spacing w:after="0"/>
              <w:rPr>
                <w:sz w:val="20"/>
                <w:szCs w:val="20"/>
                <w:color w:val="auto"/>
              </w:rPr>
            </w:pPr>
            <w:r>
              <w:rPr>
                <w:rFonts w:ascii="Arial" w:cs="Arial" w:eastAsia="Arial" w:hAnsi="Arial"/>
                <w:sz w:val="18"/>
                <w:szCs w:val="18"/>
                <w:color w:val="auto"/>
              </w:rPr>
              <w:t>Note payable - related party</w:t>
            </w:r>
          </w:p>
        </w:tc>
        <w:tc>
          <w:tcPr>
            <w:tcW w:w="36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25,025</w:t>
            </w:r>
          </w:p>
        </w:tc>
      </w:tr>
      <w:tr>
        <w:trPr>
          <w:trHeight w:val="223"/>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38,965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Common stock, $0.0001 par value; 5,000,000 shares authorized; 3,593,750 shares issued and outstanding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371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Additional paid-in capital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Accumulated deficit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Liabilities and Stockholder’s Equity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359</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24,641</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(472)</w:t>
      </w:r>
    </w:p>
    <w:p>
      <w:pPr>
        <w:spacing w:after="0" w:line="3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24,528</w:t>
      </w:r>
    </w:p>
    <w:p>
      <w:pPr>
        <w:spacing w:after="0" w:line="59" w:lineRule="exact"/>
        <w:rPr>
          <w:sz w:val="20"/>
          <w:szCs w:val="20"/>
          <w:color w:val="auto"/>
        </w:rPr>
      </w:pPr>
    </w:p>
    <w:p>
      <w:pPr>
        <w:ind w:left="620" w:hanging="615"/>
        <w:spacing w:after="0"/>
        <w:tabs>
          <w:tab w:leader="none" w:pos="62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63,493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70294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02945"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43180</wp:posOffset>
            </wp:positionV>
            <wp:extent cx="70294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00" w:space="720"/>
            <w:col w:w="1220"/>
          </w:cols>
          <w:pgMar w:left="320" w:top="904" w:right="339" w:bottom="1440" w:gutter="0" w:footer="0" w:header="0"/>
          <w:type w:val="continuous"/>
        </w:sectPr>
      </w:pPr>
    </w:p>
    <w:p>
      <w:pPr>
        <w:spacing w:after="0" w:line="97" w:lineRule="exact"/>
        <w:rPr>
          <w:sz w:val="20"/>
          <w:szCs w:val="20"/>
          <w:color w:val="auto"/>
        </w:rPr>
      </w:pPr>
    </w:p>
    <w:p>
      <w:pPr>
        <w:ind w:left="380" w:right="20" w:hanging="372"/>
        <w:spacing w:after="0" w:line="277" w:lineRule="auto"/>
        <w:tabs>
          <w:tab w:leader="none" w:pos="380" w:val="left"/>
        </w:tabs>
        <w:numPr>
          <w:ilvl w:val="0"/>
          <w:numId w:val="50"/>
        </w:numPr>
        <w:rPr>
          <w:rFonts w:ascii="Arial" w:cs="Arial" w:eastAsia="Arial" w:hAnsi="Arial"/>
          <w:sz w:val="18"/>
          <w:szCs w:val="18"/>
          <w:i w:val="1"/>
          <w:iCs w:val="1"/>
          <w:color w:val="auto"/>
        </w:rPr>
      </w:pPr>
      <w:r>
        <w:rPr>
          <w:rFonts w:ascii="Arial" w:cs="Arial" w:eastAsia="Arial" w:hAnsi="Arial"/>
          <w:sz w:val="18"/>
          <w:szCs w:val="18"/>
          <w:i w:val="1"/>
          <w:iCs w:val="1"/>
          <w:color w:val="auto"/>
        </w:rPr>
        <w:t>This number includes up to 468,750 shares of common stock subject to forfeiture if the over-allotment option is not exercised in full or in part by the underwriters. Please see Note 5.</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100" w:name="page101"/>
    <w:bookmarkEnd w:id="100"/>
    <w:tbl>
      <w:tblPr>
        <w:tblLayout w:type="fixed"/>
        <w:tblInd w:w="0" w:type="dxa"/>
        <w:tblCellMar>
          <w:top w:w="0" w:type="dxa"/>
          <w:left w:w="0" w:type="dxa"/>
          <w:bottom w:w="0" w:type="dxa"/>
          <w:right w:w="0" w:type="dxa"/>
        </w:tblCellMar>
      </w:tblPr>
      <w:tr>
        <w:trPr>
          <w:trHeight w:val="234"/>
        </w:trPr>
        <w:tc>
          <w:tcPr>
            <w:tcW w:w="10020" w:type="dxa"/>
            <w:vAlign w:val="bottom"/>
          </w:tcPr>
          <w:p>
            <w:pPr>
              <w:jc w:val="center"/>
              <w:ind w:left="1130"/>
              <w:spacing w:after="0"/>
              <w:rPr>
                <w:sz w:val="20"/>
                <w:szCs w:val="20"/>
                <w:color w:val="auto"/>
              </w:rPr>
            </w:pPr>
            <w:r>
              <w:rPr>
                <w:rFonts w:ascii="Arial" w:cs="Arial" w:eastAsia="Arial" w:hAnsi="Arial"/>
                <w:sz w:val="18"/>
                <w:szCs w:val="18"/>
                <w:b w:val="1"/>
                <w:bCs w:val="1"/>
                <w:color w:val="auto"/>
                <w:w w:val="99"/>
              </w:rPr>
              <w:t>BCTG ACQUISITION CORP.</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10020" w:type="dxa"/>
            <w:vAlign w:val="bottom"/>
          </w:tcPr>
          <w:p>
            <w:pPr>
              <w:jc w:val="center"/>
              <w:ind w:left="1150"/>
              <w:spacing w:after="0"/>
              <w:rPr>
                <w:sz w:val="20"/>
                <w:szCs w:val="20"/>
                <w:color w:val="auto"/>
              </w:rPr>
            </w:pPr>
            <w:r>
              <w:rPr>
                <w:rFonts w:ascii="Arial" w:cs="Arial" w:eastAsia="Arial" w:hAnsi="Arial"/>
                <w:sz w:val="18"/>
                <w:szCs w:val="18"/>
                <w:b w:val="1"/>
                <w:bCs w:val="1"/>
                <w:color w:val="auto"/>
                <w:w w:val="99"/>
              </w:rPr>
              <w:t>STATEMENT OF OPERATIONS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10020" w:type="dxa"/>
            <w:vAlign w:val="bottom"/>
          </w:tcPr>
          <w:p>
            <w:pPr>
              <w:jc w:val="center"/>
              <w:ind w:left="1150"/>
              <w:spacing w:after="0"/>
              <w:rPr>
                <w:sz w:val="20"/>
                <w:szCs w:val="20"/>
                <w:color w:val="auto"/>
              </w:rPr>
            </w:pPr>
            <w:r>
              <w:rPr>
                <w:rFonts w:ascii="Arial" w:cs="Arial" w:eastAsia="Arial" w:hAnsi="Arial"/>
                <w:sz w:val="18"/>
                <w:szCs w:val="18"/>
                <w:b w:val="1"/>
                <w:bCs w:val="1"/>
                <w:color w:val="auto"/>
                <w:w w:val="91"/>
              </w:rPr>
              <w:t>For the period from May 21, 2020 (inception) through June 30, 2020</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10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9"/>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80" w:type="dxa"/>
            <w:vAlign w:val="bottom"/>
            <w:shd w:val="clear" w:color="auto" w:fill="CCEEFF"/>
          </w:tcPr>
          <w:p>
            <w:pPr>
              <w:spacing w:after="0"/>
              <w:rPr>
                <w:sz w:val="21"/>
                <w:szCs w:val="21"/>
                <w:color w:val="auto"/>
              </w:rPr>
            </w:pPr>
          </w:p>
        </w:tc>
      </w:tr>
      <w:tr>
        <w:trPr>
          <w:trHeight w:val="278"/>
        </w:trPr>
        <w:tc>
          <w:tcPr>
            <w:tcW w:w="1002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b w:val="1"/>
                <w:bCs w:val="1"/>
                <w:color w:val="auto"/>
              </w:rPr>
              <w:t>Net loss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(472</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16"/>
        </w:trPr>
        <w:tc>
          <w:tcPr>
            <w:tcW w:w="10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345"/>
        </w:trPr>
        <w:tc>
          <w:tcPr>
            <w:tcW w:w="10020" w:type="dxa"/>
            <w:vAlign w:val="bottom"/>
          </w:tcPr>
          <w:p>
            <w:pPr>
              <w:spacing w:after="0" w:line="296" w:lineRule="exact"/>
              <w:rPr>
                <w:sz w:val="20"/>
                <w:szCs w:val="20"/>
                <w:color w:val="auto"/>
              </w:rPr>
            </w:pPr>
            <w:r>
              <w:rPr>
                <w:rFonts w:ascii="Arial" w:cs="Arial" w:eastAsia="Arial" w:hAnsi="Arial"/>
                <w:sz w:val="18"/>
                <w:szCs w:val="18"/>
                <w:b w:val="1"/>
                <w:bCs w:val="1"/>
                <w:color w:val="auto"/>
              </w:rPr>
              <w:t xml:space="preserve">Weighted average shares outstanding, basic and diluted </w:t>
            </w:r>
            <w:r>
              <w:rPr>
                <w:rFonts w:ascii="Arial" w:cs="Arial" w:eastAsia="Arial" w:hAnsi="Arial"/>
                <w:sz w:val="29"/>
                <w:szCs w:val="29"/>
                <w:b w:val="1"/>
                <w:bCs w:val="1"/>
                <w:color w:val="auto"/>
                <w:vertAlign w:val="superscript"/>
              </w:rPr>
              <w:t>(1)</w:t>
            </w:r>
          </w:p>
        </w:tc>
        <w:tc>
          <w:tcPr>
            <w:tcW w:w="24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3,125,000</w:t>
            </w:r>
          </w:p>
        </w:tc>
        <w:tc>
          <w:tcPr>
            <w:tcW w:w="80" w:type="dxa"/>
            <w:vAlign w:val="bottom"/>
          </w:tcPr>
          <w:p>
            <w:pPr>
              <w:spacing w:after="0"/>
              <w:rPr>
                <w:sz w:val="24"/>
                <w:szCs w:val="24"/>
                <w:color w:val="auto"/>
              </w:rPr>
            </w:pPr>
          </w:p>
        </w:tc>
      </w:tr>
      <w:tr>
        <w:trPr>
          <w:trHeight w:val="216"/>
        </w:trPr>
        <w:tc>
          <w:tcPr>
            <w:tcW w:w="100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63"/>
        </w:trPr>
        <w:tc>
          <w:tcPr>
            <w:tcW w:w="10020" w:type="dxa"/>
            <w:vAlign w:val="bottom"/>
          </w:tcPr>
          <w:p>
            <w:pPr>
              <w:spacing w:after="0"/>
              <w:rPr>
                <w:sz w:val="20"/>
                <w:szCs w:val="20"/>
                <w:color w:val="auto"/>
              </w:rPr>
            </w:pPr>
            <w:r>
              <w:rPr>
                <w:rFonts w:ascii="Arial" w:cs="Arial" w:eastAsia="Arial" w:hAnsi="Arial"/>
                <w:sz w:val="18"/>
                <w:szCs w:val="18"/>
                <w:b w:val="1"/>
                <w:bCs w:val="1"/>
                <w:color w:val="auto"/>
              </w:rPr>
              <w:t>Basic and diluted net loss per share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3"/>
          </w:tcPr>
          <w:p>
            <w:pPr>
              <w:jc w:val="right"/>
              <w:ind w:right="40"/>
              <w:spacing w:after="0" w:line="256" w:lineRule="exact"/>
              <w:rPr>
                <w:sz w:val="20"/>
                <w:szCs w:val="20"/>
                <w:color w:val="auto"/>
              </w:rPr>
            </w:pPr>
            <w:r>
              <w:rPr>
                <w:rFonts w:ascii="Arial" w:cs="Arial" w:eastAsia="Arial" w:hAnsi="Arial"/>
                <w:sz w:val="16"/>
                <w:szCs w:val="16"/>
                <w:color w:val="auto"/>
              </w:rPr>
              <w:t>(0.00</w:t>
            </w:r>
            <w:r>
              <w:rPr>
                <w:rFonts w:ascii="Arial" w:cs="Arial" w:eastAsia="Arial" w:hAnsi="Arial"/>
                <w:sz w:val="29"/>
                <w:szCs w:val="29"/>
                <w:color w:val="auto"/>
                <w:vertAlign w:val="superscript"/>
              </w:rPr>
              <w:t>)</w:t>
            </w:r>
          </w:p>
        </w:tc>
      </w:tr>
      <w:tr>
        <w:trPr>
          <w:trHeight w:val="21"/>
        </w:trPr>
        <w:tc>
          <w:tcPr>
            <w:tcW w:w="100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hanging="372"/>
        <w:spacing w:after="0" w:line="277" w:lineRule="auto"/>
        <w:tabs>
          <w:tab w:leader="none" w:pos="380" w:val="left"/>
        </w:tabs>
        <w:numPr>
          <w:ilvl w:val="0"/>
          <w:numId w:val="51"/>
        </w:numPr>
        <w:rPr>
          <w:rFonts w:ascii="Arial" w:cs="Arial" w:eastAsia="Arial" w:hAnsi="Arial"/>
          <w:sz w:val="18"/>
          <w:szCs w:val="18"/>
          <w:i w:val="1"/>
          <w:iCs w:val="1"/>
          <w:color w:val="auto"/>
        </w:rPr>
      </w:pPr>
      <w:r>
        <w:rPr>
          <w:rFonts w:ascii="Arial" w:cs="Arial" w:eastAsia="Arial" w:hAnsi="Arial"/>
          <w:sz w:val="18"/>
          <w:szCs w:val="18"/>
          <w:i w:val="1"/>
          <w:iCs w:val="1"/>
          <w:color w:val="auto"/>
        </w:rPr>
        <w:t>This number excludes an aggregate of up to 468,750 shares of common stock subject to forfeiture if the over-allotment option is not exercised in full or in part by the underwriters. Please see Note 5.</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t>BCTG ACQUISITION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CHANGES IN STOCKHOLDER’S EQUITY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from May 21, 2020 (inception) through June 30, 2020</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3"/>
              </w:rPr>
              <w:t>Additional</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55"/>
        </w:trPr>
        <w:tc>
          <w:tcPr>
            <w:tcW w:w="4620" w:type="dxa"/>
            <w:vAlign w:val="bottom"/>
          </w:tcPr>
          <w:p>
            <w:pPr>
              <w:spacing w:after="0"/>
              <w:rPr>
                <w:sz w:val="22"/>
                <w:szCs w:val="22"/>
                <w:color w:val="auto"/>
              </w:rPr>
            </w:pPr>
          </w:p>
        </w:tc>
        <w:tc>
          <w:tcPr>
            <w:tcW w:w="2760" w:type="dxa"/>
            <w:vAlign w:val="bottom"/>
            <w:gridSpan w:val="5"/>
          </w:tcPr>
          <w:p>
            <w:pPr>
              <w:ind w:left="66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22"/>
                <w:szCs w:val="22"/>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Paid-In</w:t>
            </w:r>
          </w:p>
        </w:tc>
        <w:tc>
          <w:tcPr>
            <w:tcW w:w="1320" w:type="dxa"/>
            <w:vAlign w:val="bottom"/>
            <w:gridSpan w:val="3"/>
          </w:tcPr>
          <w:p>
            <w:pPr>
              <w:jc w:val="right"/>
              <w:ind w:right="181"/>
              <w:spacing w:after="0"/>
              <w:rPr>
                <w:sz w:val="20"/>
                <w:szCs w:val="20"/>
                <w:color w:val="auto"/>
              </w:rPr>
            </w:pPr>
            <w:r>
              <w:rPr>
                <w:rFonts w:ascii="Arial" w:cs="Arial" w:eastAsia="Arial" w:hAnsi="Arial"/>
                <w:sz w:val="18"/>
                <w:szCs w:val="18"/>
                <w:b w:val="1"/>
                <w:bCs w:val="1"/>
                <w:color w:val="auto"/>
                <w:w w:val="91"/>
              </w:rPr>
              <w:t>Accumulated</w:t>
            </w:r>
          </w:p>
        </w:tc>
        <w:tc>
          <w:tcPr>
            <w:tcW w:w="122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7"/>
              </w:rPr>
              <w:t>Stockholder’s</w:t>
            </w:r>
          </w:p>
        </w:tc>
        <w:tc>
          <w:tcPr>
            <w:tcW w:w="0" w:type="dxa"/>
            <w:vAlign w:val="bottom"/>
          </w:tcPr>
          <w:p>
            <w:pPr>
              <w:spacing w:after="0"/>
              <w:rPr>
                <w:sz w:val="1"/>
                <w:szCs w:val="1"/>
                <w:color w:val="auto"/>
              </w:rPr>
            </w:pPr>
          </w:p>
        </w:tc>
      </w:tr>
      <w:tr>
        <w:trPr>
          <w:trHeight w:val="237"/>
        </w:trPr>
        <w:tc>
          <w:tcPr>
            <w:tcW w:w="4620" w:type="dxa"/>
            <w:vAlign w:val="bottom"/>
          </w:tcPr>
          <w:p>
            <w:pPr>
              <w:spacing w:after="0"/>
              <w:rPr>
                <w:sz w:val="20"/>
                <w:szCs w:val="20"/>
                <w:color w:val="auto"/>
              </w:rPr>
            </w:pPr>
          </w:p>
        </w:tc>
        <w:tc>
          <w:tcPr>
            <w:tcW w:w="1380" w:type="dxa"/>
            <w:vAlign w:val="bottom"/>
            <w:tcBorders>
              <w:top w:val="single" w:sz="8" w:color="auto"/>
            </w:tcBorders>
            <w:gridSpan w:val="2"/>
          </w:tcPr>
          <w:p>
            <w:pPr>
              <w:ind w:left="320"/>
              <w:spacing w:after="0"/>
              <w:rPr>
                <w:sz w:val="20"/>
                <w:szCs w:val="20"/>
                <w:color w:val="auto"/>
              </w:rPr>
            </w:pPr>
            <w:r>
              <w:rPr>
                <w:rFonts w:ascii="Arial" w:cs="Arial" w:eastAsia="Arial" w:hAnsi="Arial"/>
                <w:sz w:val="18"/>
                <w:szCs w:val="18"/>
                <w:b w:val="1"/>
                <w:bCs w:val="1"/>
                <w:color w:val="auto"/>
              </w:rPr>
              <w:t>Shares</w:t>
            </w: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Amount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Capital</w:t>
            </w:r>
          </w:p>
        </w:tc>
        <w:tc>
          <w:tcPr>
            <w:tcW w:w="200" w:type="dxa"/>
            <w:vAlign w:val="bottom"/>
          </w:tcPr>
          <w:p>
            <w:pPr>
              <w:spacing w:after="0"/>
              <w:rPr>
                <w:sz w:val="20"/>
                <w:szCs w:val="20"/>
                <w:color w:val="auto"/>
              </w:rPr>
            </w:pPr>
          </w:p>
        </w:tc>
        <w:tc>
          <w:tcPr>
            <w:tcW w:w="1120" w:type="dxa"/>
            <w:vAlign w:val="bottom"/>
            <w:gridSpan w:val="2"/>
          </w:tcPr>
          <w:p>
            <w:pPr>
              <w:jc w:val="right"/>
              <w:ind w:right="421"/>
              <w:spacing w:after="0"/>
              <w:rPr>
                <w:sz w:val="20"/>
                <w:szCs w:val="20"/>
                <w:color w:val="auto"/>
              </w:rPr>
            </w:pPr>
            <w:r>
              <w:rPr>
                <w:rFonts w:ascii="Arial" w:cs="Arial" w:eastAsia="Arial" w:hAnsi="Arial"/>
                <w:sz w:val="18"/>
                <w:szCs w:val="18"/>
                <w:b w:val="1"/>
                <w:bCs w:val="1"/>
                <w:color w:val="auto"/>
              </w:rPr>
              <w:t>Deficit</w:t>
            </w:r>
          </w:p>
        </w:tc>
        <w:tc>
          <w:tcPr>
            <w:tcW w:w="200" w:type="dxa"/>
            <w:vAlign w:val="bottom"/>
          </w:tcPr>
          <w:p>
            <w:pPr>
              <w:spacing w:after="0"/>
              <w:rPr>
                <w:sz w:val="20"/>
                <w:szCs w:val="20"/>
                <w:color w:val="auto"/>
              </w:rPr>
            </w:pPr>
          </w:p>
        </w:tc>
        <w:tc>
          <w:tcPr>
            <w:tcW w:w="102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16"/>
        </w:trPr>
        <w:tc>
          <w:tcPr>
            <w:tcW w:w="4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 May 21, 2020 (inception)</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20"/>
              <w:spacing w:after="0"/>
              <w:rPr>
                <w:sz w:val="20"/>
                <w:szCs w:val="20"/>
                <w:color w:val="auto"/>
              </w:rPr>
            </w:pPr>
            <w:r>
              <w:rPr>
                <w:rFonts w:ascii="Arial" w:cs="Arial" w:eastAsia="Arial" w:hAnsi="Arial"/>
                <w:sz w:val="18"/>
                <w:szCs w:val="18"/>
                <w:color w:val="auto"/>
              </w:rPr>
              <w:t>Issuance of common stock to Sponsor (1)</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3,593,750</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359</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24,641</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25,000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(472)</w:t>
            </w:r>
          </w:p>
        </w:tc>
        <w:tc>
          <w:tcPr>
            <w:tcW w:w="20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Balance - June 30, 2020</w:t>
            </w: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20" w:type="dxa"/>
            <w:vAlign w:val="bottom"/>
            <w:vMerge w:val="continue"/>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3,593,750</w:t>
            </w:r>
          </w:p>
        </w:tc>
        <w:tc>
          <w:tcPr>
            <w:tcW w:w="2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359</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24,641</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(472</w:t>
            </w:r>
          </w:p>
        </w:tc>
        <w:tc>
          <w:tcPr>
            <w:tcW w:w="220" w:type="dxa"/>
            <w:vAlign w:val="bottom"/>
            <w:vMerge w:val="continue"/>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24,528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80" w:right="20" w:hanging="372"/>
        <w:spacing w:after="0" w:line="277" w:lineRule="auto"/>
        <w:tabs>
          <w:tab w:leader="none" w:pos="380" w:val="left"/>
        </w:tabs>
        <w:numPr>
          <w:ilvl w:val="0"/>
          <w:numId w:val="52"/>
        </w:numPr>
        <w:rPr>
          <w:rFonts w:ascii="Arial" w:cs="Arial" w:eastAsia="Arial" w:hAnsi="Arial"/>
          <w:sz w:val="18"/>
          <w:szCs w:val="18"/>
          <w:i w:val="1"/>
          <w:iCs w:val="1"/>
          <w:color w:val="auto"/>
        </w:rPr>
      </w:pPr>
      <w:r>
        <w:rPr>
          <w:rFonts w:ascii="Arial" w:cs="Arial" w:eastAsia="Arial" w:hAnsi="Arial"/>
          <w:sz w:val="18"/>
          <w:szCs w:val="18"/>
          <w:i w:val="1"/>
          <w:iCs w:val="1"/>
          <w:color w:val="auto"/>
        </w:rPr>
        <w:t>This number includes up to 468,750 shares of common stock subject to forfeiture if the over-allotment option is not exercised in full or in part by the underwriters. Please see Note 5.</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2" w:name="page103"/>
    <w:bookmarkEnd w:id="102"/>
    <w:p>
      <w:pPr>
        <w:jc w:val="center"/>
        <w:ind w:left="1940"/>
        <w:spacing w:after="0"/>
        <w:rPr>
          <w:sz w:val="20"/>
          <w:szCs w:val="20"/>
          <w:color w:val="auto"/>
        </w:rPr>
      </w:pPr>
      <w:r>
        <w:rPr>
          <w:rFonts w:ascii="Arial" w:cs="Arial" w:eastAsia="Arial" w:hAnsi="Arial"/>
          <w:sz w:val="18"/>
          <w:szCs w:val="18"/>
          <w:b w:val="1"/>
          <w:bCs w:val="1"/>
          <w:color w:val="auto"/>
        </w:rPr>
        <w:t>BCTG ACQUISITION CORP.</w:t>
      </w:r>
    </w:p>
    <w:p>
      <w:pPr>
        <w:spacing w:after="0" w:line="225" w:lineRule="exact"/>
        <w:rPr>
          <w:sz w:val="20"/>
          <w:szCs w:val="20"/>
          <w:color w:val="auto"/>
        </w:rPr>
      </w:pPr>
    </w:p>
    <w:p>
      <w:pPr>
        <w:jc w:val="center"/>
        <w:ind w:left="1940"/>
        <w:spacing w:after="0"/>
        <w:rPr>
          <w:sz w:val="20"/>
          <w:szCs w:val="20"/>
          <w:color w:val="auto"/>
        </w:rPr>
      </w:pPr>
      <w:r>
        <w:rPr>
          <w:rFonts w:ascii="Arial" w:cs="Arial" w:eastAsia="Arial" w:hAnsi="Arial"/>
          <w:sz w:val="18"/>
          <w:szCs w:val="18"/>
          <w:b w:val="1"/>
          <w:bCs w:val="1"/>
          <w:color w:val="auto"/>
        </w:rPr>
        <w:t>STATEMENT OF CASH FLOWS</w:t>
      </w:r>
    </w:p>
    <w:p>
      <w:pPr>
        <w:spacing w:after="0" w:line="225" w:lineRule="exact"/>
        <w:rPr>
          <w:sz w:val="20"/>
          <w:szCs w:val="20"/>
          <w:color w:val="auto"/>
        </w:rPr>
      </w:pPr>
    </w:p>
    <w:p>
      <w:pPr>
        <w:ind w:left="3020"/>
        <w:spacing w:after="0"/>
        <w:rPr>
          <w:sz w:val="20"/>
          <w:szCs w:val="20"/>
          <w:color w:val="auto"/>
        </w:rPr>
      </w:pPr>
      <w:r>
        <w:rPr>
          <w:rFonts w:ascii="Arial" w:cs="Arial" w:eastAsia="Arial" w:hAnsi="Arial"/>
          <w:sz w:val="16"/>
          <w:szCs w:val="16"/>
          <w:b w:val="1"/>
          <w:bCs w:val="1"/>
          <w:color w:val="auto"/>
        </w:rPr>
        <w:t>For the period from May 21, 2020 (inception) through June 30, 2020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Net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Changes in operating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Accounts payable</w:t>
      </w:r>
    </w:p>
    <w:p>
      <w:pPr>
        <w:spacing w:after="0" w:line="18"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543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Proceeds from issuance of common stock to Sponsor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Proceeds from note payable to related party</w:t>
      </w:r>
    </w:p>
    <w:p>
      <w:pPr>
        <w:spacing w:after="0" w:line="18"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change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 beginning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6319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 end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6319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disclosure of noncash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Deferred offering costs included in note payable - related party</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Deferred offering costs included in accrued expenses</w:t>
      </w:r>
    </w:p>
    <w:p>
      <w:pPr>
        <w:spacing w:after="0" w:line="211" w:lineRule="exact"/>
        <w:rPr>
          <w:sz w:val="20"/>
          <w:szCs w:val="20"/>
          <w:color w:val="auto"/>
        </w:rPr>
      </w:pPr>
    </w:p>
    <w:p>
      <w:pPr>
        <w:jc w:val="right"/>
        <w:ind w:right="102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34" w:lineRule="exact"/>
        <w:rPr>
          <w:sz w:val="20"/>
          <w:szCs w:val="20"/>
          <w:color w:val="auto"/>
        </w:rPr>
      </w:pPr>
    </w:p>
    <w:p>
      <w:pPr>
        <w:ind w:left="5480"/>
        <w:spacing w:after="0"/>
        <w:rPr>
          <w:sz w:val="20"/>
          <w:szCs w:val="20"/>
          <w:color w:val="auto"/>
        </w:rPr>
      </w:pPr>
      <w:r>
        <w:rPr>
          <w:rFonts w:ascii="Arial" w:cs="Arial" w:eastAsia="Arial" w:hAnsi="Arial"/>
          <w:sz w:val="22"/>
          <w:szCs w:val="22"/>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780" w:hanging="775"/>
        <w:spacing w:after="0"/>
        <w:tabs>
          <w:tab w:leader="none" w:pos="7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(472)</w:t>
      </w:r>
    </w:p>
    <w:p>
      <w:pPr>
        <w:spacing w:after="0" w:line="250" w:lineRule="exact"/>
        <w:rPr>
          <w:sz w:val="20"/>
          <w:szCs w:val="20"/>
          <w:color w:val="auto"/>
        </w:rPr>
      </w:pPr>
    </w:p>
    <w:p>
      <w:pPr>
        <w:ind w:left="840"/>
        <w:spacing w:after="0"/>
        <w:rPr>
          <w:sz w:val="20"/>
          <w:szCs w:val="20"/>
          <w:color w:val="auto"/>
        </w:rPr>
      </w:pPr>
      <w:r>
        <w:rPr>
          <w:rFonts w:ascii="Arial" w:cs="Arial" w:eastAsia="Arial" w:hAnsi="Arial"/>
          <w:sz w:val="18"/>
          <w:szCs w:val="18"/>
          <w:color w:val="auto"/>
        </w:rPr>
        <w:t>440</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pacing w:after="0" w:line="200" w:lineRule="exact"/>
        <w:rPr>
          <w:sz w:val="20"/>
          <w:szCs w:val="20"/>
          <w:color w:val="auto"/>
        </w:rPr>
      </w:pPr>
    </w:p>
    <w:p>
      <w:pPr>
        <w:spacing w:after="0" w:line="281"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25,000</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25</w:t>
      </w:r>
    </w:p>
    <w:p>
      <w:pPr>
        <w:spacing w:after="0" w:line="3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25,025</w:t>
      </w:r>
    </w:p>
    <w:p>
      <w:pPr>
        <w:spacing w:after="0" w:line="25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24,993</w:t>
      </w:r>
    </w:p>
    <w:p>
      <w:pPr>
        <w:spacing w:after="0" w:line="239"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w:t>
      </w:r>
    </w:p>
    <w:p>
      <w:pPr>
        <w:spacing w:after="0" w:line="59" w:lineRule="exact"/>
        <w:rPr>
          <w:sz w:val="20"/>
          <w:szCs w:val="20"/>
          <w:color w:val="auto"/>
        </w:rPr>
      </w:pPr>
    </w:p>
    <w:p>
      <w:pPr>
        <w:ind w:left="620" w:hanging="615"/>
        <w:spacing w:after="0"/>
        <w:tabs>
          <w:tab w:leader="none" w:pos="62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24,993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702945"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left="620" w:hanging="615"/>
        <w:spacing w:after="0"/>
        <w:tabs>
          <w:tab w:leader="none" w:pos="6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25,000</w:t>
      </w:r>
    </w:p>
    <w:p>
      <w:pPr>
        <w:spacing w:after="0" w:line="23" w:lineRule="exact"/>
        <w:rPr>
          <w:rFonts w:ascii="Arial" w:cs="Arial" w:eastAsia="Arial" w:hAnsi="Arial"/>
          <w:sz w:val="18"/>
          <w:szCs w:val="18"/>
          <w:color w:val="auto"/>
        </w:rPr>
      </w:pPr>
    </w:p>
    <w:p>
      <w:pPr>
        <w:ind w:left="620" w:hanging="615"/>
        <w:spacing w:after="0"/>
        <w:tabs>
          <w:tab w:leader="none" w:pos="6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13,500</w:t>
      </w:r>
    </w:p>
    <w:p>
      <w:pPr>
        <w:sectPr>
          <w:pgSz w:w="11900" w:h="16838" w:orient="portrait"/>
          <w:cols w:equalWidth="0" w:num="2">
            <w:col w:w="9300" w:space="720"/>
            <w:col w:w="1180"/>
          </w:cols>
          <w:pgMar w:left="320" w:top="904" w:right="37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color w:val="auto"/>
        </w:rPr>
        <w:t>NOTE 1. DESCRIPTION OF ORGANIZATION, BUSINESS OPERATIONS AND BASIS OF PRESENTATION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BCTG Acquisition Corp. (the “Company”) is a newly organized blank check company incorporated in Delaware and formed for the purpose of effecting into a merger, share exchange, asset acquisition, stock purchase, recapitalization, reorganization or other similar business combination with one or more businesses or entities (“Business Combination”). Although the Company is not limited to a particular industry or geographic region for purposes of consummating a Business Combination, the Company intends to focus on businesses that have their primary operations located in North America and Europe in the biotechnology industry.</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June 30, 2020, the Company had not yet commenced operations. All activity for the period from May 21, 2020 (inception) through June 30, 2020 relates to the Company’s formation and the Proposed Public Offering, which is described below. The Company has selected December 31 as its fiscal year end.</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ability to commence operations is contingent upon obtaining adequate financial resources through a proposed initial public offering of 12,500,000 shares of common stock at $10.00 per share (or 14,375,000 shares if the underwriters’ option to purchase additional shares is exercised in full) (“Public Shares”) which is discussed in Note 3 (the “Proposed Public Offering”) and the sale of 450,000 shares of common stock at a price of $10.00 per share (or 487,500 shares if the underwriters’ option to purchase additional shares is exercised in full) (“Private Placement Shares”) in a private placement to the Company’s sponsor, BCTG Holdings, LLC, a Delaware limited liability company (the “Sponsor”), that will close simultaneously with the Proposed Public Offering.</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Company’s management has broad discretion with respect to the specific application of the net proceeds of its Proposed Public Offering and the sale of Private Placement Shares, although substantially all of the net proceeds are intended to be applied generally toward consummating a Business Combination. The Company’s initial Business Combination must be with one or more operating businesses or assets with a fair market value equal to at least 80% of the net assets held in the Trust Account (as defined below) (excluding the amount of any deferred underwriting discount held in trust and taxes payable on the income earned on the Trust Account) at the time the Company signs a definitive agreement in connection with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1940, as amended, or the Investment Company Act. Upon the closing of the Proposed Public Offering, management has agreed that an amount equal to at least $10.00 per share sold in the Proposed Public Offering, including the proceeds of the Private Placement Shares, will be held in a trust account (“Trust Account”) in the United States maintained by Continental Stock Transfer &amp; Trust Company, as trustee, and will be invested only in U.S. government treasury bills, notes and bonds with a maturity of 185 days or less or in money market funds meeting certain conditions under Rule 2a-7 under the Investment Company Act and which invest solely in U.S. Treasuries, until the earlier of: (i) the completion of a Business Combination and (ii) the distribution of the Trust Account as described below.</w:t>
      </w:r>
    </w:p>
    <w:p>
      <w:pPr>
        <w:spacing w:after="0" w:line="174"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Company will provide the holders of Public Shares (the “Public Stockholders”) with the opportunity to redeem all or a portion of their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solely in its discretion. The Public Stockholders will be entitled to redeem their Public Shares for a pro rata portion of the amount then in the Trust Account (initially anticipated to be $10.00 per share, plus any pro rata interest earned on the funds held in the Trust Account and not previously released to the Company to pay its tax obligations). The per-share amount to be distributed to public stockholders who redeem their Public Shares will not be reduced by the deferred underwriting commissions the Company will pay to the underwriters (as discussed in Note 6). These Public Shares will be recorded at a redemption value and classified as temporary equity upon the completion of the Proposed Public Offering, in accordance with the Financial Accounting Standards Board’s (“FASB”) Accounting Standards Codification (“ASC”) Topic 480 “Distinguishing Liabilities from Equity.” In such case, the Company will proceed with a Business Combination if the Company has net tangible assets of at least $5,000,001 upon such consummation of a Business Combination and a majority of the shares voted are voted in favor of the Business Combination. If a stockholder vote is not required by law and the Company does not decide to hold a stockholder vote for business or other legal reasons, the Company will, pursuant to the amended and restated Certificate of Incorporation which will be adopted by the Company upon the consummation of the Proposed Public Offering (the “Amended and Restated Certificate”), conduct the redemptions pursuant to the tender offer rules of the U.S. Securities and Exchange Commission (the “SEC”), and file tender offer documents with the SEC prior to completing a Business Combination. If, however, a stockholder approval of the transactions is required by law, or the Company decides to obtain stockholder approval for business or legal reasons, the Company will offer to redeem shares in conjunction with a proxy solicitation pursuant to the proxy rules and not pursuant to the tender offer rules. Additionally, each public stockholder may elect to redeem their Public Shares irrespective of whether they vote for or against the proposed transaction. If the Company seeks stockholder approval in connection with a Business Combination, the holders of the Founder Shares prior to this Proposed Public Offering (the “Initial Stockholders”) have agreed to vote their Founder Shares (as defined in Note 5) and any Public Shares purchased during or after the Proposed Public Offering in favor of a Business Combination. In addition, the Initial Stockholders have agreed to waive their redemption rights with respect to their Founder Shares and Public Shares in connection with the completion of a Business Combination. In addition, the Company has agreed not to enter into a definitive agreement regarding an initial Business Combination without the prior consent of the Sponsor.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4" w:name="page105"/>
    <w:bookmarkEnd w:id="104"/>
    <w:p>
      <w:pPr>
        <w:jc w:val="both"/>
        <w:spacing w:after="0" w:line="279" w:lineRule="auto"/>
        <w:rPr>
          <w:sz w:val="20"/>
          <w:szCs w:val="20"/>
          <w:color w:val="auto"/>
        </w:rPr>
      </w:pPr>
      <w:r>
        <w:rPr>
          <w:rFonts w:ascii="Arial" w:cs="Arial" w:eastAsia="Arial" w:hAnsi="Arial"/>
          <w:sz w:val="17"/>
          <w:szCs w:val="17"/>
          <w:color w:val="auto"/>
        </w:rPr>
        <w:t>Notwithstanding the foregoing, the Company’s Amended and Restated Certificate will provide that a public stockholder, together with any affiliate of such stockholder or any other person with whom such stockholder is acting in concert or as a “group” (as defined under Section 13 of the Securities Exchange Act of 1934, as amended (the “Exchange Act”)), will be restricted from redeeming its shares with respect to more than an aggregate of 20% or more of the shares of common stock sold in the Proposed Public Offering, without the prior consent of the Company.</w:t>
      </w:r>
    </w:p>
    <w:p>
      <w:pPr>
        <w:spacing w:after="0" w:line="171" w:lineRule="exact"/>
        <w:rPr>
          <w:sz w:val="20"/>
          <w:szCs w:val="20"/>
          <w:color w:val="auto"/>
        </w:rPr>
      </w:pPr>
    </w:p>
    <w:p>
      <w:pPr>
        <w:jc w:val="both"/>
        <w:ind w:firstLine="52"/>
        <w:spacing w:after="0" w:line="301" w:lineRule="auto"/>
        <w:rPr>
          <w:sz w:val="20"/>
          <w:szCs w:val="20"/>
          <w:color w:val="auto"/>
        </w:rPr>
      </w:pPr>
      <w:r>
        <w:rPr>
          <w:rFonts w:ascii="Arial" w:cs="Arial" w:eastAsia="Arial" w:hAnsi="Arial"/>
          <w:sz w:val="16"/>
          <w:szCs w:val="16"/>
          <w:color w:val="auto"/>
        </w:rPr>
        <w:t>The Company’s Sponsor, executive officers, directors and director nominees will have agreed not to propose an amendment to the Company’s Amended and Restated Certificate that would affect the substance or timing of the Company’s obligation to provide for the redemption of its Public Shares in connection with a Business Combination or to redeem 100% of its Public Shares if the Company does not complete a Business Combination, unless the Company provides the public stockholders with the opportunity to redeem their shares of common stock in conjunction with any such amendment.</w:t>
      </w:r>
    </w:p>
    <w:p>
      <w:pPr>
        <w:spacing w:after="0" w:line="15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If a Business Combination has not been consummated within 24 months from the closing of the Proposed Public Offering (the “Combination Period”), the Company will (i) cease all operations except for the purpose of winding up, (ii) as promptly as reasonably possible but not more than ten business days thereafter, redeem 100% of the outstanding Public Shares and (iii) as promptly as reasonably possible following such redemption, subject to the approval of the remaining stockholders and the board of directors, dissolve and liquidate, subject (in the case of (ii) and (iii) above) to the Company’s obligations under Delaware law to provide for claims of creditors and the requirements of other applicable law.</w:t>
      </w:r>
    </w:p>
    <w:p>
      <w:pPr>
        <w:spacing w:after="0" w:line="17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Initial Stockholders have agreed to waive their liquidation rights with respect to the Founder Shares if the Company fails to complete a Business Combination within the Combination Period. However, if the Initial Stockholders should acquire Public Shares in or after the Proposed Public Offering, they will be entitled to liquidating distributions from the Trust Account with respect to such Public Shares if the Company fails to complete a Business Combination within the Combination Period. The underwriters have agreed to waive their rights to their deferred underwriting commission (see Note 6) held in the Trust Account in the event the Company does not complete a Business Combination within the Combination Period and, in such event, such amounts will be included with the funds held in the Trust Account that will be available to fund the redemption of the Company’s Public Shares. In the event of such distribution, it is possible that the per share value of the residual assets remaining available for distribution (including Trust Account assets) will be only $10.00 per share initially held in the Trust Account.</w:t>
      </w:r>
    </w:p>
    <w:p>
      <w:pPr>
        <w:spacing w:after="0" w:line="17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will seek to have all third parties (other than the Company’s independent registered public accounting firm) and any prospective target businesses enter into valid and enforceable agreements with the Company waiving any right, title, interest or claim of any kind they may have in or to any monies held in the Trust Account. Nevertheless, there is no guarantee that vendors, service providers and prospective target businesses will execute such agreements. The Company’s insiders have agreed that they will be jointly and severally liable to the Company if and to the extent any claims by a vendor for services rendered or products sold to the Company, or a prospective target business with which the Company has discussed entering into a transaction agreement, reduce the amount of funds in the Trust Account to below $10.00 per Public Share, except as to any claims by a third party who executed a valid and enforceable agreement with the Company waiving any right, title, interest or claim of any kind they may have in or to any monies held in the Trust Account and except as to any claims under our indemnity of the underwriters of this offering against certain liabilities, including liabilities under the Securities Act. However, the Company’s insiders may not be able to satisfy their indemnification obligations. Moreover, the Company’s insiders will not be liable to the Public Stockholders and instead will only have liability to the Company.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accompanying financial statements are presented in U.S. dollars in conformity with accounting principles generally accepted in the United States of America (“U.S. GAAP”) and pursuant to the rules and regulations of the SEC. In connection with the Company’s assessment of going concern considerations in accordance with ASU 2014-15, “Disclosures of Uncertainties about an Entity’s Ability to Continue as a Going Concern,” as of June 30, 2020, the Company does not have sufficient liquidity to meet its current obligations. However, management has determined that the Company has access to funds from the Sponsor that are sufficient to fund the working capital needs of the Company until the earlier of the consummation of the Proposed Public Offering or a minimum one year from the date of issuance of these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Emerging growth company</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5" w:name="page106"/>
    <w:bookmarkEnd w:id="105"/>
    <w:p>
      <w:pPr>
        <w:jc w:val="both"/>
        <w:spacing w:after="0" w:line="289"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from those estimates.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credit risk</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Financial instruments that potentially subject the Company to concentration of credit risk consist of a cash account in a financial institution which, at times may exceed the Federal depository insurance coverage of $250,000. At June 30, 2020, the Company had not experienced losses on this account and management believes the Company is not exposed to significant risks on such account.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the Company’s assets and liabilities, which qualify as financial instruments under the FASB ASC 820, “Fair Value Measurements and Disclosures,” approximates the carrying amounts represented in the balance sheet.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offering costs associated with the Proposed Public Offering</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Deferred offering costs consist of legal, accounting and other costs incurred through the balance sheet date that are directly related to the Proposed Public Offering and that will be charged to stockholder’s equity upon the completion of the Proposed Public Offering. Should the Proposed Public Offering prove to be unsuccessful, these deferred costs, as well as additional expenses to be incurred, will be charged to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 per common share</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complies with accounting and disclosure requirements of ASC Topic 260, “Earnings Per Share.” Net loss per share is computed by dividing net loss by the weighted average number of shares of common stock outstanding during the period. Weighted average share were reduced for the effect of an aggregate of 468,750 shares of common stock that are subject to forfeiture if the over-allotment option is not exercised by the underwriters (see Note 7). At June 30, 2020, the Company did not have any dilutive securities and other contracts that could, potentially, be exercised or converted into shares of common stock and then share in the earnings of the Company. As a result, diluted loss per share is the same as basic loss per share for the period presented.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complies with the accounting and reporting requirements of Financial Accounting Standards Board Accounting Standard Codification, or FASB ASC, 740, “Income Taxes,” which requires an asset and liability approach to financial accounting and reporting for income taxes. Deferred income tax assets and liabilities are computed for differences between the financial statement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6" w:name="page107"/>
    <w:bookmarkEnd w:id="106"/>
    <w:p>
      <w:pPr>
        <w:jc w:val="both"/>
        <w:spacing w:after="0" w:line="273" w:lineRule="auto"/>
        <w:rPr>
          <w:sz w:val="20"/>
          <w:szCs w:val="20"/>
          <w:color w:val="auto"/>
        </w:rPr>
      </w:pPr>
      <w:r>
        <w:rPr>
          <w:rFonts w:ascii="Arial" w:cs="Arial" w:eastAsia="Arial" w:hAnsi="Arial"/>
          <w:sz w:val="17"/>
          <w:szCs w:val="17"/>
          <w:color w:val="auto"/>
        </w:rPr>
        <w:t>There were no unrecognized tax benefits as of June 30, 2020. FASB ASC 740 prescribes a recognition threshold and a measurement attribute for the financial statement recognition and measurement of tax positions taken or expected to be taken in a tax return. For those benefits to be recognized, a tax position must be more-likely-than-not to be sustained upon examination by taxing authorities. The Company recognizes accrued interest and penalties related to unrecognized tax benefits as income tax expense. No amounts were accrued for the payment of interest and penalties at June 30, 2020.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was deemed to be de minimis for the period from May 21, 2020 (inception) through June 30,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pronouncements, if currently adopted, would have a material effect on the Company’s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PROPOSED PUBLIC OFFERING</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Proposed Public Offering, the Company will offer for sale up to 12,500,000 shares of common stock (or 14,375,000 shares if the underwriters’ option to purchase additional shares is exercised in full) at a purchase price of $10.00 per share.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PRIVATE PLACEMENT</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Sponsor agreed to purchase an aggregate of 450,000 Private Placement Shares (or 487,500 Private Placement Shares if the over-allotment option is exercised in full) at a price of $10.00 per Private Placement Share ($4.5 million in the aggregate, or approximately $4.9 million in the aggregate if the over-allotment option is exercised in full) in a private placement that will occur simultaneously with the closing of the Proposed Public Offering.</w:t>
      </w:r>
    </w:p>
    <w:p>
      <w:pPr>
        <w:spacing w:after="0" w:line="14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portion of the proceeds from the Private Placement Shares will be added to the proceeds from the Proposed Public Offering to be held in the Trust Account.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Founder Shares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June 4, 2020, the Company issued 3,593,750 shares of common stock to the Sponsor (the “Founder Shares”) for an aggregate purchase price of $25,000. The holders of the Founder Shares have agreed to forfeit up to an aggregate of 468,750 Founder Shares, on a pro rata basis, to the extent that the option to purchase additional shares is not exercised in full by the underwriters. The forfeiture will be adjusted to the extent that the option to purchase additional share is not exercised in full by the underwriters so that the Founder Shares will represent 20% of the Company’s issued and outstanding shares after the Proposed Public Offering. If the Company increases or decreases the size of the Proposed Public Offering, the Company will effect a share capitalization or a share repurchase or redemption or other appropriate mechanism, as applicable, with respect to the shares of common stock prior to the consummation of the Proposed Public Offering in such amount as to maintain the number of Founder Shares at 20% of the Company’s issued and outstanding common stock upon the consummation of the Proposed Public Offering.</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Initial Stockholders have agreed not to transfer, assign or sell any of their Founder Shares (except to certain permitted transferees) until the earlier of one year after the date of the consummation of the initial Business Combination or (ii) the date on which the closing price of the Company’s common stock equals or exceeds $12.00 per share (as adjusted for stock splits, stock dividends, reorganizations and recapitalizations) for any 20 trading days within any 30-trading day period commencing after the initial Business Combination, or earlier if, subsequent to the initial Business Combination, the Company consummates a subsequent liquidation, merger, stock exchange or other similar transaction which results in all of the stockholders having the right to exchange their shares of common stock for cash, securities or other property.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Loans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May 21, 2020 and June 10, 2020, the Sponsor agreed to loan the Company up to $25,025 and $274,975, respectively, for an aggregate amount of $300,000 to be used for the payment of costs related to the Proposed Public Offering pursuant to a promissory note (each, a “Note” and, collectively, the “Notes”). The Notes are non-interest bearing, unsecured and due on the date the Company consummates the Proposed Public Offering or the date on which the Company determines not to conduct the Proposed Public Offering. The Company intends to repay the Notes from the proceeds of the Proposed Public Offering not being placed in the Trust Account. As of June 30, 2020, the Company has borrowed $25,025 under the Notes.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7" w:name="page108"/>
    <w:bookmarkEnd w:id="107"/>
    <w:p>
      <w:pPr>
        <w:jc w:val="both"/>
        <w:spacing w:after="0" w:line="293" w:lineRule="auto"/>
        <w:rPr>
          <w:sz w:val="20"/>
          <w:szCs w:val="20"/>
          <w:color w:val="auto"/>
        </w:rPr>
      </w:pPr>
      <w:r>
        <w:rPr>
          <w:rFonts w:ascii="Arial" w:cs="Arial" w:eastAsia="Arial" w:hAnsi="Arial"/>
          <w:sz w:val="16"/>
          <w:szCs w:val="16"/>
          <w:color w:val="auto"/>
        </w:rPr>
        <w:t>In addition, in order to finance transaction costs in connection with a Business Combination, the Initial Stockholders may, but are not obligated to, loan the Company funds, from time to time or at any time, in whatever amount they deem reasonable in their sole discretion (the “Working Capital Loans”). Each loan would be evidenced by a promissory note. The notes would either be paid upon consummation of the initial Business Combination, without interest, or, at the lender’s discretion, up to $1,500,000 of the notes may be converted upon consummation of the Business Combination into additional private placement shares at a conversion price of $10.00 per share. If the Company does not complete a Business Combination, the loans will not be repaid. Such private placement shares would be identical to the Private Placement Shares. To date, the Company had no borrowings under the Working Capital Loans.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Placement of Common Stock in connection with the Business Combination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Sponsor has entered into an agreement to purchase at least $25,000,000 of the Company’s private shares, representing an aggregate of 2,500,000 shares of common stock, in a private placement that would occur concurrently with the consummation of the initial Business Combination. The funds from such private placement would be used as part of the consideration to the sellers in the initial Business Combination, and any excess funds from such private placement would be used for working capital in the post-transaction company.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Support Agreement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Commencing on the date of the Company’s prospectus, the Company will agree to pay an affiliate of the Sponsor a total of $10,000 per month for office space and certain office and secretarial services. Upon completion of the Initial Business Combination or the Company’s liquidation, the Company will cease paying these monthly fees.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and Stockholder Rights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holders of the Founder Shares, Private Placement Shares and shares that may be issued upon conversion of Working Capital Loans will be entitled to registration rights pursuant to a registration rights agreement to be signed prior to or on the effective date of the Proposed Public Offering. The holders of a majority of these securities are entitled to make up to two demands that the Company register such securities. The holders of the majority of the Founder Shares can elect to exercise these registration rights at any time commencing three months prior to the date on which these shares of common stock are to be released from escrow. In addition, the holders have certain “piggy-back” registration rights with respect to registration statements filed subsequent to the consummation of a Business Combination. The Company will bear the expenses incurred in connection with the filing of any such registration statements.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will grant the underwriters a 45-day option from the date of this prospectus to purchase up to 1,875,000 additional shares at the Proposed Public Offering price less the underwriting discounts and commissions.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underwriters will be entitled to an underwriting discount of $0.20 per share, or $2.5 million in the aggregate (or approximately $2.9 million in the aggregate if the underwriters’ over-allotment option is exercised in full), payable upon the closing of the Proposed Public Offering. In addition, the underwriters will be entitled to a deferred underwriting commission of $0.35 per share, or approximately $4.4 million in the aggregate (or approximately $5.0 million in the aggregate if the underwriters’ over-allotment option is exercised in full). The deferred fee will become payable to the underwriters from the amounts held in the Trust Account solely in the event that the Company completes a Business Combination, subject to the terms of the underwriting agreement.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continues to evaluate the impact of the COVID-19 pandemic on the industry and has concluded that while it is reasonably possible that the virus could have a negative effect on the Company’s financial position, results of its operations and/or search for a target company, the specific impact is not readily determinable as of the date of these financial statements. The financial statements do not include any adjustments that might result from the outcome of this uncertainty.</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color w:val="auto"/>
        </w:rPr>
        <w:t>NOTE 7. STOCKHOLDER’S EQUITY</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b w:val="1"/>
          <w:bCs w:val="1"/>
          <w:i w:val="1"/>
          <w:iCs w:val="1"/>
          <w:color w:val="auto"/>
        </w:rPr>
        <w:t xml:space="preserve">Common stock </w:t>
      </w:r>
      <w:r>
        <w:rPr>
          <w:rFonts w:ascii="Arial" w:cs="Arial" w:eastAsia="Arial" w:hAnsi="Arial"/>
          <w:sz w:val="17"/>
          <w:szCs w:val="17"/>
          <w:color w:val="auto"/>
        </w:rPr>
        <w:t>—The Company is authorized to issue 5,000,000 shares of common stock, par value $0.0001. The Company’s Amended and Restated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Certificate will provide additional shares in connection with the Proposed Public Offering. Holders of the Company’s common stock are entitled to one vote for each share. On June 4, 2020, the Company issued 3,593,750 shares of common stock, of which up to 468,750 of these shares will be subject to forfeiture by the Sponsor (or its permitted transferees) on a pro rata basis depending on the extent to which the underwriters’ over-allotment option is exercised. As of June 30, 2020, there were 3,593,750 shares of common stock issued or outstanding.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Subsequent to June 30, 2020, the Company borrowed $18,659 under the Notes.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Management has evaluated subsequent events to determine if events or transactions occurring through July 30, 2020, the date the financial statements were available for issuance, require potential adjustment to or disclosure in the financial statements and has concluded that all such events that would require recognition or disclosure have been recognized or disclosed.</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9" w:name="page110"/>
    <w:bookmarkEnd w:id="109"/>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$125,000,000</w:t>
      </w: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BCTG Acquisition Corp.</w:t>
      </w: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12,500,000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179705</wp:posOffset>
            </wp:positionV>
            <wp:extent cx="178308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154305</wp:posOffset>
            </wp:positionV>
            <wp:extent cx="178308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Sole Bookrunning Manager</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SVB Leerink</w:t>
      </w:r>
    </w:p>
    <w:p>
      <w:pPr>
        <w:spacing w:after="0" w:line="200" w:lineRule="exact"/>
        <w:rPr>
          <w:sz w:val="20"/>
          <w:szCs w:val="20"/>
          <w:color w:val="auto"/>
        </w:rPr>
      </w:pPr>
    </w:p>
    <w:p>
      <w:pPr>
        <w:spacing w:after="0" w:line="218"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_________,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1131570</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10" w:name="page111"/>
    <w:bookmarkEnd w:id="110"/>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229"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estimated expenses payable by us in connection with the offering described in this registration statement (other than the underwriting discount and commissions) will be as follows:</w:t>
      </w:r>
    </w:p>
    <w:p>
      <w:pPr>
        <w:sectPr>
          <w:pgSz w:w="11900" w:h="16838" w:orient="portrait"/>
          <w:cols w:equalWidth="0" w:num="1">
            <w:col w:w="11240"/>
          </w:cols>
          <w:pgMar w:left="320" w:top="904" w:right="339" w:bottom="144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FINRA filing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Accounting fees and expenses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Nasdaq listing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Printing and engraving expenses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Legal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D&amp;O insurance premiums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Miscellaneous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8859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14. Indemnification of Directors and Officers.</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ind w:left="615" w:hanging="615"/>
        <w:spacing w:after="0"/>
        <w:tabs>
          <w:tab w:leader="none" w:pos="615" w:val="left"/>
        </w:tabs>
        <w:numPr>
          <w:ilvl w:val="0"/>
          <w:numId w:val="56"/>
        </w:numPr>
        <w:rPr>
          <w:rFonts w:ascii="Arial" w:cs="Arial" w:eastAsia="Arial" w:hAnsi="Arial"/>
          <w:sz w:val="16"/>
          <w:szCs w:val="16"/>
          <w:color w:val="auto"/>
        </w:rPr>
      </w:pPr>
      <w:r>
        <w:rPr>
          <w:rFonts w:ascii="Arial" w:cs="Arial" w:eastAsia="Arial" w:hAnsi="Arial"/>
          <w:sz w:val="16"/>
          <w:szCs w:val="16"/>
          <w:color w:val="auto"/>
        </w:rPr>
        <w:t>18,659</w:t>
      </w:r>
    </w:p>
    <w:p>
      <w:pPr>
        <w:spacing w:after="0" w:line="46" w:lineRule="exact"/>
        <w:rPr>
          <w:rFonts w:ascii="Arial" w:cs="Arial" w:eastAsia="Arial" w:hAnsi="Arial"/>
          <w:sz w:val="16"/>
          <w:szCs w:val="16"/>
          <w:color w:val="auto"/>
        </w:rPr>
      </w:pPr>
    </w:p>
    <w:p>
      <w:pPr>
        <w:ind w:left="615"/>
        <w:spacing w:after="0"/>
        <w:rPr>
          <w:rFonts w:ascii="Arial" w:cs="Arial" w:eastAsia="Arial" w:hAnsi="Arial"/>
          <w:sz w:val="16"/>
          <w:szCs w:val="16"/>
          <w:color w:val="auto"/>
        </w:rPr>
      </w:pPr>
      <w:r>
        <w:rPr>
          <w:rFonts w:ascii="Arial" w:cs="Arial" w:eastAsia="Arial" w:hAnsi="Arial"/>
          <w:sz w:val="16"/>
          <w:szCs w:val="16"/>
          <w:color w:val="auto"/>
        </w:rPr>
        <w:t>22,063</w:t>
      </w:r>
    </w:p>
    <w:p>
      <w:pPr>
        <w:spacing w:after="0" w:line="32" w:lineRule="exact"/>
        <w:rPr>
          <w:rFonts w:ascii="Arial" w:cs="Arial" w:eastAsia="Arial" w:hAnsi="Arial"/>
          <w:sz w:val="16"/>
          <w:szCs w:val="16"/>
          <w:color w:val="auto"/>
        </w:rPr>
      </w:pPr>
    </w:p>
    <w:p>
      <w:pPr>
        <w:ind w:left="615"/>
        <w:spacing w:after="0"/>
        <w:rPr>
          <w:rFonts w:ascii="Arial" w:cs="Arial" w:eastAsia="Arial" w:hAnsi="Arial"/>
          <w:sz w:val="16"/>
          <w:szCs w:val="16"/>
          <w:color w:val="auto"/>
        </w:rPr>
      </w:pPr>
      <w:r>
        <w:rPr>
          <w:rFonts w:ascii="Arial" w:cs="Arial" w:eastAsia="Arial" w:hAnsi="Arial"/>
          <w:sz w:val="16"/>
          <w:szCs w:val="16"/>
          <w:color w:val="auto"/>
        </w:rPr>
        <w:t>37,500</w:t>
      </w:r>
    </w:p>
    <w:p>
      <w:pPr>
        <w:spacing w:after="0" w:line="32" w:lineRule="exact"/>
        <w:rPr>
          <w:rFonts w:ascii="Arial" w:cs="Arial" w:eastAsia="Arial" w:hAnsi="Arial"/>
          <w:sz w:val="16"/>
          <w:szCs w:val="16"/>
          <w:color w:val="auto"/>
        </w:rPr>
      </w:pPr>
    </w:p>
    <w:p>
      <w:pPr>
        <w:ind w:left="615"/>
        <w:spacing w:after="0"/>
        <w:rPr>
          <w:rFonts w:ascii="Arial" w:cs="Arial" w:eastAsia="Arial" w:hAnsi="Arial"/>
          <w:sz w:val="16"/>
          <w:szCs w:val="16"/>
          <w:color w:val="auto"/>
        </w:rPr>
      </w:pPr>
      <w:r>
        <w:rPr>
          <w:rFonts w:ascii="Arial" w:cs="Arial" w:eastAsia="Arial" w:hAnsi="Arial"/>
          <w:sz w:val="16"/>
          <w:szCs w:val="16"/>
          <w:color w:val="auto"/>
        </w:rPr>
        <w:t>75,000</w:t>
      </w:r>
    </w:p>
    <w:p>
      <w:pPr>
        <w:spacing w:after="0" w:line="32" w:lineRule="exact"/>
        <w:rPr>
          <w:rFonts w:ascii="Arial" w:cs="Arial" w:eastAsia="Arial" w:hAnsi="Arial"/>
          <w:sz w:val="16"/>
          <w:szCs w:val="16"/>
          <w:color w:val="auto"/>
        </w:rPr>
      </w:pPr>
    </w:p>
    <w:p>
      <w:pPr>
        <w:ind w:left="615"/>
        <w:spacing w:after="0"/>
        <w:rPr>
          <w:rFonts w:ascii="Arial" w:cs="Arial" w:eastAsia="Arial" w:hAnsi="Arial"/>
          <w:sz w:val="16"/>
          <w:szCs w:val="16"/>
          <w:color w:val="auto"/>
        </w:rPr>
      </w:pPr>
      <w:r>
        <w:rPr>
          <w:rFonts w:ascii="Arial" w:cs="Arial" w:eastAsia="Arial" w:hAnsi="Arial"/>
          <w:sz w:val="16"/>
          <w:szCs w:val="16"/>
          <w:color w:val="auto"/>
        </w:rPr>
        <w:t>40,000</w:t>
      </w:r>
    </w:p>
    <w:p>
      <w:pPr>
        <w:spacing w:after="0" w:line="32" w:lineRule="exact"/>
        <w:rPr>
          <w:sz w:val="20"/>
          <w:szCs w:val="20"/>
          <w:color w:val="auto"/>
        </w:rPr>
      </w:pPr>
    </w:p>
    <w:p>
      <w:pPr>
        <w:ind w:left="515"/>
        <w:spacing w:after="0"/>
        <w:rPr>
          <w:sz w:val="20"/>
          <w:szCs w:val="20"/>
          <w:color w:val="auto"/>
        </w:rPr>
      </w:pPr>
      <w:r>
        <w:rPr>
          <w:rFonts w:ascii="Arial" w:cs="Arial" w:eastAsia="Arial" w:hAnsi="Arial"/>
          <w:sz w:val="16"/>
          <w:szCs w:val="16"/>
          <w:color w:val="auto"/>
        </w:rPr>
        <w:t>250,000</w:t>
      </w:r>
    </w:p>
    <w:p>
      <w:pPr>
        <w:spacing w:after="0" w:line="32" w:lineRule="exact"/>
        <w:rPr>
          <w:sz w:val="20"/>
          <w:szCs w:val="20"/>
          <w:color w:val="auto"/>
        </w:rPr>
      </w:pPr>
    </w:p>
    <w:p>
      <w:pPr>
        <w:ind w:left="515"/>
        <w:spacing w:after="0"/>
        <w:rPr>
          <w:sz w:val="20"/>
          <w:szCs w:val="20"/>
          <w:color w:val="auto"/>
        </w:rPr>
      </w:pPr>
      <w:r>
        <w:rPr>
          <w:rFonts w:ascii="Arial" w:cs="Arial" w:eastAsia="Arial" w:hAnsi="Arial"/>
          <w:sz w:val="16"/>
          <w:szCs w:val="16"/>
          <w:color w:val="auto"/>
        </w:rPr>
        <w:t>100,000</w:t>
      </w:r>
    </w:p>
    <w:p>
      <w:pPr>
        <w:spacing w:after="0" w:line="32" w:lineRule="exact"/>
        <w:rPr>
          <w:sz w:val="20"/>
          <w:szCs w:val="20"/>
          <w:color w:val="auto"/>
        </w:rPr>
      </w:pPr>
    </w:p>
    <w:p>
      <w:pPr>
        <w:ind w:left="515"/>
        <w:spacing w:after="0"/>
        <w:rPr>
          <w:sz w:val="20"/>
          <w:szCs w:val="20"/>
          <w:color w:val="auto"/>
        </w:rPr>
      </w:pPr>
      <w:r>
        <w:rPr>
          <w:rFonts w:ascii="Arial" w:cs="Arial" w:eastAsia="Arial" w:hAnsi="Arial"/>
          <w:sz w:val="16"/>
          <w:szCs w:val="16"/>
          <w:color w:val="auto"/>
        </w:rPr>
        <w:t>181,778</w:t>
      </w:r>
    </w:p>
    <w:p>
      <w:pPr>
        <w:spacing w:after="0" w:line="85" w:lineRule="exact"/>
        <w:rPr>
          <w:sz w:val="20"/>
          <w:szCs w:val="20"/>
          <w:color w:val="auto"/>
        </w:rPr>
      </w:pPr>
    </w:p>
    <w:p>
      <w:pPr>
        <w:ind w:left="515" w:hanging="515"/>
        <w:spacing w:after="0"/>
        <w:tabs>
          <w:tab w:leader="none" w:pos="515" w:val="left"/>
        </w:tabs>
        <w:numPr>
          <w:ilvl w:val="0"/>
          <w:numId w:val="57"/>
        </w:numPr>
        <w:rPr>
          <w:rFonts w:ascii="Arial" w:cs="Arial" w:eastAsia="Arial" w:hAnsi="Arial"/>
          <w:sz w:val="16"/>
          <w:szCs w:val="16"/>
          <w:color w:val="auto"/>
        </w:rPr>
      </w:pPr>
      <w:r>
        <w:rPr>
          <w:rFonts w:ascii="Arial" w:cs="Arial" w:eastAsia="Arial" w:hAnsi="Arial"/>
          <w:sz w:val="16"/>
          <w:szCs w:val="16"/>
          <w:color w:val="auto"/>
        </w:rPr>
        <w:t>750,000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55245</wp:posOffset>
            </wp:positionV>
            <wp:extent cx="702945"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695" w:lineRule="exact"/>
        <w:rPr>
          <w:sz w:val="20"/>
          <w:szCs w:val="20"/>
          <w:color w:val="auto"/>
        </w:rPr>
      </w:pPr>
    </w:p>
    <w:p>
      <w:pPr>
        <w:sectPr>
          <w:pgSz w:w="11900" w:h="16838" w:orient="portrait"/>
          <w:cols w:equalWidth="0" w:num="2">
            <w:col w:w="9305" w:space="720"/>
            <w:col w:w="1215"/>
          </w:cols>
          <w:pgMar w:left="320" w:top="904" w:right="339" w:bottom="1440" w:gutter="0" w:footer="0" w:header="0"/>
          <w:type w:val="continuous"/>
        </w:sectPr>
      </w:pPr>
    </w:p>
    <w:p>
      <w:pPr>
        <w:spacing w:after="0" w:line="52"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Our certificate of incorporation provides that all directors, officers, employees and agents of the registrant shall be entitled to be indemnified by us to the fullest extent permitted by Section 145 of the Delaware General Corporation Law.</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Section 145 of the Delaware General Corporation Law concerning indemnification of officers, directors, employees and agents is set forth below.</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145. Indemnification of officers, directors, employees and agents; insurance.</w:t>
      </w:r>
    </w:p>
    <w:p>
      <w:pPr>
        <w:spacing w:after="0" w:line="225" w:lineRule="exact"/>
        <w:rPr>
          <w:sz w:val="20"/>
          <w:szCs w:val="20"/>
          <w:color w:val="auto"/>
        </w:rPr>
      </w:pPr>
    </w:p>
    <w:p>
      <w:pPr>
        <w:jc w:val="both"/>
        <w:ind w:firstLine="440"/>
        <w:spacing w:after="0" w:line="288" w:lineRule="auto"/>
        <w:tabs>
          <w:tab w:leader="none" w:pos="675" w:val="left"/>
        </w:tabs>
        <w:numPr>
          <w:ilvl w:val="0"/>
          <w:numId w:val="58"/>
        </w:numPr>
        <w:rPr>
          <w:rFonts w:ascii="Arial" w:cs="Arial" w:eastAsia="Arial" w:hAnsi="Arial"/>
          <w:sz w:val="16"/>
          <w:szCs w:val="16"/>
          <w:color w:val="auto"/>
        </w:rPr>
      </w:pPr>
      <w:r>
        <w:rPr>
          <w:rFonts w:ascii="Arial" w:cs="Arial" w:eastAsia="Arial" w:hAnsi="Arial"/>
          <w:sz w:val="16"/>
          <w:szCs w:val="16"/>
          <w:color w:val="auto"/>
        </w:rPr>
        <w:t>A corporation shall have power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termination of any action, suit or proceeding by judgment, order, settlement, conviction, or upon a plea of nolo contendere or its equivalent, shall not, of itself, create a presumption that the person did not act in good faith and in a manner which the person reasonably believed to be in or not opposed to the best interests of the corporation, and, with respect to any criminal action or proceeding, had reasonable cause to believe that the person’s conduct was unlawful.</w:t>
      </w:r>
    </w:p>
    <w:p>
      <w:pPr>
        <w:spacing w:after="0" w:line="168" w:lineRule="exact"/>
        <w:rPr>
          <w:rFonts w:ascii="Arial" w:cs="Arial" w:eastAsia="Arial" w:hAnsi="Arial"/>
          <w:sz w:val="16"/>
          <w:szCs w:val="16"/>
          <w:color w:val="auto"/>
        </w:rPr>
      </w:pPr>
    </w:p>
    <w:p>
      <w:pPr>
        <w:jc w:val="both"/>
        <w:ind w:firstLine="440"/>
        <w:spacing w:after="0" w:line="289" w:lineRule="auto"/>
        <w:tabs>
          <w:tab w:leader="none" w:pos="685" w:val="left"/>
        </w:tabs>
        <w:numPr>
          <w:ilvl w:val="0"/>
          <w:numId w:val="58"/>
        </w:numPr>
        <w:rPr>
          <w:rFonts w:ascii="Arial" w:cs="Arial" w:eastAsia="Arial" w:hAnsi="Arial"/>
          <w:sz w:val="16"/>
          <w:szCs w:val="16"/>
          <w:color w:val="auto"/>
        </w:rPr>
      </w:pPr>
      <w:r>
        <w:rPr>
          <w:rFonts w:ascii="Arial" w:cs="Arial" w:eastAsia="Arial" w:hAnsi="Arial"/>
          <w:sz w:val="16"/>
          <w:szCs w:val="16"/>
          <w:color w:val="auto"/>
        </w:rPr>
        <w:t>A corporation shall have power to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111" w:name="page112"/>
    <w:bookmarkEnd w:id="111"/>
    <w:p>
      <w:pPr>
        <w:jc w:val="both"/>
        <w:ind w:firstLine="440"/>
        <w:spacing w:after="0" w:line="286" w:lineRule="auto"/>
        <w:tabs>
          <w:tab w:leader="none" w:pos="6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To the extent that a present or former director or officer of a corporation has been successful on the merits or otherwise in defense of any action, suit or proceeding referred to in subsections (a) and (b) of this section, or in defense of any claim, issue or matter therein, such person shall be indemnified against expenses (including attorneys’ fees) actually and reasonably incurred by such person in connection therewith.</w:t>
      </w:r>
    </w:p>
    <w:p>
      <w:pPr>
        <w:spacing w:after="0" w:line="165" w:lineRule="exact"/>
        <w:rPr>
          <w:rFonts w:ascii="Arial" w:cs="Arial" w:eastAsia="Arial" w:hAnsi="Arial"/>
          <w:sz w:val="17"/>
          <w:szCs w:val="17"/>
          <w:color w:val="auto"/>
        </w:rPr>
      </w:pPr>
    </w:p>
    <w:p>
      <w:pPr>
        <w:jc w:val="both"/>
        <w:ind w:firstLine="440"/>
        <w:spacing w:after="0" w:line="254" w:lineRule="auto"/>
        <w:tabs>
          <w:tab w:leader="none" w:pos="682"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indemnification under subsections (a) and (b) of this section (unless ordered by a court) shall be made by the corporation only as authorized in the specific case upon a determination that indemnification of the present or former director, officer, employee or agent is proper in the circumstances because the person has met the applicable standard of conduct set forth in subsections (a) and (b) of this section. Such determination shall be made, with respect to a person who is a director or officer at the time of such determination, (1) by a majority vote of the directors who are not parties to such action, suit or proceeding, even though less than a quorum, or (2) by a committee of such directors designated by majority vote of such directors, even though less than a quorum, or (3) if there are no such directors, or if such directors so direct, by independent legal counsel in a written opinion, or (4) by the stockholders.</w:t>
      </w:r>
    </w:p>
    <w:p>
      <w:pPr>
        <w:spacing w:after="0" w:line="194" w:lineRule="exact"/>
        <w:rPr>
          <w:rFonts w:ascii="Arial" w:cs="Arial" w:eastAsia="Arial" w:hAnsi="Arial"/>
          <w:sz w:val="18"/>
          <w:szCs w:val="18"/>
          <w:color w:val="auto"/>
        </w:rPr>
      </w:pPr>
    </w:p>
    <w:p>
      <w:pPr>
        <w:jc w:val="both"/>
        <w:ind w:firstLine="440"/>
        <w:spacing w:after="0" w:line="275" w:lineRule="auto"/>
        <w:tabs>
          <w:tab w:leader="none" w:pos="681" w:val="left"/>
        </w:tabs>
        <w:numPr>
          <w:ilvl w:val="0"/>
          <w:numId w:val="59"/>
        </w:numPr>
        <w:rPr>
          <w:rFonts w:ascii="Arial" w:cs="Arial" w:eastAsia="Arial" w:hAnsi="Arial"/>
          <w:sz w:val="17"/>
          <w:szCs w:val="17"/>
          <w:color w:val="auto"/>
        </w:rPr>
      </w:pPr>
      <w:r>
        <w:rPr>
          <w:rFonts w:ascii="Arial" w:cs="Arial" w:eastAsia="Arial" w:hAnsi="Arial"/>
          <w:sz w:val="17"/>
          <w:szCs w:val="17"/>
          <w:color w:val="auto"/>
        </w:rPr>
        <w:t>Expenses (including attorneys’ fees) incurred by an officer or director in defending any civil, criminal, administrative or investigative action, suit or proceeding may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as authorized in this section. Such expenses (including attorneys’ fees) incurred by former officers and directors or other employees and agents may be so paid upon such terms and conditions, if any, as the corporation deems appropriate.</w:t>
      </w:r>
    </w:p>
    <w:p>
      <w:pPr>
        <w:spacing w:after="0" w:line="176" w:lineRule="exact"/>
        <w:rPr>
          <w:rFonts w:ascii="Arial" w:cs="Arial" w:eastAsia="Arial" w:hAnsi="Arial"/>
          <w:sz w:val="17"/>
          <w:szCs w:val="17"/>
          <w:color w:val="auto"/>
        </w:rPr>
      </w:pPr>
    </w:p>
    <w:p>
      <w:pPr>
        <w:jc w:val="both"/>
        <w:ind w:firstLine="440"/>
        <w:spacing w:after="0" w:line="291" w:lineRule="auto"/>
        <w:tabs>
          <w:tab w:leader="none" w:pos="663"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indemnification and advancement of expenses provided by, or granted pursuant to, the other subsections of this section shall not be deemed exclusive of any other rights to which those seeking indemnification or advancement of expenses may be entitled under any bylaw, agreement, vote of stockholders or disinterested directors or otherwise, both as to action in such person’s official capacity and as to action in another capacity while holding such office. A right to indemnification or to advancement of expenses arising under a provision of the certificate of incorporation or a bylaw shall not be eliminated or impaired by an amendment to such provision after the occurrence of the act or omission that is the subject of the civil, criminal, administrative or investigative action, suit or proceeding for which indemnification or advancement of expenses is sought, unless the provision in effect at the time of such act or omission explicitly authorizes such elimination or impairment after such action or omission has occurred.</w:t>
      </w:r>
    </w:p>
    <w:p>
      <w:pPr>
        <w:spacing w:after="0" w:line="166" w:lineRule="exact"/>
        <w:rPr>
          <w:rFonts w:ascii="Arial" w:cs="Arial" w:eastAsia="Arial" w:hAnsi="Arial"/>
          <w:sz w:val="16"/>
          <w:szCs w:val="16"/>
          <w:color w:val="auto"/>
        </w:rPr>
      </w:pPr>
    </w:p>
    <w:p>
      <w:pPr>
        <w:jc w:val="both"/>
        <w:ind w:firstLine="440"/>
        <w:spacing w:after="0" w:line="301" w:lineRule="auto"/>
        <w:tabs>
          <w:tab w:leader="none" w:pos="677" w:val="left"/>
        </w:tabs>
        <w:numPr>
          <w:ilvl w:val="0"/>
          <w:numId w:val="59"/>
        </w:numPr>
        <w:rPr>
          <w:rFonts w:ascii="Arial" w:cs="Arial" w:eastAsia="Arial" w:hAnsi="Arial"/>
          <w:sz w:val="16"/>
          <w:szCs w:val="16"/>
          <w:color w:val="auto"/>
        </w:rPr>
      </w:pPr>
      <w:r>
        <w:rPr>
          <w:rFonts w:ascii="Arial" w:cs="Arial" w:eastAsia="Arial" w:hAnsi="Arial"/>
          <w:sz w:val="16"/>
          <w:szCs w:val="16"/>
          <w:color w:val="auto"/>
        </w:rPr>
        <w:t>A corporation shall have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this section.</w:t>
      </w:r>
    </w:p>
    <w:p>
      <w:pPr>
        <w:spacing w:after="0" w:line="157" w:lineRule="exact"/>
        <w:rPr>
          <w:rFonts w:ascii="Arial" w:cs="Arial" w:eastAsia="Arial" w:hAnsi="Arial"/>
          <w:sz w:val="16"/>
          <w:szCs w:val="16"/>
          <w:color w:val="auto"/>
        </w:rPr>
      </w:pPr>
    </w:p>
    <w:p>
      <w:pPr>
        <w:jc w:val="both"/>
        <w:ind w:firstLine="440"/>
        <w:spacing w:after="0" w:line="273" w:lineRule="auto"/>
        <w:tabs>
          <w:tab w:leader="none" w:pos="704" w:val="left"/>
        </w:tabs>
        <w:numPr>
          <w:ilvl w:val="0"/>
          <w:numId w:val="59"/>
        </w:numPr>
        <w:rPr>
          <w:rFonts w:ascii="Arial" w:cs="Arial" w:eastAsia="Arial" w:hAnsi="Arial"/>
          <w:sz w:val="17"/>
          <w:szCs w:val="17"/>
          <w:color w:val="auto"/>
        </w:rPr>
      </w:pPr>
      <w:r>
        <w:rPr>
          <w:rFonts w:ascii="Arial" w:cs="Arial" w:eastAsia="Arial" w:hAnsi="Arial"/>
          <w:sz w:val="17"/>
          <w:szCs w:val="17"/>
          <w:color w:val="auto"/>
        </w:rPr>
        <w:t>For purposes of this section,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this section with respect to the resulting or surviving corporation as such person would have with respect to such constituent corporation if its separate existence had continued.</w:t>
      </w:r>
    </w:p>
    <w:p>
      <w:pPr>
        <w:spacing w:after="0" w:line="177" w:lineRule="exact"/>
        <w:rPr>
          <w:rFonts w:ascii="Arial" w:cs="Arial" w:eastAsia="Arial" w:hAnsi="Arial"/>
          <w:sz w:val="17"/>
          <w:szCs w:val="17"/>
          <w:color w:val="auto"/>
        </w:rPr>
      </w:pPr>
    </w:p>
    <w:p>
      <w:pPr>
        <w:jc w:val="both"/>
        <w:ind w:firstLine="440"/>
        <w:spacing w:after="0" w:line="273" w:lineRule="auto"/>
        <w:tabs>
          <w:tab w:leader="none" w:pos="655" w:val="left"/>
        </w:tabs>
        <w:numPr>
          <w:ilvl w:val="0"/>
          <w:numId w:val="59"/>
        </w:numPr>
        <w:rPr>
          <w:rFonts w:ascii="Arial" w:cs="Arial" w:eastAsia="Arial" w:hAnsi="Arial"/>
          <w:sz w:val="17"/>
          <w:szCs w:val="17"/>
          <w:color w:val="auto"/>
        </w:rPr>
      </w:pPr>
      <w:r>
        <w:rPr>
          <w:rFonts w:ascii="Arial" w:cs="Arial" w:eastAsia="Arial" w:hAnsi="Arial"/>
          <w:sz w:val="17"/>
          <w:szCs w:val="17"/>
          <w:color w:val="auto"/>
        </w:rPr>
        <w:t>For purposes of this section, references to “other enterprises” shall include employee benefit plans; references to “fines” shall include any excise taxes assessed on a person with respect to any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section.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2" w:name="page113"/>
    <w:bookmarkEnd w:id="112"/>
    <w:p>
      <w:pPr>
        <w:jc w:val="both"/>
        <w:ind w:firstLine="440"/>
        <w:spacing w:after="0" w:line="263" w:lineRule="auto"/>
        <w:tabs>
          <w:tab w:leader="none" w:pos="678"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indemnification and advancement of expenses provided by, or granted pursuant to, this section shall, unless otherwise provided when authorized or ratified, continue as to a person who has ceased to be a director, officer, employee or agent and shall inure to the benefit of the heirs, executors and administrators of such a person.</w:t>
      </w:r>
    </w:p>
    <w:p>
      <w:pPr>
        <w:spacing w:after="0" w:line="183" w:lineRule="exact"/>
        <w:rPr>
          <w:rFonts w:ascii="Arial" w:cs="Arial" w:eastAsia="Arial" w:hAnsi="Arial"/>
          <w:sz w:val="18"/>
          <w:szCs w:val="18"/>
          <w:color w:val="auto"/>
        </w:rPr>
      </w:pPr>
    </w:p>
    <w:p>
      <w:pPr>
        <w:jc w:val="both"/>
        <w:ind w:firstLine="440"/>
        <w:spacing w:after="0" w:line="263" w:lineRule="auto"/>
        <w:tabs>
          <w:tab w:leader="none" w:pos="731"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Court of Chancery is hereby vested with exclusive jurisdiction to hear and determine all actions for advancement of expenses or indemnification brought under this section or under any bylaw, agreement, vote of stockholders or disinterested directors, or otherwise. The Court of Chancery may summarily determine a corporation’s obligation to advance expenses (including attorneys’ fees).</w:t>
      </w:r>
    </w:p>
    <w:p>
      <w:pPr>
        <w:spacing w:after="0" w:line="184"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In the event that a claim for indemnification against such liabilities (other than the payment of expenses incurred or paid by a director, officer or controlling person in a successful defense of any action, suit or proceeding) is asserted by such director, officer or controlling person in connection with the securities being registered, we will, unless in the opinion of its counsel the matter has been settled by controlling precedent, submit to the court of appropriate jurisdiction the question whether such indemnification by it is against public policy as expressed in the Securities Act and will be governed by the final adjudication of such issue.</w:t>
      </w:r>
    </w:p>
    <w:p>
      <w:pPr>
        <w:spacing w:after="0" w:line="177"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In accordance with Section 102(b)(7) of the DGCL, our certificate of incorporation, will provide that no director shall be personally liable to us or any of our stockholders for monetary damages resulting from breaches of their fiduciary duty as directors, except to the extent such limitation on or exemption from liability is not permitted under the DGCL unless they violated their duty of loyalty to the Company or its stockholders, acted in bad faith, knowingly or intentionally violated the law, authorized unlawful payments of dividends, unlawful stock purchases or unlawful redemptions, or derived improper personal benefit from their actions as directors. The effect of this provision of our certificate of incorporation is to eliminate our rights and those of our stockholders (through stockholders’ derivative suits on our behalf) to recover monetary damages against a director for breach of the fiduciary duty of care as a director, including breaches resulting from negligent or grossly negligent behavior, except, as restricted by Section 102(b)(7) of the DGCL. However, this provision does not limit or eliminate our rights or the rights of any stockholder to seek non-monetary relief, such as an injunction or rescission, in the event of a breach of a director’s duty of care.</w:t>
      </w:r>
    </w:p>
    <w:p>
      <w:pPr>
        <w:spacing w:after="0" w:line="181" w:lineRule="exact"/>
        <w:rPr>
          <w:sz w:val="20"/>
          <w:szCs w:val="20"/>
          <w:color w:val="auto"/>
        </w:rPr>
      </w:pPr>
    </w:p>
    <w:p>
      <w:pPr>
        <w:jc w:val="both"/>
        <w:ind w:firstLine="432"/>
        <w:spacing w:after="0" w:line="296" w:lineRule="auto"/>
        <w:rPr>
          <w:sz w:val="20"/>
          <w:szCs w:val="20"/>
          <w:color w:val="auto"/>
        </w:rPr>
      </w:pPr>
      <w:r>
        <w:rPr>
          <w:rFonts w:ascii="Arial" w:cs="Arial" w:eastAsia="Arial" w:hAnsi="Arial"/>
          <w:sz w:val="16"/>
          <w:szCs w:val="16"/>
          <w:color w:val="auto"/>
        </w:rPr>
        <w:t>If the DGCL is amended to authorize corporate action further eliminating or limiting the liability of directors, then, in accordance with our certificate of incorporation, the liability of our directors to us or our stockholders will be eliminated or limited to the fullest extent authorized by the DGCL, as so amended. Any repeal or amendment of provisions of our certificate of incorporation limiting or eliminating the liability of directors, whether by our stockholders or by changes in law, or the adoption of any other provisions inconsistent therewith, will (unless otherwise required by law) be prospective only, except to the extent such amendment or change in law permits us to further limit or eliminate the liability of directors on a retroactive basis.</w:t>
      </w:r>
    </w:p>
    <w:p>
      <w:pPr>
        <w:spacing w:after="0" w:line="161"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Our certificate of incorporation will also provide that we will, to the fullest extent authorized or permitted by applicable law, indemnify our current and former officers and directors, as well as those persons who, while directors or officers of our corporation, are or were serving as directors, officers, employees or agents of another entity, trust or other enterprise, including service with respect to an employee benefit plan, in connection with any threatened, pending or completed proceeding, whether civil, criminal, administrative or investigative, against all expense, liability and loss (including, without limitation, attorney’s fees, judgments, fines, ERISA excise taxes and penalties and amounts paid in settlement) reasonably incurred or suffered by any such person in connection with any such proceeding. Notwithstanding the foregoing, a person eligible for indemnification pursuant to our certificate of incorporation will be indemnified by us in connection with a proceeding initiated by such person only if such proceeding was authorized by our board of directors, except for proceedings to enforce rights to indemnification.</w:t>
      </w:r>
    </w:p>
    <w:p>
      <w:pPr>
        <w:spacing w:after="0" w:line="178" w:lineRule="exact"/>
        <w:rPr>
          <w:sz w:val="20"/>
          <w:szCs w:val="20"/>
          <w:color w:val="auto"/>
        </w:rPr>
      </w:pPr>
    </w:p>
    <w:p>
      <w:pPr>
        <w:jc w:val="both"/>
        <w:ind w:firstLine="432"/>
        <w:spacing w:after="0" w:line="275" w:lineRule="auto"/>
        <w:rPr>
          <w:sz w:val="20"/>
          <w:szCs w:val="20"/>
          <w:color w:val="auto"/>
        </w:rPr>
      </w:pPr>
      <w:r>
        <w:rPr>
          <w:rFonts w:ascii="Arial" w:cs="Arial" w:eastAsia="Arial" w:hAnsi="Arial"/>
          <w:sz w:val="17"/>
          <w:szCs w:val="17"/>
          <w:color w:val="auto"/>
        </w:rPr>
        <w:t>The right to indemnification conferred by our certificate of incorporation is a contract right that includes the right to be paid by us the expenses incurred in defending or otherwise participating in any proceeding referenced above in advance of its final disposition, provided, however, that if the DGCL requires, an advancement of expenses incurred by our officer or director (solely in the capacity as an officer or director of our corporation) will be made only upon delivery to us of an undertaking, by or on behalf of such officer or director, to repay all amounts so advanced if it is ultimately determined that such person is not entitled to be indemnified for such expenses under our certificate of incorporation or otherwise.</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3" w:name="page114"/>
    <w:bookmarkEnd w:id="113"/>
    <w:p>
      <w:pPr>
        <w:jc w:val="both"/>
        <w:ind w:firstLine="432"/>
        <w:spacing w:after="0" w:line="263" w:lineRule="auto"/>
        <w:rPr>
          <w:sz w:val="20"/>
          <w:szCs w:val="20"/>
          <w:color w:val="auto"/>
        </w:rPr>
      </w:pPr>
      <w:r>
        <w:rPr>
          <w:rFonts w:ascii="Arial" w:cs="Arial" w:eastAsia="Arial" w:hAnsi="Arial"/>
          <w:sz w:val="18"/>
          <w:szCs w:val="18"/>
          <w:color w:val="auto"/>
        </w:rPr>
        <w:t>The rights to indemnification and advancement of expenses will not be deemed exclusive of any other rights which any person covered by our certificate of incorporation may have or hereafter acquire under law, our certificate of incorporation, our bylaws, an agreement, vote of stockholders or disinterested directors, or otherwise.</w:t>
      </w:r>
    </w:p>
    <w:p>
      <w:pPr>
        <w:spacing w:after="0" w:line="184"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Any repeal or amendment of provisions of our certificate of incorporation affecting indemnification rights, whether by our stockholders or by changes in law, or the adoption of any other provisions inconsistent therewith, will (unless otherwise required by law) be prospective only, except to the extent such amendment or change in law permits us to provide broader indemnification rights on a retroactive basis, and will not in any way diminish or adversely affect any right or protection existing at the time of such repeal or amendment or adoption of such inconsistent provision with respect to any act or omission occurring prior to such repeal or amendment or adoption of such inconsistent provision. Our certificate of incorporation will also permit us, to the extent and in the manner authorized or permitted by law, to indemnify and to advance expenses to persons other that those specifically covered by our certificate of incorporation.</w:t>
      </w:r>
    </w:p>
    <w:p>
      <w:pPr>
        <w:spacing w:after="0" w:line="19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Our bylaws, which we intend to adopt immediately prior to the closing of this offering, include the provisions relating to advancement of expenses and indemnification rights consistent with those set forth in our certificate of incorporation. In addition, our bylaws provide for a right of indemnity to bring a suit in the event a claim for indemnification or advancement of expenses is not paid in full by us within a specified period of time. Our bylaws also permit us to purchase and maintain insurance, at our expense, to protect us and/or any director, officer, employee or agent of our corporation or another entity, trust or other enterprise against any expense, liability or loss, whether or not we would have the power to indemnify such person against such expense, liability or loss under the DGCL.</w:t>
      </w:r>
    </w:p>
    <w:p>
      <w:pPr>
        <w:spacing w:after="0" w:line="192"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Any repeal or amendment of provisions of our bylaws affecting indemnification rights, whether by our board of directors, stockholders or by changes in applicable law, or the adoption of any other provisions inconsistent therewith, will (unless otherwise required by law) be prospective only, except to the extent such amendment or change in law permits us to provide broader indemnification rights on a retroactive basis, and will not in any way diminish or adversely affect any right or protection existing thereunder with respect to any act or omission occurring prior to such repeal or amendment or adoption of such inconsistent provision.</w:t>
      </w:r>
    </w:p>
    <w:p>
      <w:pPr>
        <w:spacing w:after="0" w:line="18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We will enter into indemnity agreements with each of our officers and directors a form of which is filed as Exhibit 10.6 to this Registration Statement. These agreements will require us to indemnify these individuals to the fullest extent permitted under Delaware law and to advance expenses incurred as a result of any proceeding against them as to which they could be indemnified.</w:t>
      </w:r>
    </w:p>
    <w:p>
      <w:pPr>
        <w:spacing w:after="0" w:line="184"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Pursuant to the Underwriting Agreement filed as Exhibit 1.1 to this Registration Statement, we have agreed to indemnify the Underwriters and the Underwriters have agreed to indemnify us against certain civil liabilities that may be incurred in connection with this offering, including certain liabilities under the Securities Act.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229" w:lineRule="exact"/>
        <w:rPr>
          <w:sz w:val="20"/>
          <w:szCs w:val="20"/>
          <w:color w:val="auto"/>
        </w:rPr>
      </w:pPr>
    </w:p>
    <w:p>
      <w:pPr>
        <w:jc w:val="both"/>
        <w:ind w:left="660" w:hanging="328"/>
        <w:spacing w:after="0" w:line="257"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On June 4, 2020, BCTG Holdings, LLC, our sponsor, purchased 3,593,750 shares, which we refer to herein as “founder shares” or “insider shares,” for an aggregate purchase price of $25,000. The founder shares include an aggregate of up to 468,750 shares that are subject to forfeiture to the extent that the underwriters’ over-allotment option is not exercised in full or in part. Because these offers and sales were made to a single purchaser in a transaction not involving a public offering, the shares were issued in reliance on the exemption from registration contained in Section 4(a)(2) of the Securities Act.</w:t>
      </w:r>
    </w:p>
    <w:p>
      <w:pPr>
        <w:spacing w:after="0" w:line="187" w:lineRule="exact"/>
        <w:rPr>
          <w:rFonts w:ascii="Arial" w:cs="Arial" w:eastAsia="Arial" w:hAnsi="Arial"/>
          <w:sz w:val="18"/>
          <w:szCs w:val="18"/>
          <w:color w:val="auto"/>
        </w:rPr>
      </w:pPr>
    </w:p>
    <w:p>
      <w:pPr>
        <w:jc w:val="both"/>
        <w:ind w:left="660" w:hanging="328"/>
        <w:spacing w:after="0" w:line="296" w:lineRule="auto"/>
        <w:tabs>
          <w:tab w:leader="none" w:pos="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Our sponsor has committed to purchase from us an aggregate of 450,000 shares of our common stock (or 487,500 shares if the underwriters’ over-allotment option is exercised in full), or “private shares,” at $10.00 per private share for a total purchase price of $4,500,000 (or $4,875,000 if the underwriters’ over-allotment option is exercised in full). This purchase will take place on a private placement basis simultaneously with the consummation of this offering. Because this offer and sale is being made to a single purchaser, the sale does not involve a public offering and is being made in reliance on the exemption from registration contained in Section 4(a)(2) of the Securities Act.</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 underwriting discounts or commissions were paid with respect to such sales.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The following exhibits are filed as part of this Registration Statement: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136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9880" w:type="dxa"/>
            <w:vAlign w:val="bottom"/>
          </w:tcPr>
          <w:p>
            <w:pPr>
              <w:spacing w:after="0"/>
              <w:rPr>
                <w:sz w:val="20"/>
                <w:szCs w:val="20"/>
                <w:color w:val="auto"/>
              </w:rPr>
            </w:pPr>
            <w:r>
              <w:rPr>
                <w:rFonts w:ascii="Arial" w:cs="Arial" w:eastAsia="Arial" w:hAnsi="Arial"/>
                <w:sz w:val="18"/>
                <w:szCs w:val="18"/>
                <w:b w:val="1"/>
                <w:bCs w:val="1"/>
                <w:color w:val="auto"/>
              </w:rPr>
              <w:t>Description</w:t>
            </w:r>
          </w:p>
        </w:tc>
      </w:tr>
      <w:tr>
        <w:trPr>
          <w:trHeight w:val="216"/>
        </w:trPr>
        <w:tc>
          <w:tcPr>
            <w:tcW w:w="1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1.1*</w:t>
            </w:r>
          </w:p>
        </w:tc>
        <w:tc>
          <w:tcPr>
            <w:tcW w:w="120" w:type="dxa"/>
            <w:vAlign w:val="bottom"/>
            <w:tcBorders>
              <w:top w:val="single" w:sz="8" w:color="CCEEFF"/>
            </w:tcBorders>
            <w:shd w:val="clear" w:color="auto" w:fill="CCEEFF"/>
          </w:tcPr>
          <w:p>
            <w:pPr>
              <w:spacing w:after="0"/>
              <w:rPr>
                <w:sz w:val="18"/>
                <w:szCs w:val="18"/>
                <w:color w:val="auto"/>
              </w:rPr>
            </w:pPr>
          </w:p>
        </w:tc>
        <w:tc>
          <w:tcPr>
            <w:tcW w:w="9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Form of Underwriting Agreement.</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8"/>
                <w:szCs w:val="18"/>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Certificate of Incorporation.</w:t>
            </w: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Form of Amended and Restated Certificate of Incorporation.</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8"/>
                <w:szCs w:val="18"/>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Bylaws.</w:t>
            </w: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Specimen Common Stock Certificate.</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8"/>
                <w:szCs w:val="18"/>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Form of Opinion of Loeb &amp; Loeb LLP.</w:t>
            </w: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Form of Letter Agreement among the Registrant, SVB Leerink LLC and the Registrant’s officers, directors and stockholders.</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8"/>
                <w:szCs w:val="18"/>
                <w:color w:val="auto"/>
              </w:rPr>
            </w:pPr>
          </w:p>
        </w:tc>
        <w:tc>
          <w:tcPr>
            <w:tcW w:w="9880" w:type="dxa"/>
            <w:vAlign w:val="bottom"/>
          </w:tcPr>
          <w:p>
            <w:pPr>
              <w:spacing w:after="0"/>
              <w:rPr>
                <w:sz w:val="20"/>
                <w:szCs w:val="20"/>
                <w:color w:val="auto"/>
              </w:rPr>
            </w:pPr>
            <w:r>
              <w:rPr>
                <w:rFonts w:ascii="Arial" w:cs="Arial" w:eastAsia="Arial" w:hAnsi="Arial"/>
                <w:sz w:val="18"/>
                <w:szCs w:val="18"/>
                <w:color w:val="auto"/>
                <w:w w:val="98"/>
              </w:rPr>
              <w:t>Form of Investment Management Trust Agreement between Continental Stock Transfer &amp; Trust Company and the Registrant.</w:t>
            </w: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10.3*</w:t>
            </w:r>
          </w:p>
        </w:tc>
        <w:tc>
          <w:tcPr>
            <w:tcW w:w="120" w:type="dxa"/>
            <w:vAlign w:val="bottom"/>
            <w:shd w:val="clear" w:color="auto" w:fill="CCEEFF"/>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w w:val="98"/>
              </w:rPr>
              <w:t>Form of Escrow Agreement between the Registrant, Continental Stock Transfer &amp; Trust Company and the Initial Stockholders.</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8"/>
                <w:szCs w:val="18"/>
                <w:color w:val="auto"/>
              </w:rPr>
            </w:pPr>
          </w:p>
        </w:tc>
        <w:tc>
          <w:tcPr>
            <w:tcW w:w="9880" w:type="dxa"/>
            <w:vAlign w:val="bottom"/>
          </w:tcPr>
          <w:p>
            <w:pPr>
              <w:spacing w:after="0"/>
              <w:rPr>
                <w:sz w:val="20"/>
                <w:szCs w:val="20"/>
                <w:color w:val="auto"/>
              </w:rPr>
            </w:pPr>
            <w:r>
              <w:rPr>
                <w:rFonts w:ascii="Arial" w:cs="Arial" w:eastAsia="Arial" w:hAnsi="Arial"/>
                <w:sz w:val="18"/>
                <w:szCs w:val="18"/>
                <w:color w:val="auto"/>
                <w:w w:val="91"/>
              </w:rPr>
              <w:t>Form of Registration Rights Agreement among the Registrant, the Initial Stockholders and Continental Stock Transfer &amp; Trust Company</w:t>
            </w: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Form of Subscription Agreement between the Registrant and BCTG Holdings, LLC</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18"/>
                <w:szCs w:val="18"/>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Form of Administrative Support Agreement</w:t>
            </w: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Form of Code of Ethics</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18"/>
                <w:szCs w:val="18"/>
                <w:color w:val="auto"/>
              </w:rPr>
            </w:pPr>
          </w:p>
        </w:tc>
        <w:tc>
          <w:tcPr>
            <w:tcW w:w="9880" w:type="dxa"/>
            <w:vAlign w:val="bottom"/>
          </w:tcPr>
          <w:p>
            <w:pPr>
              <w:spacing w:after="0"/>
              <w:rPr>
                <w:rFonts w:ascii="Arial" w:cs="Arial" w:eastAsia="Arial" w:hAnsi="Arial"/>
                <w:sz w:val="18"/>
                <w:szCs w:val="18"/>
                <w:u w:val="single" w:color="auto"/>
                <w:color w:val="0000EE"/>
              </w:rPr>
            </w:pPr>
            <w:hyperlink w:anchor="page118">
              <w:r>
                <w:rPr>
                  <w:rFonts w:ascii="Arial" w:cs="Arial" w:eastAsia="Arial" w:hAnsi="Arial"/>
                  <w:sz w:val="18"/>
                  <w:szCs w:val="18"/>
                  <w:u w:val="single" w:color="auto"/>
                  <w:color w:val="0000EE"/>
                </w:rPr>
                <w:t>Consent of WithumSmith+Brown, PC</w:t>
              </w:r>
            </w:hyperlink>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23.2*</w:t>
            </w:r>
          </w:p>
        </w:tc>
        <w:tc>
          <w:tcPr>
            <w:tcW w:w="120" w:type="dxa"/>
            <w:vAlign w:val="bottom"/>
            <w:shd w:val="clear" w:color="auto" w:fill="CCEEFF"/>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Consent of Loeb &amp; Loeb LLP (included in Exhibit 5.1).</w:t>
            </w:r>
          </w:p>
        </w:tc>
      </w:tr>
    </w:tbl>
    <w:p>
      <w:pPr>
        <w:ind w:left="1360" w:hanging="1352"/>
        <w:spacing w:after="0"/>
        <w:tabs>
          <w:tab w:leader="none" w:pos="1360" w:val="left"/>
        </w:tabs>
        <w:numPr>
          <w:ilvl w:val="0"/>
          <w:numId w:val="62"/>
        </w:numPr>
        <w:rPr>
          <w:rFonts w:ascii="Arial" w:cs="Arial" w:eastAsia="Arial" w:hAnsi="Arial"/>
          <w:sz w:val="18"/>
          <w:szCs w:val="18"/>
          <w:u w:val="single" w:color="auto"/>
          <w:color w:val="0000EE"/>
        </w:rPr>
      </w:pPr>
      <w:hyperlink w:anchor="page117">
        <w:r>
          <w:rPr>
            <w:rFonts w:ascii="Arial" w:cs="Arial" w:eastAsia="Arial" w:hAnsi="Arial"/>
            <w:sz w:val="18"/>
            <w:szCs w:val="18"/>
            <w:u w:val="single" w:color="auto"/>
            <w:color w:val="0000EE"/>
          </w:rPr>
          <w:t>Power of Attorney (included on the signature page of the original filing hereof).</w:t>
        </w:r>
      </w:hyperlink>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5"/>
              </w:rPr>
              <w:t>99.1*</w:t>
            </w:r>
          </w:p>
        </w:tc>
        <w:tc>
          <w:tcPr>
            <w:tcW w:w="103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Form of Audit Committee Charter</w:t>
            </w:r>
          </w:p>
        </w:tc>
      </w:tr>
      <w:tr>
        <w:trPr>
          <w:trHeight w:val="216"/>
        </w:trPr>
        <w:tc>
          <w:tcPr>
            <w:tcW w:w="880" w:type="dxa"/>
            <w:vAlign w:val="bottom"/>
          </w:tcPr>
          <w:p>
            <w:pPr>
              <w:jc w:val="right"/>
              <w:ind w:right="370"/>
              <w:spacing w:after="0"/>
              <w:rPr>
                <w:sz w:val="20"/>
                <w:szCs w:val="20"/>
                <w:color w:val="auto"/>
              </w:rPr>
            </w:pPr>
            <w:r>
              <w:rPr>
                <w:rFonts w:ascii="Arial" w:cs="Arial" w:eastAsia="Arial" w:hAnsi="Arial"/>
                <w:sz w:val="18"/>
                <w:szCs w:val="18"/>
                <w:color w:val="auto"/>
                <w:w w:val="95"/>
              </w:rPr>
              <w:t>99.2*</w:t>
            </w:r>
          </w:p>
        </w:tc>
        <w:tc>
          <w:tcPr>
            <w:tcW w:w="10360" w:type="dxa"/>
            <w:vAlign w:val="bottom"/>
          </w:tcPr>
          <w:p>
            <w:pPr>
              <w:ind w:left="480"/>
              <w:spacing w:after="0"/>
              <w:rPr>
                <w:sz w:val="20"/>
                <w:szCs w:val="20"/>
                <w:color w:val="auto"/>
              </w:rPr>
            </w:pPr>
            <w:r>
              <w:rPr>
                <w:rFonts w:ascii="Arial" w:cs="Arial" w:eastAsia="Arial" w:hAnsi="Arial"/>
                <w:sz w:val="18"/>
                <w:szCs w:val="18"/>
                <w:color w:val="auto"/>
              </w:rPr>
              <w:t>Form of Nominating Committee Charter</w:t>
            </w:r>
          </w:p>
        </w:tc>
      </w:tr>
      <w:tr>
        <w:trPr>
          <w:trHeight w:val="216"/>
        </w:trPr>
        <w:tc>
          <w:tcPr>
            <w:tcW w:w="8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5"/>
              </w:rPr>
              <w:t>99.3*</w:t>
            </w:r>
          </w:p>
        </w:tc>
        <w:tc>
          <w:tcPr>
            <w:tcW w:w="103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Form of Compensation Committee Charter</w:t>
            </w:r>
          </w:p>
        </w:tc>
      </w:tr>
      <w:tr>
        <w:trPr>
          <w:trHeight w:val="216"/>
        </w:trPr>
        <w:tc>
          <w:tcPr>
            <w:tcW w:w="880" w:type="dxa"/>
            <w:vAlign w:val="bottom"/>
          </w:tcPr>
          <w:p>
            <w:pPr>
              <w:jc w:val="right"/>
              <w:ind w:right="370"/>
              <w:spacing w:after="0"/>
              <w:rPr>
                <w:sz w:val="20"/>
                <w:szCs w:val="20"/>
                <w:color w:val="auto"/>
              </w:rPr>
            </w:pPr>
            <w:r>
              <w:rPr>
                <w:rFonts w:ascii="Arial" w:cs="Arial" w:eastAsia="Arial" w:hAnsi="Arial"/>
                <w:sz w:val="18"/>
                <w:szCs w:val="18"/>
                <w:color w:val="auto"/>
                <w:w w:val="95"/>
              </w:rPr>
              <w:t>99.4*</w:t>
            </w:r>
          </w:p>
        </w:tc>
        <w:tc>
          <w:tcPr>
            <w:tcW w:w="10360" w:type="dxa"/>
            <w:vAlign w:val="bottom"/>
          </w:tcPr>
          <w:p>
            <w:pPr>
              <w:ind w:left="480"/>
              <w:spacing w:after="0"/>
              <w:rPr>
                <w:sz w:val="20"/>
                <w:szCs w:val="20"/>
                <w:color w:val="auto"/>
              </w:rPr>
            </w:pPr>
            <w:r>
              <w:rPr>
                <w:rFonts w:ascii="Arial" w:cs="Arial" w:eastAsia="Arial" w:hAnsi="Arial"/>
                <w:sz w:val="18"/>
                <w:szCs w:val="18"/>
                <w:color w:val="auto"/>
              </w:rPr>
              <w:t>Consent of Carole L. Nuechterlein</w:t>
            </w:r>
          </w:p>
        </w:tc>
      </w:tr>
      <w:tr>
        <w:trPr>
          <w:trHeight w:val="216"/>
        </w:trPr>
        <w:tc>
          <w:tcPr>
            <w:tcW w:w="8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5"/>
              </w:rPr>
              <w:t>99.5*</w:t>
            </w:r>
          </w:p>
        </w:tc>
        <w:tc>
          <w:tcPr>
            <w:tcW w:w="103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Consent of Richard Heyman</w:t>
            </w:r>
          </w:p>
        </w:tc>
      </w:tr>
      <w:tr>
        <w:trPr>
          <w:trHeight w:val="216"/>
        </w:trPr>
        <w:tc>
          <w:tcPr>
            <w:tcW w:w="880" w:type="dxa"/>
            <w:vAlign w:val="bottom"/>
          </w:tcPr>
          <w:p>
            <w:pPr>
              <w:jc w:val="right"/>
              <w:ind w:right="370"/>
              <w:spacing w:after="0"/>
              <w:rPr>
                <w:sz w:val="20"/>
                <w:szCs w:val="20"/>
                <w:color w:val="auto"/>
              </w:rPr>
            </w:pPr>
            <w:r>
              <w:rPr>
                <w:rFonts w:ascii="Arial" w:cs="Arial" w:eastAsia="Arial" w:hAnsi="Arial"/>
                <w:sz w:val="18"/>
                <w:szCs w:val="18"/>
                <w:color w:val="auto"/>
                <w:w w:val="95"/>
              </w:rPr>
              <w:t>99.4*</w:t>
            </w:r>
          </w:p>
        </w:tc>
        <w:tc>
          <w:tcPr>
            <w:tcW w:w="10360" w:type="dxa"/>
            <w:vAlign w:val="bottom"/>
          </w:tcPr>
          <w:p>
            <w:pPr>
              <w:ind w:left="480"/>
              <w:spacing w:after="0"/>
              <w:rPr>
                <w:sz w:val="20"/>
                <w:szCs w:val="20"/>
                <w:color w:val="auto"/>
              </w:rPr>
            </w:pPr>
            <w:r>
              <w:rPr>
                <w:rFonts w:ascii="Arial" w:cs="Arial" w:eastAsia="Arial" w:hAnsi="Arial"/>
                <w:sz w:val="18"/>
                <w:szCs w:val="18"/>
                <w:color w:val="auto"/>
              </w:rPr>
              <w:t>Consent of Charles M. Baum</w:t>
            </w:r>
          </w:p>
        </w:tc>
      </w:tr>
      <w:tr>
        <w:trPr>
          <w:trHeight w:val="216"/>
        </w:trPr>
        <w:tc>
          <w:tcPr>
            <w:tcW w:w="8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5"/>
              </w:rPr>
              <w:t>99.5*</w:t>
            </w:r>
          </w:p>
        </w:tc>
        <w:tc>
          <w:tcPr>
            <w:tcW w:w="103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Consent of Jamie G. Christensen</w:t>
            </w:r>
          </w:p>
        </w:tc>
      </w:tr>
    </w:tbl>
    <w:p>
      <w:pPr>
        <w:spacing w:after="0" w:line="202" w:lineRule="exact"/>
        <w:rPr>
          <w:sz w:val="20"/>
          <w:szCs w:val="20"/>
          <w:color w:val="auto"/>
        </w:rPr>
      </w:pPr>
    </w:p>
    <w:p>
      <w:pPr>
        <w:ind w:left="340" w:hanging="332"/>
        <w:spacing w:after="0"/>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229" w:lineRule="exact"/>
        <w:rPr>
          <w:sz w:val="20"/>
          <w:szCs w:val="20"/>
          <w:color w:val="auto"/>
        </w:rPr>
      </w:pPr>
    </w:p>
    <w:p>
      <w:pPr>
        <w:ind w:left="660" w:hanging="328"/>
        <w:spacing w:after="0" w:line="308" w:lineRule="auto"/>
        <w:tabs>
          <w:tab w:leader="none" w:pos="6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undersigned registrant hereby undertakes to provide to the underwriters at the closing specified in the underwriting agreements, certificates in such denominations and registered in such names as required by the underwriter to permit prompt delivery to each purchaser.</w:t>
      </w:r>
    </w:p>
    <w:p>
      <w:pPr>
        <w:spacing w:after="0" w:line="146" w:lineRule="exact"/>
        <w:rPr>
          <w:rFonts w:ascii="Arial" w:cs="Arial" w:eastAsia="Arial" w:hAnsi="Arial"/>
          <w:sz w:val="17"/>
          <w:szCs w:val="17"/>
          <w:color w:val="auto"/>
        </w:rPr>
      </w:pPr>
    </w:p>
    <w:p>
      <w:pPr>
        <w:jc w:val="both"/>
        <w:ind w:left="660" w:hanging="328"/>
        <w:spacing w:after="0" w:line="271" w:lineRule="auto"/>
        <w:tabs>
          <w:tab w:leader="none" w:pos="6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5" w:name="page116"/>
    <w:bookmarkEnd w:id="115"/>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225" w:lineRule="exact"/>
        <w:rPr>
          <w:rFonts w:ascii="Arial" w:cs="Arial" w:eastAsia="Arial" w:hAnsi="Arial"/>
          <w:sz w:val="18"/>
          <w:szCs w:val="18"/>
          <w:color w:val="auto"/>
        </w:rPr>
      </w:pPr>
    </w:p>
    <w:p>
      <w:pPr>
        <w:jc w:val="both"/>
        <w:ind w:firstLine="656"/>
        <w:spacing w:after="0" w:line="291" w:lineRule="auto"/>
        <w:tabs>
          <w:tab w:leader="none" w:pos="925" w:val="left"/>
        </w:tabs>
        <w:numPr>
          <w:ilvl w:val="1"/>
          <w:numId w:val="65"/>
        </w:numPr>
        <w:rPr>
          <w:rFonts w:ascii="Arial" w:cs="Arial" w:eastAsia="Arial" w:hAnsi="Arial"/>
          <w:sz w:val="16"/>
          <w:szCs w:val="16"/>
          <w:color w:val="auto"/>
        </w:rPr>
      </w:pPr>
      <w:r>
        <w:rPr>
          <w:rFonts w:ascii="Arial" w:cs="Arial" w:eastAsia="Arial" w:hAnsi="Arial"/>
          <w:sz w:val="16"/>
          <w:szCs w:val="16"/>
          <w:color w:val="auto"/>
        </w:rPr>
        <w:t>For the purpose of determining liability under the Securities Act of 1933 to any purchaser, 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66" w:lineRule="exact"/>
        <w:rPr>
          <w:rFonts w:ascii="Arial" w:cs="Arial" w:eastAsia="Arial" w:hAnsi="Arial"/>
          <w:sz w:val="16"/>
          <w:szCs w:val="16"/>
          <w:color w:val="auto"/>
        </w:rPr>
      </w:pPr>
    </w:p>
    <w:p>
      <w:pPr>
        <w:jc w:val="both"/>
        <w:ind w:firstLine="656"/>
        <w:spacing w:after="0" w:line="257" w:lineRule="auto"/>
        <w:tabs>
          <w:tab w:leader="none" w:pos="927" w:val="left"/>
        </w:tabs>
        <w:numPr>
          <w:ilvl w:val="1"/>
          <w:numId w:val="65"/>
        </w:numPr>
        <w:rPr>
          <w:rFonts w:ascii="Arial" w:cs="Arial" w:eastAsia="Arial" w:hAnsi="Arial"/>
          <w:sz w:val="18"/>
          <w:szCs w:val="18"/>
          <w:color w:val="auto"/>
        </w:rPr>
      </w:pPr>
      <w:r>
        <w:rPr>
          <w:rFonts w:ascii="Arial" w:cs="Arial" w:eastAsia="Arial" w:hAnsi="Arial"/>
          <w:sz w:val="18"/>
          <w:szCs w:val="18"/>
          <w:color w:val="auto"/>
        </w:rPr>
        <w:t>For the purpose of determining liability of a registrant under the Securities Act of 1933 to any purchaser in the initial distribution of the securities, the undersigned registrant undertakes that in a primary offering of securities of an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7" w:lineRule="exact"/>
        <w:rPr>
          <w:rFonts w:ascii="Arial" w:cs="Arial" w:eastAsia="Arial" w:hAnsi="Arial"/>
          <w:sz w:val="18"/>
          <w:szCs w:val="18"/>
          <w:color w:val="auto"/>
        </w:rPr>
      </w:pPr>
    </w:p>
    <w:p>
      <w:pPr>
        <w:ind w:left="1520" w:hanging="216"/>
        <w:spacing w:after="0"/>
        <w:tabs>
          <w:tab w:leader="none" w:pos="1520" w:val="left"/>
        </w:tabs>
        <w:numPr>
          <w:ilvl w:val="2"/>
          <w:numId w:val="65"/>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424;</w:t>
      </w:r>
    </w:p>
    <w:p>
      <w:pPr>
        <w:spacing w:after="0" w:line="210" w:lineRule="exact"/>
        <w:rPr>
          <w:rFonts w:ascii="Arial" w:cs="Arial" w:eastAsia="Arial" w:hAnsi="Arial"/>
          <w:sz w:val="16"/>
          <w:szCs w:val="16"/>
          <w:color w:val="auto"/>
        </w:rPr>
      </w:pPr>
    </w:p>
    <w:p>
      <w:pPr>
        <w:ind w:firstLine="1304"/>
        <w:spacing w:after="0" w:line="277" w:lineRule="auto"/>
        <w:tabs>
          <w:tab w:leader="none" w:pos="1554" w:val="left"/>
        </w:tabs>
        <w:numPr>
          <w:ilvl w:val="2"/>
          <w:numId w:val="65"/>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an undersigned registrant;</w:t>
      </w:r>
    </w:p>
    <w:p>
      <w:pPr>
        <w:spacing w:after="0" w:line="170" w:lineRule="exact"/>
        <w:rPr>
          <w:rFonts w:ascii="Arial" w:cs="Arial" w:eastAsia="Arial" w:hAnsi="Arial"/>
          <w:sz w:val="18"/>
          <w:szCs w:val="18"/>
          <w:color w:val="auto"/>
        </w:rPr>
      </w:pPr>
    </w:p>
    <w:p>
      <w:pPr>
        <w:ind w:firstLine="1304"/>
        <w:spacing w:after="0" w:line="277" w:lineRule="auto"/>
        <w:tabs>
          <w:tab w:leader="none" w:pos="1637" w:val="left"/>
        </w:tabs>
        <w:numPr>
          <w:ilvl w:val="2"/>
          <w:numId w:val="65"/>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70" w:lineRule="exact"/>
        <w:rPr>
          <w:rFonts w:ascii="Arial" w:cs="Arial" w:eastAsia="Arial" w:hAnsi="Arial"/>
          <w:sz w:val="18"/>
          <w:szCs w:val="18"/>
          <w:color w:val="auto"/>
        </w:rPr>
      </w:pPr>
    </w:p>
    <w:p>
      <w:pPr>
        <w:ind w:left="1600" w:hanging="296"/>
        <w:spacing w:after="0"/>
        <w:tabs>
          <w:tab w:leader="none" w:pos="1600" w:val="left"/>
        </w:tabs>
        <w:numPr>
          <w:ilvl w:val="2"/>
          <w:numId w:val="65"/>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225" w:lineRule="exact"/>
        <w:rPr>
          <w:rFonts w:ascii="Arial" w:cs="Arial" w:eastAsia="Arial" w:hAnsi="Arial"/>
          <w:sz w:val="18"/>
          <w:szCs w:val="18"/>
          <w:color w:val="auto"/>
        </w:rPr>
      </w:pPr>
    </w:p>
    <w:p>
      <w:pPr>
        <w:jc w:val="both"/>
        <w:ind w:firstLine="656"/>
        <w:spacing w:after="0" w:line="286" w:lineRule="auto"/>
        <w:tabs>
          <w:tab w:leader="none" w:pos="904" w:val="left"/>
        </w:tabs>
        <w:numPr>
          <w:ilvl w:val="1"/>
          <w:numId w:val="65"/>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65" w:lineRule="exact"/>
        <w:rPr>
          <w:rFonts w:ascii="Arial" w:cs="Arial" w:eastAsia="Arial" w:hAnsi="Arial"/>
          <w:sz w:val="17"/>
          <w:szCs w:val="17"/>
          <w:color w:val="auto"/>
        </w:rPr>
      </w:pPr>
    </w:p>
    <w:p>
      <w:pPr>
        <w:jc w:val="both"/>
        <w:ind w:right="20" w:firstLine="656"/>
        <w:spacing w:after="0" w:line="263" w:lineRule="auto"/>
        <w:tabs>
          <w:tab w:leader="none" w:pos="940" w:val="left"/>
        </w:tabs>
        <w:numPr>
          <w:ilvl w:val="1"/>
          <w:numId w:val="65"/>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City of New York, on the 30th day of July, 2020.</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BCTG ACQUISITION CORP.</w:t>
      </w:r>
    </w:p>
    <w:p>
      <w:pPr>
        <w:spacing w:after="0" w:line="229" w:lineRule="exact"/>
        <w:rPr>
          <w:sz w:val="20"/>
          <w:szCs w:val="20"/>
          <w:color w:val="auto"/>
        </w:rPr>
      </w:pPr>
    </w:p>
    <w:tbl>
      <w:tblPr>
        <w:tblLayout w:type="fixed"/>
        <w:tblInd w:w="6760" w:type="dxa"/>
        <w:tblCellMar>
          <w:top w:w="0" w:type="dxa"/>
          <w:left w:w="0" w:type="dxa"/>
          <w:bottom w:w="0" w:type="dxa"/>
          <w:right w:w="0" w:type="dxa"/>
        </w:tblCellMar>
      </w:tblPr>
      <w:tr>
        <w:trPr>
          <w:trHeight w:val="237"/>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Aaron I. Davis</w:t>
            </w:r>
          </w:p>
        </w:tc>
      </w:tr>
      <w:tr>
        <w:trPr>
          <w:trHeight w:val="202"/>
        </w:trPr>
        <w:tc>
          <w:tcPr>
            <w:tcW w:w="56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Aaron I. Davis</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ind w:firstLine="432"/>
        <w:spacing w:after="0" w:line="275" w:lineRule="auto"/>
        <w:rPr>
          <w:sz w:val="20"/>
          <w:szCs w:val="20"/>
          <w:color w:val="auto"/>
        </w:rPr>
      </w:pPr>
      <w:r>
        <w:rPr>
          <w:rFonts w:ascii="Arial" w:cs="Arial" w:eastAsia="Arial" w:hAnsi="Arial"/>
          <w:sz w:val="17"/>
          <w:szCs w:val="17"/>
          <w:color w:val="auto"/>
        </w:rPr>
        <w:t>KNOW ALL MEN BY THESE PRESENTS, that each person whose signature appears below constitutes and appoints Aaron I. Davis his or her true and lawful attorney-in-fact,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hereby ratifying and confirming all that said attorney-in-fact or his substitute, each acting alone, may lawfully do or cause to be done by virtue thereof.</w:t>
      </w:r>
    </w:p>
    <w:p>
      <w:pPr>
        <w:spacing w:after="0" w:line="17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20"/>
                <w:szCs w:val="20"/>
                <w:color w:val="auto"/>
              </w:rPr>
            </w:pPr>
          </w:p>
        </w:tc>
        <w:tc>
          <w:tcPr>
            <w:tcW w:w="4720" w:type="dxa"/>
            <w:vAlign w:val="bottom"/>
            <w:tcBorders>
              <w:bottom w:val="single" w:sz="8" w:color="auto"/>
            </w:tcBorders>
          </w:tcPr>
          <w:p>
            <w:pPr>
              <w:ind w:left="2060"/>
              <w:spacing w:after="0"/>
              <w:rPr>
                <w:sz w:val="20"/>
                <w:szCs w:val="20"/>
                <w:color w:val="auto"/>
              </w:rPr>
            </w:pPr>
            <w:r>
              <w:rPr>
                <w:rFonts w:ascii="Arial" w:cs="Arial" w:eastAsia="Arial" w:hAnsi="Arial"/>
                <w:sz w:val="18"/>
                <w:szCs w:val="18"/>
                <w:b w:val="1"/>
                <w:bCs w:val="1"/>
                <w:color w:val="auto"/>
              </w:rPr>
              <w:t>Position</w:t>
            </w:r>
          </w:p>
        </w:tc>
        <w:tc>
          <w:tcPr>
            <w:tcW w:w="100" w:type="dxa"/>
            <w:vAlign w:val="bottom"/>
          </w:tcPr>
          <w:p>
            <w:pPr>
              <w:spacing w:after="0"/>
              <w:rPr>
                <w:sz w:val="20"/>
                <w:szCs w:val="20"/>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453"/>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Aaron I. Davis</w:t>
            </w:r>
          </w:p>
        </w:tc>
        <w:tc>
          <w:tcPr>
            <w:tcW w:w="120" w:type="dxa"/>
            <w:vAlign w:val="bottom"/>
          </w:tcPr>
          <w:p>
            <w:pPr>
              <w:spacing w:after="0"/>
              <w:rPr>
                <w:sz w:val="24"/>
                <w:szCs w:val="24"/>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Chairman and Chief Executive Officer</w:t>
            </w:r>
          </w:p>
        </w:tc>
        <w:tc>
          <w:tcPr>
            <w:tcW w:w="1800" w:type="dxa"/>
            <w:vAlign w:val="bottom"/>
          </w:tcPr>
          <w:p>
            <w:pPr>
              <w:jc w:val="center"/>
              <w:spacing w:after="0"/>
              <w:rPr>
                <w:sz w:val="20"/>
                <w:szCs w:val="20"/>
                <w:color w:val="auto"/>
              </w:rPr>
            </w:pPr>
            <w:r>
              <w:rPr>
                <w:rFonts w:ascii="Arial" w:cs="Arial" w:eastAsia="Arial" w:hAnsi="Arial"/>
                <w:sz w:val="18"/>
                <w:szCs w:val="18"/>
                <w:color w:val="auto"/>
                <w:w w:val="89"/>
              </w:rPr>
              <w:t>July 30, 2020</w:t>
            </w: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Aaron I. Davis</w:t>
            </w:r>
          </w:p>
        </w:tc>
        <w:tc>
          <w:tcPr>
            <w:tcW w:w="120" w:type="dxa"/>
            <w:vAlign w:val="bottom"/>
          </w:tcPr>
          <w:p>
            <w:pPr>
              <w:spacing w:after="0"/>
              <w:rPr>
                <w:sz w:val="20"/>
                <w:szCs w:val="20"/>
                <w:color w:val="auto"/>
              </w:rPr>
            </w:pPr>
          </w:p>
        </w:tc>
        <w:tc>
          <w:tcPr>
            <w:tcW w:w="4820" w:type="dxa"/>
            <w:vAlign w:val="bottom"/>
            <w:gridSpan w:val="2"/>
          </w:tcPr>
          <w:p>
            <w:pPr>
              <w:spacing w:after="0" w:line="202" w:lineRule="exact"/>
              <w:rPr>
                <w:sz w:val="20"/>
                <w:szCs w:val="20"/>
                <w:color w:val="auto"/>
              </w:rPr>
            </w:pPr>
            <w:r>
              <w:rPr>
                <w:rFonts w:ascii="Arial" w:cs="Arial" w:eastAsia="Arial" w:hAnsi="Arial"/>
                <w:sz w:val="18"/>
                <w:szCs w:val="18"/>
                <w:color w:val="auto"/>
              </w:rPr>
              <w:t>(Principal executive officer) and Director</w:t>
            </w:r>
          </w:p>
        </w:tc>
        <w:tc>
          <w:tcPr>
            <w:tcW w:w="1800" w:type="dxa"/>
            <w:vAlign w:val="bottom"/>
          </w:tcPr>
          <w:p>
            <w:pPr>
              <w:spacing w:after="0"/>
              <w:rPr>
                <w:sz w:val="20"/>
                <w:szCs w:val="20"/>
                <w:color w:val="auto"/>
              </w:rPr>
            </w:pPr>
          </w:p>
        </w:tc>
      </w:tr>
      <w:tr>
        <w:trPr>
          <w:trHeight w:val="425"/>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Beauchamp</w:t>
            </w:r>
          </w:p>
        </w:tc>
        <w:tc>
          <w:tcPr>
            <w:tcW w:w="120" w:type="dxa"/>
            <w:vAlign w:val="bottom"/>
          </w:tcPr>
          <w:p>
            <w:pPr>
              <w:spacing w:after="0"/>
              <w:rPr>
                <w:sz w:val="24"/>
                <w:szCs w:val="24"/>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1800" w:type="dxa"/>
            <w:vAlign w:val="bottom"/>
          </w:tcPr>
          <w:p>
            <w:pPr>
              <w:jc w:val="center"/>
              <w:spacing w:after="0"/>
              <w:rPr>
                <w:sz w:val="20"/>
                <w:szCs w:val="20"/>
                <w:color w:val="auto"/>
              </w:rPr>
            </w:pPr>
            <w:r>
              <w:rPr>
                <w:rFonts w:ascii="Arial" w:cs="Arial" w:eastAsia="Arial" w:hAnsi="Arial"/>
                <w:sz w:val="18"/>
                <w:szCs w:val="18"/>
                <w:color w:val="auto"/>
                <w:w w:val="89"/>
              </w:rPr>
              <w:t>July 30, 2020</w:t>
            </w: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Michael Beauchamp</w:t>
            </w:r>
          </w:p>
        </w:tc>
        <w:tc>
          <w:tcPr>
            <w:tcW w:w="120" w:type="dxa"/>
            <w:vAlign w:val="bottom"/>
          </w:tcPr>
          <w:p>
            <w:pPr>
              <w:spacing w:after="0"/>
              <w:rPr>
                <w:sz w:val="20"/>
                <w:szCs w:val="20"/>
                <w:color w:val="auto"/>
              </w:rPr>
            </w:pPr>
          </w:p>
        </w:tc>
        <w:tc>
          <w:tcPr>
            <w:tcW w:w="4820" w:type="dxa"/>
            <w:vAlign w:val="bottom"/>
            <w:gridSpan w:val="2"/>
          </w:tcPr>
          <w:p>
            <w:pPr>
              <w:spacing w:after="0" w:line="203" w:lineRule="exact"/>
              <w:rPr>
                <w:sz w:val="20"/>
                <w:szCs w:val="20"/>
                <w:color w:val="auto"/>
              </w:rPr>
            </w:pPr>
            <w:r>
              <w:rPr>
                <w:rFonts w:ascii="Arial" w:cs="Arial" w:eastAsia="Arial" w:hAnsi="Arial"/>
                <w:sz w:val="18"/>
                <w:szCs w:val="18"/>
                <w:color w:val="auto"/>
              </w:rPr>
              <w:t>(Principal financial and accounting officer)</w:t>
            </w:r>
          </w:p>
        </w:tc>
        <w:tc>
          <w:tcPr>
            <w:tcW w:w="1800" w:type="dxa"/>
            <w:vAlign w:val="bottom"/>
          </w:tcPr>
          <w:p>
            <w:pPr>
              <w:spacing w:after="0"/>
              <w:rPr>
                <w:sz w:val="20"/>
                <w:szCs w:val="20"/>
                <w:color w:val="auto"/>
              </w:rPr>
            </w:pPr>
          </w:p>
        </w:tc>
      </w:tr>
      <w:tr>
        <w:trPr>
          <w:trHeight w:val="425"/>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Christopher Fuglesang</w:t>
            </w:r>
          </w:p>
        </w:tc>
        <w:tc>
          <w:tcPr>
            <w:tcW w:w="120" w:type="dxa"/>
            <w:vAlign w:val="bottom"/>
          </w:tcPr>
          <w:p>
            <w:pPr>
              <w:spacing w:after="0"/>
              <w:rPr>
                <w:sz w:val="24"/>
                <w:szCs w:val="24"/>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800" w:type="dxa"/>
            <w:vAlign w:val="bottom"/>
          </w:tcPr>
          <w:p>
            <w:pPr>
              <w:jc w:val="center"/>
              <w:spacing w:after="0"/>
              <w:rPr>
                <w:sz w:val="20"/>
                <w:szCs w:val="20"/>
                <w:color w:val="auto"/>
              </w:rPr>
            </w:pPr>
            <w:r>
              <w:rPr>
                <w:rFonts w:ascii="Arial" w:cs="Arial" w:eastAsia="Arial" w:hAnsi="Arial"/>
                <w:sz w:val="18"/>
                <w:szCs w:val="18"/>
                <w:color w:val="auto"/>
                <w:w w:val="89"/>
              </w:rPr>
              <w:t>July 30, 2020</w:t>
            </w: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Christopher Fuglesang</w:t>
            </w:r>
          </w:p>
        </w:tc>
        <w:tc>
          <w:tcPr>
            <w:tcW w:w="12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641"/>
        </w:trPr>
        <w:tc>
          <w:tcPr>
            <w:tcW w:w="4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gridSpan w:val="2"/>
          </w:tcPr>
          <w:p>
            <w:pPr>
              <w:ind w:left="860"/>
              <w:spacing w:after="0"/>
              <w:rPr>
                <w:sz w:val="20"/>
                <w:szCs w:val="20"/>
                <w:color w:val="auto"/>
              </w:rPr>
            </w:pPr>
            <w:r>
              <w:rPr>
                <w:rFonts w:ascii="Arial" w:cs="Arial" w:eastAsia="Arial" w:hAnsi="Arial"/>
                <w:sz w:val="18"/>
                <w:szCs w:val="18"/>
                <w:color w:val="auto"/>
              </w:rPr>
              <w:t>II-7</w:t>
            </w:r>
          </w:p>
        </w:tc>
        <w:tc>
          <w:tcPr>
            <w:tcW w:w="1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17" w:name="page118"/>
    <w:bookmarkEnd w:id="117"/>
    <w:p>
      <w:pPr>
        <w:jc w:val="right"/>
        <w:spacing w:after="0"/>
        <w:rPr>
          <w:sz w:val="20"/>
          <w:szCs w:val="20"/>
          <w:color w:val="auto"/>
        </w:rPr>
      </w:pPr>
      <w:r>
        <w:rPr>
          <w:rFonts w:ascii="Arial" w:cs="Arial" w:eastAsia="Arial" w:hAnsi="Arial"/>
          <w:sz w:val="22"/>
          <w:szCs w:val="22"/>
          <w:b w:val="1"/>
          <w:bCs w:val="1"/>
          <w:color w:val="auto"/>
        </w:rPr>
        <w:t>Exhibit 23.1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hereby consent to the use in this Registration Statement on Form S-1, of our report dated July 30, 2020, relating to the balance sheet of BCTG Acquisition Corp. as of June 30, 2020, and the related statements of operations, changes in stockholder’s equity and cash flows for the period from May 21, 2020 (inception) through June 30, 2020, and to the reference to our Firm under the caption “Experts” in the Prospectus.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 WithumSmith+Brown, PC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30, 2020</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516DDE9"/>
    <w:multiLevelType w:val="hybridMultilevel"/>
    <w:lvl w:ilvl="0">
      <w:lvlJc w:val="left"/>
      <w:lvlText w:val="(%1)"/>
      <w:numFmt w:val="decimal"/>
      <w:start w:val="1"/>
    </w:lvl>
  </w:abstractNum>
  <w:abstractNum w:abstractNumId="1">
    <w:nsid w:val="3006C83E"/>
    <w:multiLevelType w:val="hybridMultilevel"/>
    <w:lvl w:ilvl="0">
      <w:lvlJc w:val="left"/>
      <w:lvlText w:val="(%1)"/>
      <w:numFmt w:val="decimal"/>
      <w:start w:val="1"/>
    </w:lvl>
  </w:abstractNum>
  <w:abstractNum w:abstractNumId="2">
    <w:nsid w:val="614FD4A1"/>
    <w:multiLevelType w:val="hybridMultilevel"/>
    <w:lvl w:ilvl="0">
      <w:lvlJc w:val="left"/>
      <w:lvlText w:val="●"/>
      <w:numFmt w:val="bullet"/>
      <w:start w:val="1"/>
    </w:lvl>
  </w:abstractNum>
  <w:abstractNum w:abstractNumId="3">
    <w:nsid w:val="419AC241"/>
    <w:multiLevelType w:val="hybridMultilevel"/>
    <w:lvl w:ilvl="0">
      <w:lvlJc w:val="left"/>
      <w:lvlText w:val="●"/>
      <w:numFmt w:val="bullet"/>
      <w:start w:val="1"/>
    </w:lvl>
  </w:abstractNum>
  <w:abstractNum w:abstractNumId="4">
    <w:nsid w:val="5577F8E1"/>
    <w:multiLevelType w:val="hybridMultilevel"/>
    <w:lvl w:ilvl="0">
      <w:lvlJc w:val="left"/>
      <w:lvlText w:val="●"/>
      <w:numFmt w:val="bullet"/>
      <w:start w:val="1"/>
    </w:lvl>
  </w:abstractNum>
  <w:abstractNum w:abstractNumId="5">
    <w:nsid w:val="440BADFC"/>
    <w:multiLevelType w:val="hybridMultilevel"/>
    <w:lvl w:ilvl="0">
      <w:lvlJc w:val="left"/>
      <w:lvlText w:val="●"/>
      <w:numFmt w:val="bullet"/>
      <w:start w:val="1"/>
    </w:lvl>
  </w:abstractNum>
  <w:abstractNum w:abstractNumId="6">
    <w:nsid w:val="5072367"/>
    <w:multiLevelType w:val="hybridMultilevel"/>
    <w:lvl w:ilvl="0">
      <w:lvlJc w:val="left"/>
      <w:lvlText w:val="●"/>
      <w:numFmt w:val="bullet"/>
      <w:start w:val="1"/>
    </w:lvl>
  </w:abstractNum>
  <w:abstractNum w:abstractNumId="7">
    <w:nsid w:val="3804823E"/>
    <w:multiLevelType w:val="hybridMultilevel"/>
    <w:lvl w:ilvl="0">
      <w:lvlJc w:val="left"/>
      <w:lvlText w:val="(%1)"/>
      <w:numFmt w:val="decimal"/>
      <w:start w:val="2"/>
    </w:lvl>
  </w:abstractNum>
  <w:abstractNum w:abstractNumId="8">
    <w:nsid w:val="77465F01"/>
    <w:multiLevelType w:val="hybridMultilevel"/>
    <w:lvl w:ilvl="0">
      <w:lvlJc w:val="left"/>
      <w:lvlText w:val="(%1)"/>
      <w:numFmt w:val="decimal"/>
      <w:start w:val="1"/>
    </w:lvl>
  </w:abstractNum>
  <w:abstractNum w:abstractNumId="9">
    <w:nsid w:val="7724C67E"/>
    <w:multiLevelType w:val="hybridMultilevel"/>
    <w:lvl w:ilvl="0">
      <w:lvlJc w:val="left"/>
      <w:lvlText w:val="●"/>
      <w:numFmt w:val="bullet"/>
      <w:start w:val="1"/>
    </w:lvl>
  </w:abstractNum>
  <w:abstractNum w:abstractNumId="10">
    <w:nsid w:val="5C482A97"/>
    <w:multiLevelType w:val="hybridMultilevel"/>
    <w:lvl w:ilvl="0">
      <w:lvlJc w:val="left"/>
      <w:lvlText w:val="●"/>
      <w:numFmt w:val="bullet"/>
      <w:start w:val="1"/>
    </w:lvl>
  </w:abstractNum>
  <w:abstractNum w:abstractNumId="11">
    <w:nsid w:val="2463B9EA"/>
    <w:multiLevelType w:val="hybridMultilevel"/>
    <w:lvl w:ilvl="0">
      <w:lvlJc w:val="left"/>
      <w:lvlText w:val="●"/>
      <w:numFmt w:val="bullet"/>
      <w:start w:val="1"/>
    </w:lvl>
  </w:abstractNum>
  <w:abstractNum w:abstractNumId="12">
    <w:nsid w:val="5E884ADC"/>
    <w:multiLevelType w:val="hybridMultilevel"/>
    <w:lvl w:ilvl="0">
      <w:lvlJc w:val="left"/>
      <w:lvlText w:val="●"/>
      <w:numFmt w:val="bullet"/>
      <w:start w:val="1"/>
    </w:lvl>
  </w:abstractNum>
  <w:abstractNum w:abstractNumId="13">
    <w:nsid w:val="51EAD36B"/>
    <w:multiLevelType w:val="hybridMultilevel"/>
    <w:lvl w:ilvl="0">
      <w:lvlJc w:val="left"/>
      <w:lvlText w:val="●"/>
      <w:numFmt w:val="bullet"/>
      <w:start w:val="1"/>
    </w:lvl>
  </w:abstractNum>
  <w:abstractNum w:abstractNumId="14">
    <w:nsid w:val="2D517796"/>
    <w:multiLevelType w:val="hybridMultilevel"/>
    <w:lvl w:ilvl="0">
      <w:lvlJc w:val="left"/>
      <w:lvlText w:val="●"/>
      <w:numFmt w:val="bullet"/>
      <w:start w:val="1"/>
    </w:lvl>
  </w:abstractNum>
  <w:abstractNum w:abstractNumId="15">
    <w:nsid w:val="580BD78F"/>
    <w:multiLevelType w:val="hybridMultilevel"/>
    <w:lvl w:ilvl="0">
      <w:lvlJc w:val="left"/>
      <w:lvlText w:val="●"/>
      <w:numFmt w:val="bullet"/>
      <w:start w:val="1"/>
    </w:lvl>
  </w:abstractNum>
  <w:abstractNum w:abstractNumId="16">
    <w:nsid w:val="153EA438"/>
    <w:multiLevelType w:val="hybridMultilevel"/>
    <w:lvl w:ilvl="0">
      <w:lvlJc w:val="left"/>
      <w:lvlText w:val="(%1)"/>
      <w:numFmt w:val="decimal"/>
      <w:start w:val="1"/>
    </w:lvl>
  </w:abstractNum>
  <w:abstractNum w:abstractNumId="17">
    <w:nsid w:val="3855585C"/>
    <w:multiLevelType w:val="hybridMultilevel"/>
    <w:lvl w:ilvl="0">
      <w:lvlJc w:val="left"/>
      <w:lvlText w:val="(%1)"/>
      <w:numFmt w:val="decimal"/>
      <w:start w:val="2"/>
    </w:lvl>
  </w:abstractNum>
  <w:abstractNum w:abstractNumId="18">
    <w:nsid w:val="70A64E2A"/>
    <w:multiLevelType w:val="hybridMultilevel"/>
    <w:lvl w:ilvl="0">
      <w:lvlJc w:val="left"/>
      <w:lvlText w:val="(%1)"/>
      <w:numFmt w:val="decimal"/>
      <w:start w:val="1"/>
    </w:lvl>
  </w:abstractNum>
  <w:abstractNum w:abstractNumId="19">
    <w:nsid w:val="6A2342EC"/>
    <w:multiLevelType w:val="hybridMultilevel"/>
    <w:lvl w:ilvl="0">
      <w:lvlJc w:val="left"/>
      <w:lvlText w:val="(%1)"/>
      <w:numFmt w:val="decimal"/>
      <w:start w:val="1"/>
    </w:lvl>
  </w:abstractNum>
  <w:abstractNum w:abstractNumId="20">
    <w:nsid w:val="2A487CB0"/>
    <w:multiLevelType w:val="hybridMultilevel"/>
    <w:lvl w:ilvl="0">
      <w:lvlJc w:val="left"/>
      <w:lvlText w:val="●"/>
      <w:numFmt w:val="bullet"/>
      <w:start w:val="1"/>
    </w:lvl>
  </w:abstractNum>
  <w:abstractNum w:abstractNumId="21">
    <w:nsid w:val="1D4ED43B"/>
    <w:multiLevelType w:val="hybridMultilevel"/>
    <w:lvl w:ilvl="0">
      <w:lvlJc w:val="left"/>
      <w:lvlText w:val="●"/>
      <w:numFmt w:val="bullet"/>
      <w:start w:val="1"/>
    </w:lvl>
  </w:abstractNum>
  <w:abstractNum w:abstractNumId="22">
    <w:nsid w:val="725A06FB"/>
    <w:multiLevelType w:val="hybridMultilevel"/>
    <w:lvl w:ilvl="0">
      <w:lvlJc w:val="left"/>
      <w:lvlText w:val="●"/>
      <w:numFmt w:val="bullet"/>
      <w:start w:val="1"/>
    </w:lvl>
  </w:abstractNum>
  <w:abstractNum w:abstractNumId="23">
    <w:nsid w:val="2CD89A32"/>
    <w:multiLevelType w:val="hybridMultilevel"/>
    <w:lvl w:ilvl="0">
      <w:lvlJc w:val="left"/>
      <w:lvlText w:val="●"/>
      <w:numFmt w:val="bullet"/>
      <w:start w:val="1"/>
    </w:lvl>
  </w:abstractNum>
  <w:abstractNum w:abstractNumId="24">
    <w:nsid w:val="57E4CCAF"/>
    <w:multiLevelType w:val="hybridMultilevel"/>
    <w:lvl w:ilvl="0">
      <w:lvlJc w:val="left"/>
      <w:lvlText w:val="●"/>
      <w:numFmt w:val="bullet"/>
      <w:start w:val="1"/>
    </w:lvl>
  </w:abstractNum>
  <w:abstractNum w:abstractNumId="25">
    <w:nsid w:val="7A6D8D3C"/>
    <w:multiLevelType w:val="hybridMultilevel"/>
    <w:lvl w:ilvl="0">
      <w:lvlJc w:val="left"/>
      <w:lvlText w:val="●"/>
      <w:numFmt w:val="bullet"/>
      <w:start w:val="1"/>
    </w:lvl>
  </w:abstractNum>
  <w:abstractNum w:abstractNumId="26">
    <w:nsid w:val="4B588F54"/>
    <w:multiLevelType w:val="hybridMultilevel"/>
    <w:lvl w:ilvl="0">
      <w:lvlJc w:val="left"/>
      <w:lvlText w:val="●"/>
      <w:numFmt w:val="bullet"/>
      <w:start w:val="1"/>
    </w:lvl>
  </w:abstractNum>
  <w:abstractNum w:abstractNumId="27">
    <w:nsid w:val="542289EC"/>
    <w:multiLevelType w:val="hybridMultilevel"/>
    <w:lvl w:ilvl="0">
      <w:lvlJc w:val="left"/>
      <w:lvlText w:val="●"/>
      <w:numFmt w:val="bullet"/>
      <w:start w:val="1"/>
    </w:lvl>
  </w:abstractNum>
  <w:abstractNum w:abstractNumId="28">
    <w:nsid w:val="6DE91B18"/>
    <w:multiLevelType w:val="hybridMultilevel"/>
    <w:lvl w:ilvl="0">
      <w:lvlJc w:val="left"/>
      <w:lvlText w:val="(%1)"/>
      <w:numFmt w:val="lowerRoman"/>
      <w:start w:val="3"/>
    </w:lvl>
  </w:abstractNum>
  <w:abstractNum w:abstractNumId="29">
    <w:nsid w:val="38437FDB"/>
    <w:multiLevelType w:val="hybridMultilevel"/>
    <w:lvl w:ilvl="0">
      <w:lvlJc w:val="left"/>
      <w:lvlText w:val="●"/>
      <w:numFmt w:val="bullet"/>
      <w:start w:val="1"/>
    </w:lvl>
  </w:abstractNum>
  <w:abstractNum w:abstractNumId="30">
    <w:nsid w:val="7644A45C"/>
    <w:multiLevelType w:val="hybridMultilevel"/>
    <w:lvl w:ilvl="0">
      <w:lvlJc w:val="left"/>
      <w:lvlText w:val="●"/>
      <w:numFmt w:val="bullet"/>
      <w:start w:val="1"/>
    </w:lvl>
  </w:abstractNum>
  <w:abstractNum w:abstractNumId="31">
    <w:nsid w:val="32FFF902"/>
    <w:multiLevelType w:val="hybridMultilevel"/>
    <w:lvl w:ilvl="0">
      <w:lvlJc w:val="left"/>
      <w:lvlText w:val="●"/>
      <w:numFmt w:val="bullet"/>
      <w:start w:val="1"/>
    </w:lvl>
  </w:abstractNum>
  <w:abstractNum w:abstractNumId="32">
    <w:nsid w:val="684A481A"/>
    <w:multiLevelType w:val="hybridMultilevel"/>
    <w:lvl w:ilvl="0">
      <w:lvlJc w:val="left"/>
      <w:lvlText w:val="●"/>
      <w:numFmt w:val="bullet"/>
      <w:start w:val="1"/>
    </w:lvl>
  </w:abstractNum>
  <w:abstractNum w:abstractNumId="33">
    <w:nsid w:val="579478FE"/>
    <w:multiLevelType w:val="hybridMultilevel"/>
    <w:lvl w:ilvl="0">
      <w:lvlJc w:val="left"/>
      <w:lvlText w:val=","/>
      <w:numFmt w:val="bullet"/>
      <w:start w:val="1"/>
    </w:lvl>
  </w:abstractNum>
  <w:abstractNum w:abstractNumId="34">
    <w:nsid w:val="749ABB43"/>
    <w:multiLevelType w:val="hybridMultilevel"/>
    <w:lvl w:ilvl="0">
      <w:lvlJc w:val="left"/>
      <w:lvlText w:val="●"/>
      <w:numFmt w:val="bullet"/>
      <w:start w:val="1"/>
    </w:lvl>
  </w:abstractNum>
  <w:abstractNum w:abstractNumId="35">
    <w:nsid w:val="3DC240FB"/>
    <w:multiLevelType w:val="hybridMultilevel"/>
    <w:lvl w:ilvl="0">
      <w:lvlJc w:val="left"/>
      <w:lvlText w:val="●"/>
      <w:numFmt w:val="bullet"/>
      <w:start w:val="1"/>
    </w:lvl>
  </w:abstractNum>
  <w:abstractNum w:abstractNumId="36">
    <w:nsid w:val="1BA026FA"/>
    <w:multiLevelType w:val="hybridMultilevel"/>
    <w:lvl w:ilvl="0">
      <w:lvlJc w:val="left"/>
      <w:lvlText w:val="●"/>
      <w:numFmt w:val="bullet"/>
      <w:start w:val="1"/>
    </w:lvl>
  </w:abstractNum>
  <w:abstractNum w:abstractNumId="37">
    <w:nsid w:val="79A1DEAA"/>
    <w:multiLevelType w:val="hybridMultilevel"/>
    <w:lvl w:ilvl="0">
      <w:lvlJc w:val="left"/>
      <w:lvlText w:val="●"/>
      <w:numFmt w:val="bullet"/>
      <w:start w:val="1"/>
    </w:lvl>
  </w:abstractNum>
  <w:abstractNum w:abstractNumId="38">
    <w:nsid w:val="75C6C33A"/>
    <w:multiLevelType w:val="hybridMultilevel"/>
    <w:lvl w:ilvl="0">
      <w:lvlJc w:val="left"/>
      <w:lvlText w:val="●"/>
      <w:numFmt w:val="bullet"/>
      <w:start w:val="1"/>
    </w:lvl>
  </w:abstractNum>
  <w:abstractNum w:abstractNumId="39">
    <w:nsid w:val="12E685FB"/>
    <w:multiLevelType w:val="hybridMultilevel"/>
    <w:lvl w:ilvl="0">
      <w:lvlJc w:val="left"/>
      <w:lvlText w:val="(%1)"/>
      <w:numFmt w:val="decimal"/>
      <w:start w:val="1"/>
    </w:lvl>
  </w:abstractNum>
  <w:abstractNum w:abstractNumId="40">
    <w:nsid w:val="70C6A529"/>
    <w:multiLevelType w:val="hybridMultilevel"/>
    <w:lvl w:ilvl="0">
      <w:lvlJc w:val="left"/>
      <w:lvlText w:val="(%1)"/>
      <w:numFmt w:val="decimal"/>
      <w:start w:val="2"/>
    </w:lvl>
  </w:abstractNum>
  <w:abstractNum w:abstractNumId="41">
    <w:nsid w:val="520EEDD1"/>
    <w:multiLevelType w:val="hybridMultilevel"/>
    <w:lvl w:ilvl="0">
      <w:lvlJc w:val="left"/>
      <w:lvlText w:val="●"/>
      <w:numFmt w:val="bullet"/>
      <w:start w:val="1"/>
    </w:lvl>
  </w:abstractNum>
  <w:abstractNum w:abstractNumId="42">
    <w:nsid w:val="374A3FE6"/>
    <w:multiLevelType w:val="hybridMultilevel"/>
    <w:lvl w:ilvl="0">
      <w:lvlJc w:val="left"/>
      <w:lvlText w:val="(%1)"/>
      <w:numFmt w:val="lowerRoman"/>
      <w:start w:val="1"/>
    </w:lvl>
    <w:lvl w:ilvl="1">
      <w:lvlJc w:val="left"/>
      <w:lvlText w:val="●"/>
      <w:numFmt w:val="bullet"/>
      <w:start w:val="1"/>
    </w:lvl>
  </w:abstractNum>
  <w:abstractNum w:abstractNumId="43">
    <w:nsid w:val="4F4EF005"/>
    <w:multiLevelType w:val="hybridMultilevel"/>
    <w:lvl w:ilvl="0">
      <w:lvlJc w:val="left"/>
      <w:lvlText w:val="●"/>
      <w:numFmt w:val="bullet"/>
      <w:start w:val="1"/>
    </w:lvl>
  </w:abstractNum>
  <w:abstractNum w:abstractNumId="44">
    <w:nsid w:val="23F9C13C"/>
    <w:multiLevelType w:val="hybridMultilevel"/>
    <w:lvl w:ilvl="0">
      <w:lvlJc w:val="left"/>
      <w:lvlText w:val="(%1)"/>
      <w:numFmt w:val="decimal"/>
      <w:start w:val="1"/>
    </w:lvl>
  </w:abstractNum>
  <w:abstractNum w:abstractNumId="45">
    <w:nsid w:val="649BB77C"/>
    <w:multiLevelType w:val="hybridMultilevel"/>
    <w:lvl w:ilvl="0">
      <w:lvlJc w:val="left"/>
      <w:lvlText w:val="●"/>
      <w:numFmt w:val="bullet"/>
      <w:start w:val="1"/>
    </w:lvl>
  </w:abstractNum>
  <w:abstractNum w:abstractNumId="46">
    <w:nsid w:val="275AC794"/>
    <w:multiLevelType w:val="hybridMultilevel"/>
    <w:lvl w:ilvl="0">
      <w:lvlJc w:val="left"/>
      <w:lvlText w:val="●"/>
      <w:numFmt w:val="bullet"/>
      <w:start w:val="1"/>
    </w:lvl>
  </w:abstractNum>
  <w:abstractNum w:abstractNumId="47">
    <w:nsid w:val="39386575"/>
    <w:multiLevelType w:val="hybridMultilevel"/>
    <w:lvl w:ilvl="0">
      <w:lvlJc w:val="left"/>
      <w:lvlText w:val="●"/>
      <w:numFmt w:val="bullet"/>
      <w:start w:val="1"/>
    </w:lvl>
  </w:abstractNum>
  <w:abstractNum w:abstractNumId="48">
    <w:nsid w:val="1CF10FD8"/>
    <w:multiLevelType w:val="hybridMultilevel"/>
    <w:lvl w:ilvl="0">
      <w:lvlJc w:val="left"/>
      <w:lvlText w:val="$"/>
      <w:numFmt w:val="bullet"/>
      <w:start w:val="1"/>
    </w:lvl>
  </w:abstractNum>
  <w:abstractNum w:abstractNumId="49">
    <w:nsid w:val="180115BE"/>
    <w:multiLevelType w:val="hybridMultilevel"/>
    <w:lvl w:ilvl="0">
      <w:lvlJc w:val="left"/>
      <w:lvlText w:val="(%1)"/>
      <w:numFmt w:val="decimal"/>
      <w:start w:val="1"/>
    </w:lvl>
  </w:abstractNum>
  <w:abstractNum w:abstractNumId="50">
    <w:nsid w:val="235BA861"/>
    <w:multiLevelType w:val="hybridMultilevel"/>
    <w:lvl w:ilvl="0">
      <w:lvlJc w:val="left"/>
      <w:lvlText w:val="(%1)"/>
      <w:numFmt w:val="decimal"/>
      <w:start w:val="1"/>
    </w:lvl>
  </w:abstractNum>
  <w:abstractNum w:abstractNumId="51">
    <w:nsid w:val="47398C89"/>
    <w:multiLevelType w:val="hybridMultilevel"/>
    <w:lvl w:ilvl="0">
      <w:lvlJc w:val="left"/>
      <w:lvlText w:val="(%1)"/>
      <w:numFmt w:val="decimal"/>
      <w:start w:val="1"/>
    </w:lvl>
  </w:abstractNum>
  <w:abstractNum w:abstractNumId="52">
    <w:nsid w:val="354FE9F9"/>
    <w:multiLevelType w:val="hybridMultilevel"/>
    <w:lvl w:ilvl="0">
      <w:lvlJc w:val="left"/>
      <w:lvlText w:val="$"/>
      <w:numFmt w:val="bullet"/>
      <w:start w:val="1"/>
    </w:lvl>
  </w:abstractNum>
  <w:abstractNum w:abstractNumId="53">
    <w:nsid w:val="15B5AF5C"/>
    <w:multiLevelType w:val="hybridMultilevel"/>
    <w:lvl w:ilvl="0">
      <w:lvlJc w:val="left"/>
      <w:lvlText w:val="$"/>
      <w:numFmt w:val="bullet"/>
      <w:start w:val="1"/>
    </w:lvl>
  </w:abstractNum>
  <w:abstractNum w:abstractNumId="54">
    <w:nsid w:val="741226BB"/>
    <w:multiLevelType w:val="hybridMultilevel"/>
    <w:lvl w:ilvl="0">
      <w:lvlJc w:val="left"/>
      <w:lvlText w:val="$"/>
      <w:numFmt w:val="bullet"/>
      <w:start w:val="1"/>
    </w:lvl>
  </w:abstractNum>
  <w:abstractNum w:abstractNumId="55">
    <w:nsid w:val="D34B6A8"/>
    <w:multiLevelType w:val="hybridMultilevel"/>
    <w:lvl w:ilvl="0">
      <w:lvlJc w:val="left"/>
      <w:lvlText w:val="$"/>
      <w:numFmt w:val="bullet"/>
      <w:start w:val="1"/>
    </w:lvl>
  </w:abstractNum>
  <w:abstractNum w:abstractNumId="56">
    <w:nsid w:val="10233C99"/>
    <w:multiLevelType w:val="hybridMultilevel"/>
    <w:lvl w:ilvl="0">
      <w:lvlJc w:val="left"/>
      <w:lvlText w:val="$"/>
      <w:numFmt w:val="bullet"/>
      <w:start w:val="1"/>
    </w:lvl>
  </w:abstractNum>
  <w:abstractNum w:abstractNumId="57">
    <w:nsid w:val="3F6AB60F"/>
    <w:multiLevelType w:val="hybridMultilevel"/>
    <w:lvl w:ilvl="0">
      <w:lvlJc w:val="left"/>
      <w:lvlText w:val="(%1)"/>
      <w:numFmt w:val="lowerLetter"/>
      <w:start w:val="1"/>
    </w:lvl>
  </w:abstractNum>
  <w:abstractNum w:abstractNumId="58">
    <w:nsid w:val="61574095"/>
    <w:multiLevelType w:val="hybridMultilevel"/>
    <w:lvl w:ilvl="0">
      <w:lvlJc w:val="left"/>
      <w:lvlText w:val="(%1)"/>
      <w:numFmt w:val="lowerLetter"/>
      <w:start w:val="3"/>
    </w:lvl>
  </w:abstractNum>
  <w:abstractNum w:abstractNumId="59">
    <w:nsid w:val="7E0C57B1"/>
    <w:multiLevelType w:val="hybridMultilevel"/>
    <w:lvl w:ilvl="0">
      <w:lvlJc w:val="left"/>
      <w:lvlText w:val="(%1)"/>
      <w:numFmt w:val="lowerLetter"/>
      <w:start w:val="10"/>
    </w:lvl>
  </w:abstractNum>
  <w:abstractNum w:abstractNumId="60">
    <w:nsid w:val="77AE35EB"/>
    <w:multiLevelType w:val="hybridMultilevel"/>
    <w:lvl w:ilvl="0">
      <w:lvlJc w:val="left"/>
      <w:lvlText w:val="●"/>
      <w:numFmt w:val="bullet"/>
      <w:start w:val="1"/>
    </w:lvl>
  </w:abstractNum>
  <w:abstractNum w:abstractNumId="61">
    <w:nsid w:val="579BE4F1"/>
    <w:multiLevelType w:val="hybridMultilevel"/>
    <w:lvl w:ilvl="0">
      <w:lvlJc w:val="left"/>
      <w:lvlText w:val="%1"/>
      <w:numFmt w:val="decimal"/>
      <w:start w:val="24"/>
    </w:lvl>
  </w:abstractNum>
  <w:abstractNum w:abstractNumId="62">
    <w:nsid w:val="310C50B3"/>
    <w:multiLevelType w:val="hybridMultilevel"/>
    <w:lvl w:ilvl="0">
      <w:lvlJc w:val="left"/>
      <w:lvlText w:val="*"/>
      <w:numFmt w:val="bullet"/>
      <w:start w:val="1"/>
    </w:lvl>
  </w:abstractNum>
  <w:abstractNum w:abstractNumId="63">
    <w:nsid w:val="5FF87E05"/>
    <w:multiLevelType w:val="hybridMultilevel"/>
    <w:lvl w:ilvl="0">
      <w:lvlJc w:val="left"/>
      <w:lvlText w:val="(%1)"/>
      <w:numFmt w:val="lowerLetter"/>
      <w:start w:val="1"/>
    </w:lvl>
  </w:abstractNum>
  <w:abstractNum w:abstractNumId="64">
    <w:nsid w:val="2F305DEF"/>
    <w:multiLevelType w:val="hybridMultilevel"/>
    <w:lvl w:ilvl="0">
      <w:lvlJc w:val="left"/>
      <w:lvlText w:val="(%1)"/>
      <w:numFmt w:val="lowerLetter"/>
      <w:start w:val="3"/>
    </w:lvl>
    <w:lvl w:ilvl="1">
      <w:lvlJc w:val="left"/>
      <w:lvlText w:val="(%2)"/>
      <w:numFmt w:val="decimal"/>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2020-07-31T11:08:02Z</dcterms:created>
  <dcterms:modified xsi:type="dcterms:W3CDTF">2020-07-31T11:08:02Z</dcterms:modified>
</cp:coreProperties>
</file>