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Barry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20" w:lineRule="auto"/>
        <w:rPr>
          <w:sz w:val="20"/>
          <w:szCs w:val="20"/>
          <w:color w:val="auto"/>
        </w:rPr>
      </w:pPr>
      <w:r>
        <w:rPr>
          <w:rFonts w:ascii="Times New Roman" w:cs="Times New Roman" w:eastAsia="Times New Roman" w:hAnsi="Times New Roman"/>
          <w:sz w:val="17"/>
          <w:szCs w:val="17"/>
          <w:color w:val="0000FF"/>
        </w:rPr>
        <w:t>C/O TANGO THERAPEUTICS, INC., 201 BROOKLINE AVE., SUITE 901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Tango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02215</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02/04/2025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2,774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2.988</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68,570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02/05/2025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2,556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3.1614</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66,014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$2.86 to $3.07 per share. Full information regarding the number of shares sold at each price shall be provided upon request to the staff of the U.S. Securities and Exchange Commission,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$3.00 to $3.245 per share. Full information regarding the number of shares sold at each price shall be provided upon request to the staff of the U.S. Securities and Exchange Commission, the Issuer, or a security holder of the Issuer.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Douglas Barry</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02/06/2025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0662"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2025-02-06T19:31:51Z</dcterms:created>
  <dcterms:modified xsi:type="dcterms:W3CDTF">2025-02-06T19:31:51Z</dcterms:modified>
</cp:coreProperties>
</file>