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6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6539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Beckman Daniella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60"/>
        <w:spacing w:after="0" w:line="323"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54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0"/>
          </w:tcPr>
          <w:p>
            <w:pPr>
              <w:ind w:left="4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02/02/2026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44,330</w:t>
            </w:r>
            <w:r>
              <w:rPr>
                <w:rFonts w:ascii="Times New Roman" w:cs="Times New Roman" w:eastAsia="Times New Roman" w:hAnsi="Times New Roman"/>
                <w:sz w:val="21"/>
                <w:szCs w:val="21"/>
                <w:color w:val="008000"/>
                <w:w w:val="8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194,614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02/03/2026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10,204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12.2573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184,410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02/03/2026</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12.8971</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184,297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1"/>
                <w:szCs w:val="11"/>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11.94</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265,980</w:t>
            </w:r>
          </w:p>
        </w:tc>
        <w:tc>
          <w:tcPr>
            <w:tcW w:w="180" w:type="dxa"/>
            <w:vAlign w:val="bottom"/>
          </w:tcPr>
          <w:p>
            <w:pPr>
              <w:spacing w:after="0"/>
              <w:rPr>
                <w:sz w:val="17"/>
                <w:szCs w:val="17"/>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02/02/2036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265,980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265,980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over a three year period at a rate of 33% on February 1, 2027, 33% on February 14, 2028 and 34% on February 12, 2029, subject to the Reporting Person's continuous service with the Issuer as of each such vesting date.</w:t>
      </w:r>
    </w:p>
    <w:p>
      <w:pPr>
        <w:spacing w:after="0" w:line="19"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$11.88 to $12.875 per share. Full information regarding the number of shares sold at each price shall be provided upon request to the staff of the U.S. Securities and Exchange Commission, the Issuer, or a security holder of the Issuer.</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$12.88 to $12.91 per share. Full information regarding the number of shares sold at each price shall be provided upon request to the staff of the U.S. Securities and Exchange Commission, the Issuer, or a security holder of the Issuer.</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January 1, 2027 with the remaining option shares vesting in 36 equal monthly installments thereafter, subject to the Reporting Person's continuous service with the Issuer as of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Daniella Beckman</w:t>
            </w:r>
          </w:p>
        </w:tc>
        <w:tc>
          <w:tcPr>
            <w:tcW w:w="78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02/04/2026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3422"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2026-02-04T19:15:50Z</dcterms:created>
  <dcterms:modified xsi:type="dcterms:W3CDTF">2026-02-04T19:15:50Z</dcterms:modified>
</cp:coreProperties>
</file>