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2816860</wp:posOffset>
            </wp:positionH>
            <wp:positionV relativeFrom="paragraph">
              <wp:posOffset>88265</wp:posOffset>
            </wp:positionV>
            <wp:extent cx="15170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3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2816860</wp:posOffset>
            </wp:positionH>
            <wp:positionV relativeFrom="paragraph">
              <wp:posOffset>121285</wp:posOffset>
            </wp:positionV>
            <wp:extent cx="15170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39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19"/>
          <w:szCs w:val="19"/>
          <w:b w:val="1"/>
          <w:bCs w:val="1"/>
          <w:color w:val="auto"/>
        </w:rPr>
        <w:t>OF THE SECURITIES EXCHANGEACT OF 1934</w:t>
      </w:r>
    </w:p>
    <w:p>
      <w:pPr>
        <w:spacing w:after="0" w:line="1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Date of Report (Date of earliest event reported): November 10,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2842260</wp:posOffset>
            </wp:positionH>
            <wp:positionV relativeFrom="paragraph">
              <wp:posOffset>240665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9"/>
          <w:szCs w:val="39"/>
          <w:b w:val="1"/>
          <w:bCs w:val="1"/>
          <w:color w:val="auto"/>
        </w:rPr>
        <w:t>TANGO THERAPEUTICS, INC.</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2799715</wp:posOffset>
            </wp:positionH>
            <wp:positionV relativeFrom="paragraph">
              <wp:posOffset>103505</wp:posOffset>
            </wp:positionV>
            <wp:extent cx="15170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015" cy="8890"/>
                    </a:xfrm>
                    <a:prstGeom prst="rect">
                      <a:avLst/>
                    </a:prstGeom>
                    <a:noFill/>
                  </pic:spPr>
                </pic:pic>
              </a:graphicData>
            </a:graphic>
          </wp:anchor>
        </w:drawing>
      </w:r>
    </w:p>
    <w:p>
      <w:pPr>
        <w:spacing w:after="0" w:line="370" w:lineRule="exact"/>
        <w:rPr>
          <w:sz w:val="24"/>
          <w:szCs w:val="24"/>
          <w:color w:val="auto"/>
        </w:rPr>
      </w:pPr>
    </w:p>
    <w:tbl>
      <w:tblPr>
        <w:tblLayout w:type="fixed"/>
        <w:tblInd w:w="1160" w:type="dxa"/>
        <w:tblCellMar>
          <w:top w:w="0" w:type="dxa"/>
          <w:left w:w="0" w:type="dxa"/>
          <w:bottom w:w="0" w:type="dxa"/>
          <w:right w:w="0" w:type="dxa"/>
        </w:tblCellMar>
      </w:tblPr>
      <w:tr>
        <w:trPr>
          <w:trHeight w:val="185"/>
        </w:trPr>
        <w:tc>
          <w:tcPr>
            <w:tcW w:w="2760" w:type="dxa"/>
            <w:vAlign w:val="bottom"/>
          </w:tcPr>
          <w:p>
            <w:pPr>
              <w:jc w:val="center"/>
              <w:ind w:right="1231"/>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3520" w:type="dxa"/>
            <w:vAlign w:val="bottom"/>
          </w:tcPr>
          <w:p>
            <w:pPr>
              <w:ind w:left="1360"/>
              <w:spacing w:after="0"/>
              <w:rPr>
                <w:sz w:val="20"/>
                <w:szCs w:val="20"/>
                <w:color w:val="auto"/>
              </w:rPr>
            </w:pPr>
            <w:r>
              <w:rPr>
                <w:rFonts w:ascii="Times New Roman" w:cs="Times New Roman" w:eastAsia="Times New Roman" w:hAnsi="Times New Roman"/>
                <w:sz w:val="16"/>
                <w:szCs w:val="16"/>
                <w:b w:val="1"/>
                <w:bCs w:val="1"/>
                <w:color w:val="auto"/>
              </w:rPr>
              <w:t>001-39485</w:t>
            </w:r>
          </w:p>
        </w:tc>
        <w:tc>
          <w:tcPr>
            <w:tcW w:w="2420" w:type="dxa"/>
            <w:vAlign w:val="bottom"/>
          </w:tcPr>
          <w:p>
            <w:pPr>
              <w:jc w:val="center"/>
              <w:ind w:left="1371"/>
              <w:spacing w:after="0"/>
              <w:rPr>
                <w:sz w:val="20"/>
                <w:szCs w:val="20"/>
                <w:color w:val="auto"/>
              </w:rPr>
            </w:pPr>
            <w:r>
              <w:rPr>
                <w:rFonts w:ascii="Times New Roman" w:cs="Times New Roman" w:eastAsia="Times New Roman" w:hAnsi="Times New Roman"/>
                <w:sz w:val="16"/>
                <w:szCs w:val="16"/>
                <w:b w:val="1"/>
                <w:bCs w:val="1"/>
                <w:color w:val="auto"/>
              </w:rPr>
              <w:t>85-1195036</w:t>
            </w:r>
          </w:p>
        </w:tc>
      </w:tr>
      <w:tr>
        <w:trPr>
          <w:trHeight w:val="142"/>
        </w:trPr>
        <w:tc>
          <w:tcPr>
            <w:tcW w:w="2760" w:type="dxa"/>
            <w:vAlign w:val="bottom"/>
          </w:tcPr>
          <w:p>
            <w:pPr>
              <w:jc w:val="center"/>
              <w:ind w:right="1271"/>
              <w:spacing w:after="0" w:line="142" w:lineRule="exact"/>
              <w:rPr>
                <w:sz w:val="20"/>
                <w:szCs w:val="20"/>
                <w:color w:val="auto"/>
              </w:rPr>
            </w:pPr>
            <w:r>
              <w:rPr>
                <w:rFonts w:ascii="Times New Roman" w:cs="Times New Roman" w:eastAsia="Times New Roman" w:hAnsi="Times New Roman"/>
                <w:sz w:val="13"/>
                <w:szCs w:val="13"/>
                <w:b w:val="1"/>
                <w:bCs w:val="1"/>
                <w:color w:val="auto"/>
                <w:w w:val="95"/>
              </w:rPr>
              <w:t>(State or other jurisdiction</w:t>
            </w:r>
          </w:p>
        </w:tc>
        <w:tc>
          <w:tcPr>
            <w:tcW w:w="3520" w:type="dxa"/>
            <w:vAlign w:val="bottom"/>
          </w:tcPr>
          <w:p>
            <w:pPr>
              <w:ind w:left="1360"/>
              <w:spacing w:after="0" w:line="142" w:lineRule="exact"/>
              <w:rPr>
                <w:sz w:val="20"/>
                <w:szCs w:val="20"/>
                <w:color w:val="auto"/>
              </w:rPr>
            </w:pPr>
            <w:r>
              <w:rPr>
                <w:rFonts w:ascii="Times New Roman" w:cs="Times New Roman" w:eastAsia="Times New Roman" w:hAnsi="Times New Roman"/>
                <w:sz w:val="13"/>
                <w:szCs w:val="13"/>
                <w:b w:val="1"/>
                <w:bCs w:val="1"/>
                <w:color w:val="auto"/>
              </w:rPr>
              <w:t>(Commission</w:t>
            </w:r>
          </w:p>
        </w:tc>
        <w:tc>
          <w:tcPr>
            <w:tcW w:w="2420" w:type="dxa"/>
            <w:vAlign w:val="bottom"/>
          </w:tcPr>
          <w:p>
            <w:pPr>
              <w:jc w:val="center"/>
              <w:ind w:left="1371"/>
              <w:spacing w:after="0" w:line="142" w:lineRule="exact"/>
              <w:rPr>
                <w:sz w:val="20"/>
                <w:szCs w:val="20"/>
                <w:color w:val="auto"/>
              </w:rPr>
            </w:pPr>
            <w:r>
              <w:rPr>
                <w:rFonts w:ascii="Times New Roman" w:cs="Times New Roman" w:eastAsia="Times New Roman" w:hAnsi="Times New Roman"/>
                <w:sz w:val="13"/>
                <w:szCs w:val="13"/>
                <w:b w:val="1"/>
                <w:bCs w:val="1"/>
                <w:color w:val="auto"/>
                <w:w w:val="97"/>
              </w:rPr>
              <w:t>(IRS Employer</w:t>
            </w:r>
          </w:p>
        </w:tc>
      </w:tr>
      <w:tr>
        <w:trPr>
          <w:trHeight w:val="173"/>
        </w:trPr>
        <w:tc>
          <w:tcPr>
            <w:tcW w:w="2760" w:type="dxa"/>
            <w:vAlign w:val="bottom"/>
          </w:tcPr>
          <w:p>
            <w:pPr>
              <w:jc w:val="center"/>
              <w:ind w:right="1251"/>
              <w:spacing w:after="0"/>
              <w:rPr>
                <w:sz w:val="20"/>
                <w:szCs w:val="20"/>
                <w:color w:val="auto"/>
              </w:rPr>
            </w:pPr>
            <w:r>
              <w:rPr>
                <w:rFonts w:ascii="Times New Roman" w:cs="Times New Roman" w:eastAsia="Times New Roman" w:hAnsi="Times New Roman"/>
                <w:sz w:val="13"/>
                <w:szCs w:val="13"/>
                <w:b w:val="1"/>
                <w:bCs w:val="1"/>
                <w:color w:val="auto"/>
                <w:w w:val="96"/>
              </w:rPr>
              <w:t>of incorporation)</w:t>
            </w:r>
          </w:p>
        </w:tc>
        <w:tc>
          <w:tcPr>
            <w:tcW w:w="3520" w:type="dxa"/>
            <w:vAlign w:val="bottom"/>
          </w:tcPr>
          <w:p>
            <w:pPr>
              <w:ind w:left="1340"/>
              <w:spacing w:after="0"/>
              <w:rPr>
                <w:sz w:val="20"/>
                <w:szCs w:val="20"/>
                <w:color w:val="auto"/>
              </w:rPr>
            </w:pPr>
            <w:r>
              <w:rPr>
                <w:rFonts w:ascii="Times New Roman" w:cs="Times New Roman" w:eastAsia="Times New Roman" w:hAnsi="Times New Roman"/>
                <w:sz w:val="13"/>
                <w:szCs w:val="13"/>
                <w:b w:val="1"/>
                <w:bCs w:val="1"/>
                <w:color w:val="auto"/>
              </w:rPr>
              <w:t>File Number)</w:t>
            </w:r>
          </w:p>
        </w:tc>
        <w:tc>
          <w:tcPr>
            <w:tcW w:w="2420" w:type="dxa"/>
            <w:vAlign w:val="bottom"/>
          </w:tcPr>
          <w:p>
            <w:pPr>
              <w:jc w:val="center"/>
              <w:ind w:left="1371"/>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r>
    </w:tbl>
    <w:p>
      <w:pPr>
        <w:spacing w:after="0" w:line="170" w:lineRule="exact"/>
        <w:rPr>
          <w:sz w:val="24"/>
          <w:szCs w:val="24"/>
          <w:color w:val="auto"/>
        </w:rPr>
      </w:pPr>
    </w:p>
    <w:tbl>
      <w:tblPr>
        <w:tblLayout w:type="fixed"/>
        <w:tblInd w:w="2700" w:type="dxa"/>
        <w:tblCellMar>
          <w:top w:w="0" w:type="dxa"/>
          <w:left w:w="0" w:type="dxa"/>
          <w:bottom w:w="0" w:type="dxa"/>
          <w:right w:w="0" w:type="dxa"/>
        </w:tblCellMar>
      </w:tblPr>
      <w:tr>
        <w:trPr>
          <w:trHeight w:val="184"/>
        </w:trPr>
        <w:tc>
          <w:tcPr>
            <w:tcW w:w="3320" w:type="dxa"/>
            <w:vAlign w:val="bottom"/>
          </w:tcPr>
          <w:p>
            <w:pPr>
              <w:jc w:val="center"/>
              <w:ind w:right="1145"/>
              <w:spacing w:after="0"/>
              <w:rPr>
                <w:sz w:val="20"/>
                <w:szCs w:val="20"/>
                <w:color w:val="auto"/>
              </w:rPr>
            </w:pPr>
            <w:r>
              <w:rPr>
                <w:rFonts w:ascii="Times New Roman" w:cs="Times New Roman" w:eastAsia="Times New Roman" w:hAnsi="Times New Roman"/>
                <w:sz w:val="16"/>
                <w:szCs w:val="16"/>
                <w:b w:val="1"/>
                <w:bCs w:val="1"/>
                <w:color w:val="auto"/>
              </w:rPr>
              <w:t>201 Brookline Ave., Suite 901</w:t>
            </w:r>
          </w:p>
        </w:tc>
        <w:tc>
          <w:tcPr>
            <w:tcW w:w="1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02215</w:t>
            </w:r>
          </w:p>
        </w:tc>
        <w:tc>
          <w:tcPr>
            <w:tcW w:w="0" w:type="dxa"/>
            <w:vAlign w:val="bottom"/>
          </w:tcPr>
          <w:p>
            <w:pPr>
              <w:spacing w:after="0"/>
              <w:rPr>
                <w:sz w:val="1"/>
                <w:szCs w:val="1"/>
                <w:color w:val="auto"/>
              </w:rPr>
            </w:pPr>
          </w:p>
        </w:tc>
      </w:tr>
      <w:tr>
        <w:trPr>
          <w:trHeight w:val="182"/>
        </w:trPr>
        <w:tc>
          <w:tcPr>
            <w:tcW w:w="3320" w:type="dxa"/>
            <w:vAlign w:val="bottom"/>
          </w:tcPr>
          <w:p>
            <w:pPr>
              <w:jc w:val="center"/>
              <w:ind w:right="1145"/>
              <w:spacing w:after="0" w:line="182" w:lineRule="exact"/>
              <w:rPr>
                <w:sz w:val="20"/>
                <w:szCs w:val="20"/>
                <w:color w:val="auto"/>
              </w:rPr>
            </w:pPr>
            <w:r>
              <w:rPr>
                <w:rFonts w:ascii="Times New Roman" w:cs="Times New Roman" w:eastAsia="Times New Roman" w:hAnsi="Times New Roman"/>
                <w:sz w:val="16"/>
                <w:szCs w:val="16"/>
                <w:b w:val="1"/>
                <w:bCs w:val="1"/>
                <w:color w:val="auto"/>
              </w:rPr>
              <w:t>Boston, MA</w:t>
            </w:r>
          </w:p>
        </w:tc>
        <w:tc>
          <w:tcPr>
            <w:tcW w:w="1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320" w:type="dxa"/>
            <w:vAlign w:val="bottom"/>
          </w:tcPr>
          <w:p>
            <w:pPr>
              <w:jc w:val="center"/>
              <w:ind w:right="1165"/>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1760" w:type="dxa"/>
            <w:vAlign w:val="bottom"/>
          </w:tcPr>
          <w:p>
            <w:pPr>
              <w:jc w:val="center"/>
              <w:ind w:left="1148"/>
              <w:spacing w:after="0"/>
              <w:rPr>
                <w:sz w:val="20"/>
                <w:szCs w:val="20"/>
                <w:color w:val="auto"/>
              </w:rPr>
            </w:pPr>
            <w:r>
              <w:rPr>
                <w:rFonts w:ascii="Times New Roman" w:cs="Times New Roman" w:eastAsia="Times New Roman" w:hAnsi="Times New Roman"/>
                <w:sz w:val="13"/>
                <w:szCs w:val="13"/>
                <w:b w:val="1"/>
                <w:bCs w:val="1"/>
                <w:color w:val="auto"/>
                <w:w w:val="95"/>
              </w:rPr>
              <w:t>(Zip code)</w:t>
            </w:r>
          </w:p>
        </w:tc>
        <w:tc>
          <w:tcPr>
            <w:tcW w:w="0" w:type="dxa"/>
            <w:vAlign w:val="bottom"/>
          </w:tcPr>
          <w:p>
            <w:pPr>
              <w:spacing w:after="0"/>
              <w:rPr>
                <w:sz w:val="1"/>
                <w:szCs w:val="1"/>
                <w:color w:val="auto"/>
              </w:rPr>
            </w:pPr>
          </w:p>
        </w:tc>
      </w:tr>
    </w:tbl>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857-320-4900</w:t>
      </w: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2799715</wp:posOffset>
            </wp:positionH>
            <wp:positionV relativeFrom="paragraph">
              <wp:posOffset>116205</wp:posOffset>
            </wp:positionV>
            <wp:extent cx="15170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7"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11" w:lineRule="exact"/>
        <w:rPr>
          <w:rFonts w:ascii="MS PGothic" w:cs="MS PGothic" w:eastAsia="MS PGothic" w:hAnsi="MS PGothic"/>
          <w:sz w:val="16"/>
          <w:szCs w:val="16"/>
          <w:color w:val="auto"/>
        </w:rPr>
      </w:pPr>
    </w:p>
    <w:p>
      <w:pPr>
        <w:ind w:left="380" w:hanging="372"/>
        <w:spacing w:after="0" w:line="228" w:lineRule="auto"/>
        <w:tabs>
          <w:tab w:leader="none" w:pos="3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14d-2(b)under the Exchange Act (17 CFR 240.14d-2(b))</w:t>
      </w:r>
    </w:p>
    <w:p>
      <w:pPr>
        <w:spacing w:after="0" w:line="5" w:lineRule="exact"/>
        <w:rPr>
          <w:rFonts w:ascii="MS PGothic" w:cs="MS PGothic" w:eastAsia="MS PGothic" w:hAnsi="MS PGothic"/>
          <w:sz w:val="16"/>
          <w:szCs w:val="16"/>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13e-4(c)under the Exchange Act (17 CFR 240.13e-4(c))</w:t>
      </w:r>
    </w:p>
    <w:p>
      <w:pPr>
        <w:spacing w:after="0" w:line="19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bl>
      <w:tblPr>
        <w:tblLayout w:type="fixed"/>
        <w:tblInd w:w="0" w:type="dxa"/>
        <w:tblCellMar>
          <w:top w:w="0" w:type="dxa"/>
          <w:left w:w="0" w:type="dxa"/>
          <w:bottom w:w="0" w:type="dxa"/>
          <w:right w:w="0" w:type="dxa"/>
        </w:tblCellMar>
      </w:tblPr>
      <w:tr>
        <w:trPr>
          <w:trHeight w:val="134"/>
        </w:trPr>
        <w:tc>
          <w:tcPr>
            <w:tcW w:w="3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700" w:type="dxa"/>
            <w:vAlign w:val="bottom"/>
          </w:tcPr>
          <w:p>
            <w:pPr>
              <w:jc w:val="center"/>
              <w:spacing w:after="0" w:line="134" w:lineRule="exact"/>
              <w:rPr>
                <w:sz w:val="20"/>
                <w:szCs w:val="20"/>
                <w:color w:val="auto"/>
              </w:rPr>
            </w:pPr>
            <w:r>
              <w:rPr>
                <w:rFonts w:ascii="Times New Roman" w:cs="Times New Roman" w:eastAsia="Times New Roman" w:hAnsi="Times New Roman"/>
                <w:sz w:val="13"/>
                <w:szCs w:val="13"/>
                <w:b w:val="1"/>
                <w:bCs w:val="1"/>
                <w:color w:val="auto"/>
                <w:w w:val="92"/>
              </w:rPr>
              <w:t>Trading</w:t>
            </w:r>
          </w:p>
        </w:tc>
        <w:tc>
          <w:tcPr>
            <w:tcW w:w="100" w:type="dxa"/>
            <w:vAlign w:val="bottom"/>
          </w:tcPr>
          <w:p>
            <w:pPr>
              <w:spacing w:after="0"/>
              <w:rPr>
                <w:sz w:val="11"/>
                <w:szCs w:val="11"/>
                <w:color w:val="auto"/>
              </w:rPr>
            </w:pPr>
          </w:p>
        </w:tc>
        <w:tc>
          <w:tcPr>
            <w:tcW w:w="3600" w:type="dxa"/>
            <w:vAlign w:val="bottom"/>
          </w:tcPr>
          <w:p>
            <w:pPr>
              <w:jc w:val="center"/>
              <w:spacing w:after="0" w:line="134" w:lineRule="exact"/>
              <w:rPr>
                <w:sz w:val="20"/>
                <w:szCs w:val="20"/>
                <w:color w:val="auto"/>
              </w:rPr>
            </w:pPr>
            <w:r>
              <w:rPr>
                <w:rFonts w:ascii="Times New Roman" w:cs="Times New Roman" w:eastAsia="Times New Roman" w:hAnsi="Times New Roman"/>
                <w:sz w:val="13"/>
                <w:szCs w:val="13"/>
                <w:b w:val="1"/>
                <w:bCs w:val="1"/>
                <w:color w:val="auto"/>
                <w:w w:val="97"/>
              </w:rPr>
              <w:t>Name of each exchange</w:t>
            </w:r>
          </w:p>
        </w:tc>
      </w:tr>
      <w:tr>
        <w:trPr>
          <w:trHeight w:val="176"/>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Title of each class</w:t>
            </w:r>
          </w:p>
        </w:tc>
        <w:tc>
          <w:tcPr>
            <w:tcW w:w="120" w:type="dxa"/>
            <w:vAlign w:val="bottom"/>
          </w:tcPr>
          <w:p>
            <w:pPr>
              <w:spacing w:after="0"/>
              <w:rPr>
                <w:sz w:val="15"/>
                <w:szCs w:val="15"/>
                <w:color w:val="auto"/>
              </w:rPr>
            </w:pPr>
          </w:p>
        </w:tc>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Symbol(s)</w:t>
            </w:r>
          </w:p>
        </w:tc>
        <w:tc>
          <w:tcPr>
            <w:tcW w:w="100" w:type="dxa"/>
            <w:vAlign w:val="bottom"/>
          </w:tcPr>
          <w:p>
            <w:pPr>
              <w:spacing w:after="0"/>
              <w:rPr>
                <w:sz w:val="15"/>
                <w:szCs w:val="15"/>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on which registered</w:t>
            </w:r>
          </w:p>
        </w:tc>
      </w:tr>
      <w:tr>
        <w:trPr>
          <w:trHeight w:val="216"/>
        </w:trPr>
        <w:tc>
          <w:tcPr>
            <w:tcW w:w="37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Common stock, par value $0.001</w:t>
            </w:r>
          </w:p>
        </w:tc>
        <w:tc>
          <w:tcPr>
            <w:tcW w:w="120" w:type="dxa"/>
            <w:vAlign w:val="bottom"/>
          </w:tcPr>
          <w:p>
            <w:pPr>
              <w:spacing w:after="0"/>
              <w:rPr>
                <w:sz w:val="18"/>
                <w:szCs w:val="18"/>
                <w:color w:val="auto"/>
              </w:rPr>
            </w:pPr>
          </w:p>
        </w:tc>
        <w:tc>
          <w:tcPr>
            <w:tcW w:w="3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TNGX</w:t>
            </w:r>
          </w:p>
        </w:tc>
        <w:tc>
          <w:tcPr>
            <w:tcW w:w="10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The Nasdaq Global Market</w:t>
            </w:r>
          </w:p>
        </w:tc>
      </w:tr>
      <w:tr>
        <w:trPr>
          <w:trHeight w:val="212"/>
        </w:trPr>
        <w:tc>
          <w:tcPr>
            <w:tcW w:w="37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per share</w:t>
            </w:r>
          </w:p>
        </w:tc>
        <w:tc>
          <w:tcPr>
            <w:tcW w:w="1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0" w:type="dxa"/>
            <w:vAlign w:val="bottom"/>
          </w:tcPr>
          <w:p>
            <w:pPr>
              <w:spacing w:after="0"/>
              <w:rPr>
                <w:sz w:val="18"/>
                <w:szCs w:val="18"/>
                <w:color w:val="auto"/>
              </w:rPr>
            </w:pPr>
          </w:p>
        </w:tc>
      </w:tr>
    </w:tbl>
    <w:p>
      <w:pPr>
        <w:spacing w:after="0" w:line="179" w:lineRule="exact"/>
        <w:rPr>
          <w:sz w:val="24"/>
          <w:szCs w:val="24"/>
          <w:color w:val="auto"/>
        </w:rPr>
      </w:pPr>
    </w:p>
    <w:p>
      <w:pPr>
        <w:ind w:right="100"/>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(§230.405of this chapter) or Rule 12b-2 of the Securities Exchange Act of 1934 (§240.12b-2 of this chapter).</w:t>
      </w:r>
    </w:p>
    <w:p>
      <w:pPr>
        <w:spacing w:after="0" w:line="125" w:lineRule="exact"/>
        <w:rPr>
          <w:sz w:val="24"/>
          <w:szCs w:val="24"/>
          <w:color w:val="auto"/>
        </w:rPr>
      </w:pPr>
    </w:p>
    <w:p>
      <w:pPr>
        <w:ind w:left="9320"/>
        <w:spacing w:after="0" w:line="184" w:lineRule="exact"/>
        <w:rPr>
          <w:sz w:val="20"/>
          <w:szCs w:val="20"/>
          <w:color w:val="auto"/>
        </w:rPr>
      </w:pPr>
      <w:r>
        <w:rPr>
          <w:rFonts w:ascii="Times New Roman" w:cs="Times New Roman" w:eastAsia="Times New Roman" w:hAnsi="Times New Roman"/>
          <w:sz w:val="16"/>
          <w:szCs w:val="16"/>
          <w:color w:val="auto"/>
        </w:rPr>
        <w:t>Emerging growth company</w:t>
      </w:r>
      <w:r>
        <w:rPr>
          <w:rFonts w:ascii="MS PGothic" w:cs="MS PGothic" w:eastAsia="MS PGothic" w:hAnsi="MS PGothic"/>
          <w:sz w:val="16"/>
          <w:szCs w:val="16"/>
          <w:color w:val="auto"/>
        </w:rPr>
        <w:t>☒</w:t>
      </w:r>
    </w:p>
    <w:p>
      <w:pPr>
        <w:spacing w:after="0" w:line="234" w:lineRule="exact"/>
        <w:rPr>
          <w:sz w:val="24"/>
          <w:szCs w:val="24"/>
          <w:color w:val="auto"/>
        </w:rPr>
      </w:pPr>
    </w:p>
    <w:p>
      <w:pPr>
        <w:ind w:right="580"/>
        <w:spacing w:after="0" w:line="227"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8" w:right="339" w:bottom="1440" w:gutter="0" w:footer="0" w:header="0"/>
        </w:sectPr>
      </w:pPr>
    </w:p>
    <w:bookmarkStart w:id="1" w:name="page2"/>
    <w:bookmarkEnd w:id="1"/>
    <w:p>
      <w:pPr>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Item 2.02</w:t>
      </w:r>
      <w:r>
        <w:rPr>
          <w:sz w:val="20"/>
          <w:szCs w:val="20"/>
          <w:color w:val="auto"/>
        </w:rPr>
        <w:tab/>
      </w:r>
      <w:r>
        <w:rPr>
          <w:rFonts w:ascii="Times New Roman" w:cs="Times New Roman" w:eastAsia="Times New Roman" w:hAnsi="Times New Roman"/>
          <w:sz w:val="19"/>
          <w:szCs w:val="19"/>
          <w:b w:val="1"/>
          <w:bCs w:val="1"/>
          <w:color w:val="auto"/>
        </w:rPr>
        <w:t>Results of Operations and Financial Condition.</w:t>
      </w:r>
    </w:p>
    <w:p>
      <w:pPr>
        <w:spacing w:after="0" w:line="205" w:lineRule="exact"/>
        <w:rPr>
          <w:sz w:val="20"/>
          <w:szCs w:val="20"/>
          <w:color w:val="auto"/>
        </w:rPr>
      </w:pPr>
    </w:p>
    <w:p>
      <w:pPr>
        <w:jc w:val="both"/>
        <w:ind w:firstLine="509"/>
        <w:spacing w:after="0" w:line="269" w:lineRule="auto"/>
        <w:rPr>
          <w:sz w:val="20"/>
          <w:szCs w:val="20"/>
          <w:color w:val="auto"/>
        </w:rPr>
      </w:pPr>
      <w:r>
        <w:rPr>
          <w:rFonts w:ascii="Times New Roman" w:cs="Times New Roman" w:eastAsia="Times New Roman" w:hAnsi="Times New Roman"/>
          <w:sz w:val="20"/>
          <w:szCs w:val="20"/>
          <w:color w:val="auto"/>
        </w:rPr>
        <w:t>On November 10, 2022, Tango Therapeutics, Inc. issued a press release relating to its results of operations and financial condition for the quarter ended September 30, 2022. A copy of the press release is furnished as Exhibit 99.1 to this Current Report on Form 8-K.</w:t>
      </w:r>
    </w:p>
    <w:p>
      <w:pPr>
        <w:spacing w:after="0" w:line="146" w:lineRule="exact"/>
        <w:rPr>
          <w:sz w:val="20"/>
          <w:szCs w:val="20"/>
          <w:color w:val="auto"/>
        </w:rPr>
      </w:pPr>
    </w:p>
    <w:p>
      <w:pPr>
        <w:jc w:val="both"/>
        <w:ind w:firstLine="509"/>
        <w:spacing w:after="0" w:line="246" w:lineRule="auto"/>
        <w:rPr>
          <w:sz w:val="20"/>
          <w:szCs w:val="20"/>
          <w:color w:val="auto"/>
        </w:rPr>
      </w:pPr>
      <w:r>
        <w:rPr>
          <w:rFonts w:ascii="Times New Roman" w:cs="Times New Roman" w:eastAsia="Times New Roman" w:hAnsi="Times New Roman"/>
          <w:sz w:val="20"/>
          <w:szCs w:val="20"/>
          <w:color w:val="auto"/>
        </w:rPr>
        <w:t>The press release, and the information set forth therein (including Exhibit 99.1), is being furnished pursuant to Item 2.02 of this Current Report on Form 8-K and shall not be deemed “filed” for purposes of Section 18 of the Securities Exchange Act of 1934 (the “Exchange Act”) or otherwise subject to the liabilities of that Section. Nor shall such document be deemed incorporated by reference in any filing under the Securities Act of 1933 or the Exchange Act, regardless of any general incorporation language in the filing unless specifically stated so therein.</w:t>
      </w:r>
    </w:p>
    <w:p>
      <w:pPr>
        <w:spacing w:after="0" w:line="167"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Item 9.01</w:t>
      </w:r>
      <w:r>
        <w:rPr>
          <w:sz w:val="20"/>
          <w:szCs w:val="20"/>
          <w:color w:val="auto"/>
        </w:rPr>
        <w:tab/>
      </w:r>
      <w:r>
        <w:rPr>
          <w:rFonts w:ascii="Times New Roman" w:cs="Times New Roman" w:eastAsia="Times New Roman" w:hAnsi="Times New Roman"/>
          <w:sz w:val="19"/>
          <w:szCs w:val="19"/>
          <w:b w:val="1"/>
          <w:bCs w:val="1"/>
          <w:color w:val="auto"/>
        </w:rPr>
        <w:t>Financial Statements and Exhibits.</w:t>
      </w:r>
    </w:p>
    <w:p>
      <w:pPr>
        <w:spacing w:after="0" w:line="206"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0"/>
          <w:szCs w:val="20"/>
          <w:color w:val="auto"/>
        </w:rPr>
        <w:t>(d)</w:t>
      </w:r>
      <w:r>
        <w:rPr>
          <w:sz w:val="20"/>
          <w:szCs w:val="20"/>
          <w:color w:val="auto"/>
        </w:rPr>
        <w:tab/>
      </w:r>
      <w:r>
        <w:rPr>
          <w:rFonts w:ascii="Times New Roman" w:cs="Times New Roman" w:eastAsia="Times New Roman" w:hAnsi="Times New Roman"/>
          <w:sz w:val="19"/>
          <w:szCs w:val="19"/>
          <w:color w:val="auto"/>
        </w:rPr>
        <w:t>Exhibits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r>
              <w:rPr>
                <w:rFonts w:ascii="Times New Roman" w:cs="Times New Roman" w:eastAsia="Times New Roman" w:hAnsi="Times New Roman"/>
                <w:sz w:val="19"/>
                <w:szCs w:val="19"/>
                <w:color w:val="auto"/>
              </w:rPr>
              <w:t>.</w:t>
            </w: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4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37"/>
        </w:trPr>
        <w:tc>
          <w:tcPr>
            <w:tcW w:w="8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99.1</w:t>
            </w:r>
          </w:p>
        </w:tc>
        <w:tc>
          <w:tcPr>
            <w:tcW w:w="260" w:type="dxa"/>
            <w:vAlign w:val="bottom"/>
          </w:tcPr>
          <w:p>
            <w:pPr>
              <w:spacing w:after="0"/>
              <w:rPr>
                <w:sz w:val="20"/>
                <w:szCs w:val="20"/>
                <w:color w:val="auto"/>
              </w:rPr>
            </w:pPr>
          </w:p>
        </w:tc>
        <w:tc>
          <w:tcPr>
            <w:tcW w:w="10140" w:type="dxa"/>
            <w:vAlign w:val="bottom"/>
            <w:gridSpan w:val="6"/>
          </w:tcPr>
          <w:p>
            <w:pPr>
              <w:spacing w:after="0"/>
              <w:rPr>
                <w:sz w:val="20"/>
                <w:szCs w:val="20"/>
                <w:color w:val="auto"/>
              </w:rPr>
            </w:pPr>
            <w:r>
              <w:rPr>
                <w:rFonts w:ascii="Times New Roman" w:cs="Times New Roman" w:eastAsia="Times New Roman" w:hAnsi="Times New Roman"/>
                <w:sz w:val="20"/>
                <w:szCs w:val="20"/>
                <w:color w:val="0000FF"/>
              </w:rPr>
              <w:t>Press Release issued by Tango Therapeutics, Inc. on November 10, 2022 relating to its results of operations and financial</w:t>
            </w:r>
          </w:p>
        </w:tc>
      </w:tr>
      <w:tr>
        <w:trPr>
          <w:trHeight w:val="183"/>
        </w:trPr>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4120" w:type="dxa"/>
            <w:vAlign w:val="bottom"/>
            <w:tcBorders>
              <w:top w:val="single" w:sz="8" w:color="0000FF"/>
              <w:bottom w:val="single" w:sz="8" w:color="0000FF"/>
            </w:tcBorders>
            <w:gridSpan w:val="3"/>
          </w:tcPr>
          <w:p>
            <w:pPr>
              <w:spacing w:after="0" w:line="183" w:lineRule="exact"/>
              <w:rPr>
                <w:sz w:val="20"/>
                <w:szCs w:val="20"/>
                <w:color w:val="auto"/>
              </w:rPr>
            </w:pPr>
            <w:r>
              <w:rPr>
                <w:rFonts w:ascii="Times New Roman" w:cs="Times New Roman" w:eastAsia="Times New Roman" w:hAnsi="Times New Roman"/>
                <w:sz w:val="20"/>
                <w:szCs w:val="20"/>
                <w:color w:val="0000FF"/>
                <w:w w:val="98"/>
              </w:rPr>
              <w:t>condition for the quarter ended September 30, 2022.</w:t>
            </w:r>
          </w:p>
        </w:tc>
        <w:tc>
          <w:tcPr>
            <w:tcW w:w="5500" w:type="dxa"/>
            <w:vAlign w:val="bottom"/>
            <w:tcBorders>
              <w:top w:val="single" w:sz="8" w:color="0000FF"/>
            </w:tcBorders>
          </w:tcPr>
          <w:p>
            <w:pPr>
              <w:spacing w:after="0"/>
              <w:rPr>
                <w:sz w:val="15"/>
                <w:szCs w:val="15"/>
                <w:color w:val="auto"/>
              </w:rPr>
            </w:pPr>
          </w:p>
        </w:tc>
        <w:tc>
          <w:tcPr>
            <w:tcW w:w="500" w:type="dxa"/>
            <w:vAlign w:val="bottom"/>
          </w:tcPr>
          <w:p>
            <w:pPr>
              <w:spacing w:after="0"/>
              <w:rPr>
                <w:sz w:val="15"/>
                <w:szCs w:val="15"/>
                <w:color w:val="auto"/>
              </w:rPr>
            </w:pPr>
          </w:p>
        </w:tc>
      </w:tr>
      <w:tr>
        <w:trPr>
          <w:trHeight w:val="499"/>
        </w:trPr>
        <w:tc>
          <w:tcPr>
            <w:tcW w:w="8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104</w:t>
            </w:r>
          </w:p>
        </w:tc>
        <w:tc>
          <w:tcPr>
            <w:tcW w:w="260" w:type="dxa"/>
            <w:vAlign w:val="bottom"/>
          </w:tcPr>
          <w:p>
            <w:pPr>
              <w:spacing w:after="0"/>
              <w:rPr>
                <w:sz w:val="24"/>
                <w:szCs w:val="24"/>
                <w:color w:val="auto"/>
              </w:rPr>
            </w:pPr>
          </w:p>
        </w:tc>
        <w:tc>
          <w:tcPr>
            <w:tcW w:w="10140" w:type="dxa"/>
            <w:vAlign w:val="bottom"/>
            <w:gridSpan w:val="6"/>
          </w:tcPr>
          <w:p>
            <w:pPr>
              <w:spacing w:after="0"/>
              <w:rPr>
                <w:sz w:val="20"/>
                <w:szCs w:val="20"/>
                <w:color w:val="auto"/>
              </w:rPr>
            </w:pPr>
            <w:r>
              <w:rPr>
                <w:rFonts w:ascii="Times New Roman" w:cs="Times New Roman" w:eastAsia="Times New Roman" w:hAnsi="Times New Roman"/>
                <w:sz w:val="20"/>
                <w:szCs w:val="20"/>
                <w:color w:val="auto"/>
              </w:rPr>
              <w:t>Cover Page Interactive Data File (embedded within the Inline XBRL document).</w:t>
            </w:r>
          </w:p>
        </w:tc>
      </w:tr>
      <w:tr>
        <w:trPr>
          <w:trHeight w:val="352"/>
        </w:trPr>
        <w:tc>
          <w:tcPr>
            <w:tcW w:w="8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520" w:type="dxa"/>
            <w:vAlign w:val="bottom"/>
            <w:tcBorders>
              <w:bottom w:val="single" w:sz="8" w:color="9A9A9A"/>
            </w:tcBorders>
          </w:tcPr>
          <w:p>
            <w:pPr>
              <w:spacing w:after="0"/>
              <w:rPr>
                <w:sz w:val="24"/>
                <w:szCs w:val="24"/>
                <w:color w:val="auto"/>
              </w:rPr>
            </w:pPr>
          </w:p>
        </w:tc>
        <w:tc>
          <w:tcPr>
            <w:tcW w:w="55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0"/>
          <w:szCs w:val="20"/>
          <w:b w:val="1"/>
          <w:bCs w:val="1"/>
          <w:color w:val="auto"/>
        </w:rPr>
        <w:t>Signature</w:t>
      </w:r>
    </w:p>
    <w:p>
      <w:pPr>
        <w:spacing w:after="0" w:line="193" w:lineRule="exact"/>
        <w:rPr>
          <w:sz w:val="20"/>
          <w:szCs w:val="20"/>
          <w:color w:val="auto"/>
        </w:rPr>
      </w:pPr>
    </w:p>
    <w:p>
      <w:pPr>
        <w:ind w:right="500" w:firstLine="509"/>
        <w:spacing w:after="0" w:line="255"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hereunto duly authorized.</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3200" w:type="dxa"/>
            <w:vAlign w:val="bottom"/>
          </w:tcPr>
          <w:p>
            <w:pPr>
              <w:spacing w:after="0"/>
              <w:rPr>
                <w:sz w:val="24"/>
                <w:szCs w:val="24"/>
                <w:color w:val="auto"/>
              </w:rPr>
            </w:pPr>
          </w:p>
        </w:tc>
        <w:tc>
          <w:tcPr>
            <w:tcW w:w="8040" w:type="dxa"/>
            <w:vAlign w:val="bottom"/>
            <w:gridSpan w:val="3"/>
          </w:tcPr>
          <w:p>
            <w:pPr>
              <w:ind w:left="780"/>
              <w:spacing w:after="0"/>
              <w:rPr>
                <w:sz w:val="20"/>
                <w:szCs w:val="20"/>
                <w:color w:val="auto"/>
              </w:rPr>
            </w:pPr>
            <w:r>
              <w:rPr>
                <w:rFonts w:ascii="Times New Roman" w:cs="Times New Roman" w:eastAsia="Times New Roman" w:hAnsi="Times New Roman"/>
                <w:sz w:val="22"/>
                <w:szCs w:val="22"/>
                <w:color w:val="auto"/>
              </w:rPr>
              <w:t>TANGO THERAPEUTICS, INC.</w:t>
            </w:r>
          </w:p>
        </w:tc>
      </w:tr>
      <w:tr>
        <w:trPr>
          <w:trHeight w:val="406"/>
        </w:trPr>
        <w:tc>
          <w:tcPr>
            <w:tcW w:w="3200" w:type="dxa"/>
            <w:vAlign w:val="bottom"/>
          </w:tcPr>
          <w:p>
            <w:pPr>
              <w:spacing w:after="0"/>
              <w:rPr>
                <w:sz w:val="20"/>
                <w:szCs w:val="20"/>
                <w:color w:val="auto"/>
              </w:rPr>
            </w:pPr>
            <w:r>
              <w:rPr>
                <w:rFonts w:ascii="Times New Roman" w:cs="Times New Roman" w:eastAsia="Times New Roman" w:hAnsi="Times New Roman"/>
                <w:sz w:val="22"/>
                <w:szCs w:val="22"/>
                <w:color w:val="auto"/>
              </w:rPr>
              <w:t>Dated: November 10, 2022</w:t>
            </w:r>
          </w:p>
        </w:tc>
        <w:tc>
          <w:tcPr>
            <w:tcW w:w="8040" w:type="dxa"/>
            <w:vAlign w:val="bottom"/>
            <w:gridSpan w:val="3"/>
          </w:tcPr>
          <w:p>
            <w:pPr>
              <w:ind w:left="1460"/>
              <w:spacing w:after="0"/>
              <w:rPr>
                <w:sz w:val="20"/>
                <w:szCs w:val="20"/>
                <w:color w:val="auto"/>
              </w:rPr>
            </w:pPr>
            <w:r>
              <w:rPr>
                <w:rFonts w:ascii="Times New Roman" w:cs="Times New Roman" w:eastAsia="Times New Roman" w:hAnsi="Times New Roman"/>
                <w:sz w:val="22"/>
                <w:szCs w:val="22"/>
                <w:color w:val="auto"/>
              </w:rPr>
              <w:t>By: /s/ Douglas Barry</w:t>
            </w:r>
            <w:r>
              <w:rPr>
                <w:rFonts w:ascii="Times New Roman" w:cs="Times New Roman" w:eastAsia="Times New Roman" w:hAnsi="Times New Roman"/>
                <w:sz w:val="17"/>
                <w:szCs w:val="17"/>
                <w:color w:val="auto"/>
              </w:rPr>
              <w:t>__________</w:t>
            </w:r>
          </w:p>
        </w:tc>
      </w:tr>
      <w:tr>
        <w:trPr>
          <w:trHeight w:val="20"/>
        </w:trPr>
        <w:tc>
          <w:tcPr>
            <w:tcW w:w="32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420" w:type="dxa"/>
            <w:vAlign w:val="bottom"/>
            <w:shd w:val="clear" w:color="auto" w:fill="000000"/>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r>
      <w:tr>
        <w:trPr>
          <w:trHeight w:val="250"/>
        </w:trPr>
        <w:tc>
          <w:tcPr>
            <w:tcW w:w="3200" w:type="dxa"/>
            <w:vAlign w:val="bottom"/>
          </w:tcPr>
          <w:p>
            <w:pPr>
              <w:spacing w:after="0"/>
              <w:rPr>
                <w:sz w:val="21"/>
                <w:szCs w:val="21"/>
                <w:color w:val="auto"/>
              </w:rPr>
            </w:pPr>
          </w:p>
        </w:tc>
        <w:tc>
          <w:tcPr>
            <w:tcW w:w="4300" w:type="dxa"/>
            <w:vAlign w:val="bottom"/>
            <w:gridSpan w:val="2"/>
          </w:tcPr>
          <w:p>
            <w:pPr>
              <w:ind w:left="780"/>
              <w:spacing w:after="0" w:line="249" w:lineRule="exact"/>
              <w:rPr>
                <w:sz w:val="20"/>
                <w:szCs w:val="20"/>
                <w:color w:val="auto"/>
              </w:rPr>
            </w:pPr>
            <w:r>
              <w:rPr>
                <w:rFonts w:ascii="Times New Roman" w:cs="Times New Roman" w:eastAsia="Times New Roman" w:hAnsi="Times New Roman"/>
                <w:sz w:val="22"/>
                <w:szCs w:val="22"/>
                <w:color w:val="auto"/>
              </w:rPr>
              <w:t>Name: Douglas Barry</w:t>
            </w:r>
          </w:p>
        </w:tc>
        <w:tc>
          <w:tcPr>
            <w:tcW w:w="3740" w:type="dxa"/>
            <w:vAlign w:val="bottom"/>
          </w:tcPr>
          <w:p>
            <w:pPr>
              <w:spacing w:after="0"/>
              <w:rPr>
                <w:sz w:val="21"/>
                <w:szCs w:val="21"/>
                <w:color w:val="auto"/>
              </w:rPr>
            </w:pPr>
          </w:p>
        </w:tc>
      </w:tr>
      <w:tr>
        <w:trPr>
          <w:trHeight w:val="282"/>
        </w:trPr>
        <w:tc>
          <w:tcPr>
            <w:tcW w:w="3200" w:type="dxa"/>
            <w:vAlign w:val="bottom"/>
          </w:tcPr>
          <w:p>
            <w:pPr>
              <w:spacing w:after="0"/>
              <w:rPr>
                <w:sz w:val="24"/>
                <w:szCs w:val="24"/>
                <w:color w:val="auto"/>
              </w:rPr>
            </w:pPr>
          </w:p>
        </w:tc>
        <w:tc>
          <w:tcPr>
            <w:tcW w:w="8040" w:type="dxa"/>
            <w:vAlign w:val="bottom"/>
            <w:gridSpan w:val="3"/>
          </w:tcPr>
          <w:p>
            <w:pPr>
              <w:ind w:left="780"/>
              <w:spacing w:after="0"/>
              <w:rPr>
                <w:sz w:val="20"/>
                <w:szCs w:val="20"/>
                <w:color w:val="auto"/>
              </w:rPr>
            </w:pPr>
            <w:r>
              <w:rPr>
                <w:rFonts w:ascii="Times New Roman" w:cs="Times New Roman" w:eastAsia="Times New Roman" w:hAnsi="Times New Roman"/>
                <w:sz w:val="22"/>
                <w:szCs w:val="22"/>
                <w:color w:val="auto"/>
              </w:rPr>
              <w:t>Title: General Counsel</w:t>
            </w:r>
          </w:p>
        </w:tc>
      </w:tr>
      <w:tr>
        <w:trPr>
          <w:trHeight w:val="103"/>
        </w:trPr>
        <w:tc>
          <w:tcPr>
            <w:tcW w:w="3200" w:type="dxa"/>
            <w:vAlign w:val="bottom"/>
            <w:tcBorders>
              <w:bottom w:val="single" w:sz="8" w:color="9A9A9A"/>
            </w:tcBorders>
          </w:tcPr>
          <w:p>
            <w:pPr>
              <w:spacing w:after="0"/>
              <w:rPr>
                <w:sz w:val="8"/>
                <w:szCs w:val="8"/>
                <w:color w:val="auto"/>
              </w:rPr>
            </w:pPr>
          </w:p>
        </w:tc>
        <w:tc>
          <w:tcPr>
            <w:tcW w:w="1880" w:type="dxa"/>
            <w:vAlign w:val="bottom"/>
            <w:tcBorders>
              <w:bottom w:val="single" w:sz="8" w:color="9A9A9A"/>
            </w:tcBorders>
          </w:tcPr>
          <w:p>
            <w:pPr>
              <w:spacing w:after="0"/>
              <w:rPr>
                <w:sz w:val="8"/>
                <w:szCs w:val="8"/>
                <w:color w:val="auto"/>
              </w:rPr>
            </w:pPr>
          </w:p>
        </w:tc>
        <w:tc>
          <w:tcPr>
            <w:tcW w:w="2420" w:type="dxa"/>
            <w:vAlign w:val="bottom"/>
            <w:tcBorders>
              <w:bottom w:val="single" w:sz="8" w:color="9A9A9A"/>
            </w:tcBorders>
          </w:tcPr>
          <w:p>
            <w:pPr>
              <w:spacing w:after="0"/>
              <w:rPr>
                <w:sz w:val="8"/>
                <w:szCs w:val="8"/>
                <w:color w:val="auto"/>
              </w:rPr>
            </w:pPr>
          </w:p>
        </w:tc>
        <w:tc>
          <w:tcPr>
            <w:tcW w:w="37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3" w:name="page4"/>
    <w:bookmarkEnd w:id="3"/>
    <w:p>
      <w:pPr>
        <w:jc w:val="center"/>
        <w:ind w:right="-59"/>
        <w:spacing w:after="0"/>
        <w:rPr>
          <w:sz w:val="20"/>
          <w:szCs w:val="20"/>
          <w:color w:val="auto"/>
        </w:rPr>
      </w:pPr>
      <w:r>
        <w:rPr>
          <w:rFonts w:ascii="Calibri" w:cs="Calibri" w:eastAsia="Calibri" w:hAnsi="Calibri"/>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543050" cy="4629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543050" cy="462915"/>
                    </a:xfrm>
                    <a:prstGeom prst="rect">
                      <a:avLst/>
                    </a:prstGeom>
                    <a:noFill/>
                  </pic:spPr>
                </pic:pic>
              </a:graphicData>
            </a:graphic>
          </wp:anchor>
        </w:drawing>
        <w:t>Tango Therapeutcs Reports Third Quarter 2022 Financial Results</w:t>
      </w:r>
    </w:p>
    <w:p>
      <w:pPr>
        <w:jc w:val="center"/>
        <w:ind w:right="-119"/>
        <w:spacing w:after="0" w:line="229" w:lineRule="auto"/>
        <w:rPr>
          <w:sz w:val="20"/>
          <w:szCs w:val="20"/>
          <w:color w:val="auto"/>
        </w:rPr>
      </w:pPr>
      <w:r>
        <w:rPr>
          <w:rFonts w:ascii="Calibri" w:cs="Calibri" w:eastAsia="Calibri" w:hAnsi="Calibri"/>
          <w:sz w:val="22"/>
          <w:szCs w:val="22"/>
          <w:b w:val="1"/>
          <w:bCs w:val="1"/>
          <w:color w:val="auto"/>
        </w:rPr>
        <w:t>and Provides Business Highlights</w:t>
      </w:r>
    </w:p>
    <w:p>
      <w:pPr>
        <w:spacing w:after="0" w:line="175" w:lineRule="exact"/>
        <w:rPr>
          <w:sz w:val="20"/>
          <w:szCs w:val="20"/>
          <w:color w:val="auto"/>
        </w:rPr>
      </w:pPr>
    </w:p>
    <w:p>
      <w:pPr>
        <w:ind w:left="200"/>
        <w:spacing w:after="0"/>
        <w:rPr>
          <w:sz w:val="20"/>
          <w:szCs w:val="20"/>
          <w:color w:val="auto"/>
        </w:rPr>
      </w:pPr>
      <w:r>
        <w:rPr>
          <w:rFonts w:ascii="Calibri" w:cs="Calibri" w:eastAsia="Calibri" w:hAnsi="Calibri"/>
          <w:sz w:val="22"/>
          <w:szCs w:val="22"/>
          <w:i w:val="1"/>
          <w:iCs w:val="1"/>
          <w:color w:val="auto"/>
        </w:rPr>
        <w:t>– Clinical Trial Applicaton (CTA) for TNG908, an MTA-cooperatve PRMT5 inhibitor, approved by the Natonal Agency for the</w:t>
      </w:r>
    </w:p>
    <w:p>
      <w:pPr>
        <w:ind w:left="3880"/>
        <w:spacing w:after="0" w:line="231" w:lineRule="auto"/>
        <w:rPr>
          <w:sz w:val="20"/>
          <w:szCs w:val="20"/>
          <w:color w:val="auto"/>
        </w:rPr>
      </w:pPr>
      <w:r>
        <w:rPr>
          <w:rFonts w:ascii="Calibri" w:cs="Calibri" w:eastAsia="Calibri" w:hAnsi="Calibri"/>
          <w:sz w:val="22"/>
          <w:szCs w:val="22"/>
          <w:i w:val="1"/>
          <w:iCs w:val="1"/>
          <w:color w:val="auto"/>
        </w:rPr>
        <w:t>Safety of Medicines (ANSM) in France –</w:t>
      </w:r>
    </w:p>
    <w:p>
      <w:pPr>
        <w:spacing w:after="0" w:line="215" w:lineRule="exact"/>
        <w:rPr>
          <w:sz w:val="20"/>
          <w:szCs w:val="20"/>
          <w:color w:val="auto"/>
        </w:rPr>
      </w:pPr>
    </w:p>
    <w:p>
      <w:pPr>
        <w:ind w:left="4440" w:right="1960" w:hanging="1994"/>
        <w:spacing w:after="0" w:line="223" w:lineRule="auto"/>
        <w:rPr>
          <w:sz w:val="20"/>
          <w:szCs w:val="20"/>
          <w:color w:val="auto"/>
        </w:rPr>
      </w:pPr>
      <w:r>
        <w:rPr>
          <w:rFonts w:ascii="Calibri" w:cs="Calibri" w:eastAsia="Calibri" w:hAnsi="Calibri"/>
          <w:sz w:val="22"/>
          <w:szCs w:val="22"/>
          <w:i w:val="1"/>
          <w:iCs w:val="1"/>
          <w:color w:val="auto"/>
        </w:rPr>
        <w:t>– TNG260 disclosed as a frst-in-class CoREST complex inhibitor for treatment of STK11-mutant cancers –</w:t>
      </w:r>
    </w:p>
    <w:p>
      <w:pPr>
        <w:spacing w:after="0" w:line="256" w:lineRule="exact"/>
        <w:rPr>
          <w:sz w:val="20"/>
          <w:szCs w:val="20"/>
          <w:color w:val="auto"/>
        </w:rPr>
      </w:pPr>
    </w:p>
    <w:p>
      <w:pPr>
        <w:ind w:left="4300" w:right="1860" w:hanging="1771"/>
        <w:spacing w:after="0" w:line="223" w:lineRule="auto"/>
        <w:rPr>
          <w:sz w:val="20"/>
          <w:szCs w:val="20"/>
          <w:color w:val="auto"/>
        </w:rPr>
      </w:pPr>
      <w:r>
        <w:rPr>
          <w:rFonts w:ascii="Calibri" w:cs="Calibri" w:eastAsia="Calibri" w:hAnsi="Calibri"/>
          <w:sz w:val="22"/>
          <w:szCs w:val="22"/>
          <w:i w:val="1"/>
          <w:iCs w:val="1"/>
          <w:color w:val="auto"/>
        </w:rPr>
        <w:t>– TNG348 declared as a USP1 inhibitor development candidate for treatment of BRCA1/2 mutant cancers –</w:t>
      </w:r>
    </w:p>
    <w:p>
      <w:pPr>
        <w:spacing w:after="0" w:line="232" w:lineRule="exact"/>
        <w:rPr>
          <w:sz w:val="20"/>
          <w:szCs w:val="20"/>
          <w:color w:val="auto"/>
        </w:rPr>
      </w:pPr>
    </w:p>
    <w:p>
      <w:pPr>
        <w:ind w:left="2640"/>
        <w:spacing w:after="0"/>
        <w:rPr>
          <w:sz w:val="20"/>
          <w:szCs w:val="20"/>
          <w:color w:val="auto"/>
        </w:rPr>
      </w:pPr>
      <w:r>
        <w:rPr>
          <w:rFonts w:ascii="Calibri" w:cs="Calibri" w:eastAsia="Calibri" w:hAnsi="Calibri"/>
          <w:sz w:val="22"/>
          <w:szCs w:val="22"/>
          <w:i w:val="1"/>
          <w:iCs w:val="1"/>
          <w:color w:val="auto"/>
        </w:rPr>
        <w:t>– Aaron Weitzman, M.D., F.A.C.P., appointed Chief Medical Ofcer –</w:t>
      </w:r>
    </w:p>
    <w:p>
      <w:pPr>
        <w:spacing w:after="0" w:line="242" w:lineRule="exact"/>
        <w:rPr>
          <w:sz w:val="20"/>
          <w:szCs w:val="20"/>
          <w:color w:val="auto"/>
        </w:rPr>
      </w:pPr>
    </w:p>
    <w:p>
      <w:pPr>
        <w:spacing w:after="0" w:line="221" w:lineRule="auto"/>
        <w:rPr>
          <w:sz w:val="20"/>
          <w:szCs w:val="20"/>
          <w:color w:val="auto"/>
        </w:rPr>
      </w:pPr>
      <w:r>
        <w:rPr>
          <w:rFonts w:ascii="Calibri" w:cs="Calibri" w:eastAsia="Calibri" w:hAnsi="Calibri"/>
          <w:sz w:val="22"/>
          <w:szCs w:val="22"/>
          <w:b w:val="1"/>
          <w:bCs w:val="1"/>
          <w:color w:val="auto"/>
        </w:rPr>
        <w:t xml:space="preserve">BOSTON, Mass. – November 10, 2022 </w:t>
      </w:r>
      <w:r>
        <w:rPr>
          <w:rFonts w:ascii="Calibri" w:cs="Calibri" w:eastAsia="Calibri" w:hAnsi="Calibri"/>
          <w:sz w:val="22"/>
          <w:szCs w:val="22"/>
          <w:color w:val="auto"/>
        </w:rPr>
        <w:t>– Tango Therapeutcs, Inc. (NASDAQ: TNGX), a clinical-stage biotechnology company</w:t>
      </w:r>
      <w:r>
        <w:rPr>
          <w:rFonts w:ascii="Calibri" w:cs="Calibri" w:eastAsia="Calibri" w:hAnsi="Calibri"/>
          <w:sz w:val="22"/>
          <w:szCs w:val="22"/>
          <w:b w:val="1"/>
          <w:bCs w:val="1"/>
          <w:color w:val="auto"/>
        </w:rPr>
        <w:t xml:space="preserve"> </w:t>
      </w:r>
      <w:r>
        <w:rPr>
          <w:rFonts w:ascii="Calibri" w:cs="Calibri" w:eastAsia="Calibri" w:hAnsi="Calibri"/>
          <w:sz w:val="22"/>
          <w:szCs w:val="22"/>
          <w:color w:val="auto"/>
        </w:rPr>
        <w:t>commited to discovering and delivering the next generaton of precision cancer medicines, reported its fnancial results for the third quarter ended September 30, 2022, and provided business highlights.</w:t>
      </w:r>
    </w:p>
    <w:p>
      <w:pPr>
        <w:spacing w:after="0" w:line="217" w:lineRule="exact"/>
        <w:rPr>
          <w:sz w:val="20"/>
          <w:szCs w:val="20"/>
          <w:color w:val="auto"/>
        </w:rPr>
      </w:pPr>
    </w:p>
    <w:p>
      <w:pPr>
        <w:ind w:right="60"/>
        <w:spacing w:after="0" w:line="223" w:lineRule="auto"/>
        <w:rPr>
          <w:sz w:val="20"/>
          <w:szCs w:val="20"/>
          <w:color w:val="auto"/>
        </w:rPr>
      </w:pPr>
      <w:r>
        <w:rPr>
          <w:rFonts w:ascii="Calibri" w:cs="Calibri" w:eastAsia="Calibri" w:hAnsi="Calibri"/>
          <w:sz w:val="22"/>
          <w:szCs w:val="22"/>
          <w:color w:val="auto"/>
        </w:rPr>
        <w:t>“We have made signifcant progress advancing our pipeline of synthetc lethal therapies, including the recent expansion of clinical trial sites for TNG908, our lead PRMT5 program, to include France, and the declaraton of TNG348 as a development candidate for our USP1 program,” said Barbara Weber, M.D., President and Chief Executve Ofcer of Tango Therapeutcs. “In additon, we are very pleased to announce the appointment of Ron Weitzman, M.D. as our Chief Medical Ofcer. Dr. Weitzman has extensive experience in oncology clinical development, including both early and full development in solid tumors and hematologic malignancies, bringing expertse and leadership as we contnue to progress our pipeline.”</w:t>
      </w:r>
    </w:p>
    <w:p>
      <w:pPr>
        <w:spacing w:after="0" w:line="180"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Recent Business Highlights</w:t>
      </w:r>
    </w:p>
    <w:p>
      <w:pPr>
        <w:spacing w:after="0" w:line="190" w:lineRule="exact"/>
        <w:rPr>
          <w:sz w:val="20"/>
          <w:szCs w:val="20"/>
          <w:color w:val="auto"/>
        </w:rPr>
      </w:pPr>
    </w:p>
    <w:p>
      <w:pPr>
        <w:spacing w:after="0"/>
        <w:rPr>
          <w:sz w:val="20"/>
          <w:szCs w:val="20"/>
          <w:color w:val="auto"/>
        </w:rPr>
      </w:pPr>
      <w:r>
        <w:rPr>
          <w:rFonts w:ascii="Calibri" w:cs="Calibri" w:eastAsia="Calibri" w:hAnsi="Calibri"/>
          <w:sz w:val="22"/>
          <w:szCs w:val="22"/>
          <w:b w:val="1"/>
          <w:bCs w:val="1"/>
          <w:u w:val="single" w:color="auto"/>
          <w:color w:val="auto"/>
        </w:rPr>
        <w:t>Pipeline Update</w:t>
      </w:r>
    </w:p>
    <w:p>
      <w:pPr>
        <w:spacing w:after="0" w:line="202"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TNG908, a novel synthetc lethal PRMT5 inhibitor</w:t>
      </w:r>
    </w:p>
    <w:p>
      <w:pPr>
        <w:spacing w:after="0" w:line="125" w:lineRule="exact"/>
        <w:rPr>
          <w:sz w:val="20"/>
          <w:szCs w:val="20"/>
          <w:color w:val="auto"/>
        </w:rPr>
      </w:pPr>
    </w:p>
    <w:p>
      <w:pPr>
        <w:ind w:left="1020" w:hanging="503"/>
        <w:spacing w:after="0"/>
        <w:tabs>
          <w:tab w:leader="none" w:pos="1020" w:val="left"/>
        </w:tabs>
        <w:numPr>
          <w:ilvl w:val="0"/>
          <w:numId w:val="4"/>
        </w:numPr>
        <w:rPr>
          <w:rFonts w:ascii="Times New Roman" w:cs="Times New Roman" w:eastAsia="Times New Roman" w:hAnsi="Times New Roman"/>
          <w:sz w:val="22"/>
          <w:szCs w:val="22"/>
          <w:color w:val="auto"/>
        </w:rPr>
      </w:pPr>
      <w:r>
        <w:rPr>
          <w:rFonts w:ascii="Calibri" w:cs="Calibri" w:eastAsia="Calibri" w:hAnsi="Calibri"/>
          <w:sz w:val="22"/>
          <w:szCs w:val="22"/>
          <w:color w:val="auto"/>
        </w:rPr>
        <w:t>Enrollment is ongoing in the dose escalaton phase of the TNG908 phase 1/2 trial.</w:t>
      </w:r>
    </w:p>
    <w:p>
      <w:pPr>
        <w:spacing w:after="0" w:line="95" w:lineRule="exact"/>
        <w:rPr>
          <w:rFonts w:ascii="Times New Roman" w:cs="Times New Roman" w:eastAsia="Times New Roman" w:hAnsi="Times New Roman"/>
          <w:sz w:val="22"/>
          <w:szCs w:val="22"/>
          <w:color w:val="auto"/>
        </w:rPr>
      </w:pPr>
    </w:p>
    <w:p>
      <w:pPr>
        <w:ind w:left="1020" w:hanging="503"/>
        <w:spacing w:after="0"/>
        <w:tabs>
          <w:tab w:leader="none" w:pos="1020" w:val="left"/>
        </w:tabs>
        <w:numPr>
          <w:ilvl w:val="0"/>
          <w:numId w:val="4"/>
        </w:numPr>
        <w:rPr>
          <w:rFonts w:ascii="Times New Roman" w:cs="Times New Roman" w:eastAsia="Times New Roman" w:hAnsi="Times New Roman"/>
          <w:sz w:val="22"/>
          <w:szCs w:val="22"/>
          <w:color w:val="auto"/>
        </w:rPr>
      </w:pPr>
      <w:r>
        <w:rPr>
          <w:rFonts w:ascii="Calibri" w:cs="Calibri" w:eastAsia="Calibri" w:hAnsi="Calibri"/>
          <w:sz w:val="22"/>
          <w:szCs w:val="22"/>
          <w:color w:val="auto"/>
        </w:rPr>
        <w:t>A CTA for TNG908 was approved by the ANSM in France during the fourth quarter of 2022.</w:t>
      </w:r>
    </w:p>
    <w:p>
      <w:pPr>
        <w:spacing w:after="0" w:line="120" w:lineRule="exact"/>
        <w:rPr>
          <w:rFonts w:ascii="Times New Roman" w:cs="Times New Roman" w:eastAsia="Times New Roman" w:hAnsi="Times New Roman"/>
          <w:sz w:val="22"/>
          <w:szCs w:val="22"/>
          <w:color w:val="auto"/>
        </w:rPr>
      </w:pPr>
    </w:p>
    <w:p>
      <w:pPr>
        <w:ind w:left="1020" w:right="400" w:hanging="503"/>
        <w:spacing w:after="0" w:line="223" w:lineRule="auto"/>
        <w:tabs>
          <w:tab w:leader="none" w:pos="1020" w:val="left"/>
        </w:tabs>
        <w:numPr>
          <w:ilvl w:val="0"/>
          <w:numId w:val="4"/>
        </w:numPr>
        <w:rPr>
          <w:rFonts w:ascii="Times New Roman" w:cs="Times New Roman" w:eastAsia="Times New Roman" w:hAnsi="Times New Roman"/>
          <w:sz w:val="22"/>
          <w:szCs w:val="22"/>
          <w:color w:val="auto"/>
        </w:rPr>
      </w:pPr>
      <w:r>
        <w:rPr>
          <w:rFonts w:ascii="Calibri" w:cs="Calibri" w:eastAsia="Calibri" w:hAnsi="Calibri"/>
          <w:sz w:val="22"/>
          <w:szCs w:val="22"/>
          <w:color w:val="auto"/>
        </w:rPr>
        <w:t>TNG908 is a synthetc lethal inhibitor of PRMT5 (protein arginine methyl transferase 5) that works selectvely in cancer cells with MTAP (methylthioadenosine phosphorylase) deleton.</w:t>
      </w:r>
    </w:p>
    <w:p>
      <w:pPr>
        <w:spacing w:after="0" w:line="121" w:lineRule="exact"/>
        <w:rPr>
          <w:rFonts w:ascii="Times New Roman" w:cs="Times New Roman" w:eastAsia="Times New Roman" w:hAnsi="Times New Roman"/>
          <w:sz w:val="22"/>
          <w:szCs w:val="22"/>
          <w:color w:val="auto"/>
        </w:rPr>
      </w:pPr>
    </w:p>
    <w:p>
      <w:pPr>
        <w:ind w:left="1020" w:right="720" w:hanging="503"/>
        <w:spacing w:after="0" w:line="222" w:lineRule="auto"/>
        <w:tabs>
          <w:tab w:leader="none" w:pos="1020" w:val="left"/>
        </w:tabs>
        <w:numPr>
          <w:ilvl w:val="0"/>
          <w:numId w:val="4"/>
        </w:numPr>
        <w:rPr>
          <w:rFonts w:ascii="Times New Roman" w:cs="Times New Roman" w:eastAsia="Times New Roman" w:hAnsi="Times New Roman"/>
          <w:sz w:val="22"/>
          <w:szCs w:val="22"/>
          <w:color w:val="auto"/>
        </w:rPr>
      </w:pPr>
      <w:r>
        <w:rPr>
          <w:rFonts w:ascii="Calibri" w:cs="Calibri" w:eastAsia="Calibri" w:hAnsi="Calibri"/>
          <w:sz w:val="22"/>
          <w:szCs w:val="22"/>
          <w:color w:val="auto"/>
        </w:rPr>
        <w:t>MTAP deletons occur in approximately 10%-15% of all human cancers, including non-small cell lung cancer, mesothelioma, cholangiocarcinoma and glioblastoma.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332740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870" w:right="439" w:bottom="1440" w:gutter="0" w:footer="0" w:header="0"/>
        </w:sectPr>
      </w:pPr>
    </w:p>
    <w:bookmarkStart w:id="4" w:name="page5"/>
    <w:bookmarkEnd w:id="4"/>
    <w:p>
      <w:pPr>
        <w:spacing w:after="0"/>
        <w:rPr>
          <w:sz w:val="20"/>
          <w:szCs w:val="20"/>
          <w:color w:val="auto"/>
        </w:rPr>
      </w:pPr>
      <w:r>
        <w:rPr>
          <w:rFonts w:ascii="Calibri" w:cs="Calibri" w:eastAsia="Calibri" w:hAnsi="Calibri"/>
          <w:sz w:val="22"/>
          <w:szCs w:val="22"/>
          <w:b w:val="1"/>
          <w:bCs w:val="1"/>
          <w:color w:val="auto"/>
        </w:rPr>
        <w:t>TNG260, a frst-in-class CoREST complex inhibitor</w:t>
      </w:r>
    </w:p>
    <w:p>
      <w:pPr>
        <w:spacing w:after="0" w:line="136" w:lineRule="exact"/>
        <w:rPr>
          <w:sz w:val="20"/>
          <w:szCs w:val="20"/>
          <w:color w:val="auto"/>
        </w:rPr>
      </w:pPr>
    </w:p>
    <w:p>
      <w:pPr>
        <w:ind w:left="1020" w:hanging="503"/>
        <w:spacing w:after="0"/>
        <w:tabs>
          <w:tab w:leader="none" w:pos="1020" w:val="left"/>
        </w:tabs>
        <w:numPr>
          <w:ilvl w:val="0"/>
          <w:numId w:val="5"/>
        </w:numPr>
        <w:rPr>
          <w:rFonts w:ascii="Times New Roman" w:cs="Times New Roman" w:eastAsia="Times New Roman" w:hAnsi="Times New Roman"/>
          <w:sz w:val="22"/>
          <w:szCs w:val="22"/>
          <w:color w:val="auto"/>
        </w:rPr>
      </w:pPr>
      <w:r>
        <w:rPr>
          <w:rFonts w:ascii="Calibri" w:cs="Calibri" w:eastAsia="Calibri" w:hAnsi="Calibri"/>
          <w:sz w:val="22"/>
          <w:szCs w:val="22"/>
          <w:color w:val="auto"/>
        </w:rPr>
        <w:t>The Company disclosed the target of TNG260 as the CoREST complex. The CoREST complex (</w:t>
      </w:r>
      <w:r>
        <w:rPr>
          <w:rFonts w:ascii="Calibri" w:cs="Calibri" w:eastAsia="Calibri" w:hAnsi="Calibri"/>
          <w:sz w:val="22"/>
          <w:szCs w:val="22"/>
          <w:u w:val="single" w:color="auto"/>
          <w:color w:val="auto"/>
        </w:rPr>
        <w:t>C</w:t>
      </w:r>
      <w:r>
        <w:rPr>
          <w:rFonts w:ascii="Calibri" w:cs="Calibri" w:eastAsia="Calibri" w:hAnsi="Calibri"/>
          <w:sz w:val="22"/>
          <w:szCs w:val="22"/>
          <w:color w:val="auto"/>
        </w:rPr>
        <w:t>o-repressor of</w:t>
      </w:r>
    </w:p>
    <w:p>
      <w:pPr>
        <w:spacing w:after="0" w:line="11" w:lineRule="exact"/>
        <w:rPr>
          <w:rFonts w:ascii="Times New Roman" w:cs="Times New Roman" w:eastAsia="Times New Roman" w:hAnsi="Times New Roman"/>
          <w:sz w:val="22"/>
          <w:szCs w:val="22"/>
          <w:color w:val="auto"/>
        </w:rPr>
      </w:pPr>
    </w:p>
    <w:p>
      <w:pPr>
        <w:ind w:left="1020" w:right="200"/>
        <w:spacing w:after="0" w:line="211" w:lineRule="auto"/>
        <w:rPr>
          <w:rFonts w:ascii="Times New Roman" w:cs="Times New Roman" w:eastAsia="Times New Roman" w:hAnsi="Times New Roman"/>
          <w:sz w:val="22"/>
          <w:szCs w:val="22"/>
          <w:color w:val="auto"/>
        </w:rPr>
      </w:pPr>
      <w:r>
        <w:rPr>
          <w:rFonts w:ascii="Calibri" w:cs="Calibri" w:eastAsia="Calibri" w:hAnsi="Calibri"/>
          <w:sz w:val="22"/>
          <w:szCs w:val="22"/>
          <w:u w:val="single" w:color="auto"/>
          <w:color w:val="auto"/>
        </w:rPr>
        <w:t>R</w:t>
      </w:r>
      <w:r>
        <w:rPr>
          <w:rFonts w:ascii="Calibri" w:cs="Calibri" w:eastAsia="Calibri" w:hAnsi="Calibri"/>
          <w:sz w:val="22"/>
          <w:szCs w:val="22"/>
          <w:color w:val="auto"/>
        </w:rPr>
        <w:t xml:space="preserve">epressor </w:t>
      </w:r>
      <w:r>
        <w:rPr>
          <w:rFonts w:ascii="Calibri" w:cs="Calibri" w:eastAsia="Calibri" w:hAnsi="Calibri"/>
          <w:sz w:val="22"/>
          <w:szCs w:val="22"/>
          <w:u w:val="single" w:color="auto"/>
          <w:color w:val="auto"/>
        </w:rPr>
        <w:t>E</w:t>
      </w:r>
      <w:r>
        <w:rPr>
          <w:rFonts w:ascii="Calibri" w:cs="Calibri" w:eastAsia="Calibri" w:hAnsi="Calibri"/>
          <w:sz w:val="22"/>
          <w:szCs w:val="22"/>
          <w:color w:val="auto"/>
        </w:rPr>
        <w:t xml:space="preserve">lement-1 </w:t>
      </w:r>
      <w:r>
        <w:rPr>
          <w:rFonts w:ascii="Calibri" w:cs="Calibri" w:eastAsia="Calibri" w:hAnsi="Calibri"/>
          <w:sz w:val="22"/>
          <w:szCs w:val="22"/>
          <w:u w:val="single" w:color="auto"/>
          <w:color w:val="auto"/>
        </w:rPr>
        <w:t>S</w:t>
      </w:r>
      <w:r>
        <w:rPr>
          <w:rFonts w:ascii="Calibri" w:cs="Calibri" w:eastAsia="Calibri" w:hAnsi="Calibri"/>
          <w:sz w:val="22"/>
          <w:szCs w:val="22"/>
          <w:color w:val="auto"/>
        </w:rPr>
        <w:t xml:space="preserve">ilencing </w:t>
      </w:r>
      <w:r>
        <w:rPr>
          <w:rFonts w:ascii="Calibri" w:cs="Calibri" w:eastAsia="Calibri" w:hAnsi="Calibri"/>
          <w:sz w:val="22"/>
          <w:szCs w:val="22"/>
          <w:u w:val="single" w:color="auto"/>
          <w:color w:val="auto"/>
        </w:rPr>
        <w:t>T</w:t>
      </w:r>
      <w:r>
        <w:rPr>
          <w:rFonts w:ascii="Calibri" w:cs="Calibri" w:eastAsia="Calibri" w:hAnsi="Calibri"/>
          <w:sz w:val="22"/>
          <w:szCs w:val="22"/>
          <w:color w:val="auto"/>
        </w:rPr>
        <w:t>ranscripton) plays a major role in regulatng the expression of immunomodulatory proteins.</w:t>
      </w:r>
    </w:p>
    <w:p>
      <w:pPr>
        <w:spacing w:after="0" w:line="121" w:lineRule="exact"/>
        <w:rPr>
          <w:rFonts w:ascii="Times New Roman" w:cs="Times New Roman" w:eastAsia="Times New Roman" w:hAnsi="Times New Roman"/>
          <w:sz w:val="22"/>
          <w:szCs w:val="22"/>
          <w:color w:val="auto"/>
        </w:rPr>
      </w:pPr>
    </w:p>
    <w:p>
      <w:pPr>
        <w:ind w:left="1020" w:right="240" w:hanging="503"/>
        <w:spacing w:after="0" w:line="222" w:lineRule="auto"/>
        <w:tabs>
          <w:tab w:leader="none" w:pos="1020" w:val="left"/>
        </w:tabs>
        <w:numPr>
          <w:ilvl w:val="0"/>
          <w:numId w:val="5"/>
        </w:numPr>
        <w:rPr>
          <w:rFonts w:ascii="Times New Roman" w:cs="Times New Roman" w:eastAsia="Times New Roman" w:hAnsi="Times New Roman"/>
          <w:sz w:val="22"/>
          <w:szCs w:val="22"/>
          <w:color w:val="auto"/>
        </w:rPr>
      </w:pPr>
      <w:r>
        <w:rPr>
          <w:rFonts w:ascii="Calibri" w:cs="Calibri" w:eastAsia="Calibri" w:hAnsi="Calibri"/>
          <w:sz w:val="22"/>
          <w:szCs w:val="22"/>
          <w:color w:val="auto"/>
        </w:rPr>
        <w:t>Inhibiton of the CoREST complex by TNG260 reverses ant-PD1 resistance driven by STK11 mutatons in preclinical models.</w:t>
      </w:r>
    </w:p>
    <w:p>
      <w:pPr>
        <w:spacing w:after="0" w:line="113" w:lineRule="exact"/>
        <w:rPr>
          <w:rFonts w:ascii="Times New Roman" w:cs="Times New Roman" w:eastAsia="Times New Roman" w:hAnsi="Times New Roman"/>
          <w:sz w:val="22"/>
          <w:szCs w:val="22"/>
          <w:color w:val="auto"/>
        </w:rPr>
      </w:pPr>
    </w:p>
    <w:p>
      <w:pPr>
        <w:ind w:left="1020" w:hanging="503"/>
        <w:spacing w:after="0"/>
        <w:tabs>
          <w:tab w:leader="none" w:pos="1020" w:val="left"/>
        </w:tabs>
        <w:numPr>
          <w:ilvl w:val="0"/>
          <w:numId w:val="5"/>
        </w:numPr>
        <w:rPr>
          <w:rFonts w:ascii="Times New Roman" w:cs="Times New Roman" w:eastAsia="Times New Roman" w:hAnsi="Times New Roman"/>
          <w:sz w:val="22"/>
          <w:szCs w:val="22"/>
          <w:color w:val="auto"/>
        </w:rPr>
      </w:pPr>
      <w:r>
        <w:rPr>
          <w:rFonts w:ascii="Calibri" w:cs="Calibri" w:eastAsia="Calibri" w:hAnsi="Calibri"/>
          <w:sz w:val="22"/>
          <w:szCs w:val="22"/>
          <w:color w:val="auto"/>
        </w:rPr>
        <w:t>The Company expects to fle an Investgatonal New Drug (IND) applicaton for this program in the frst half of 2023.</w:t>
      </w:r>
    </w:p>
    <w:p>
      <w:pPr>
        <w:spacing w:after="0" w:line="106" w:lineRule="exact"/>
        <w:rPr>
          <w:rFonts w:ascii="Times New Roman" w:cs="Times New Roman" w:eastAsia="Times New Roman" w:hAnsi="Times New Roman"/>
          <w:sz w:val="22"/>
          <w:szCs w:val="22"/>
          <w:color w:val="auto"/>
        </w:rPr>
      </w:pPr>
    </w:p>
    <w:p>
      <w:pPr>
        <w:ind w:left="1020" w:right="180" w:hanging="503"/>
        <w:spacing w:after="0" w:line="223" w:lineRule="auto"/>
        <w:tabs>
          <w:tab w:leader="none" w:pos="1020" w:val="left"/>
        </w:tabs>
        <w:numPr>
          <w:ilvl w:val="0"/>
          <w:numId w:val="5"/>
        </w:numPr>
        <w:rPr>
          <w:rFonts w:ascii="Times New Roman" w:cs="Times New Roman" w:eastAsia="Times New Roman" w:hAnsi="Times New Roman"/>
          <w:sz w:val="22"/>
          <w:szCs w:val="22"/>
          <w:color w:val="auto"/>
        </w:rPr>
      </w:pPr>
      <w:r>
        <w:rPr>
          <w:rFonts w:ascii="Calibri" w:cs="Calibri" w:eastAsia="Calibri" w:hAnsi="Calibri"/>
          <w:sz w:val="22"/>
          <w:szCs w:val="22"/>
          <w:color w:val="auto"/>
        </w:rPr>
        <w:t>STK11 mutatons occur in approximately 15% of non-small cell lung, 15% of cervical, 10% of carcinoma of unknown primary, 5% of breast and 3% of pancreatc cancers, among others.</w:t>
      </w:r>
    </w:p>
    <w:p>
      <w:pPr>
        <w:spacing w:after="0" w:line="287"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TNG348, a novel USP1 inhibitor</w:t>
      </w:r>
    </w:p>
    <w:p>
      <w:pPr>
        <w:spacing w:after="0" w:line="134" w:lineRule="exact"/>
        <w:rPr>
          <w:sz w:val="20"/>
          <w:szCs w:val="20"/>
          <w:color w:val="auto"/>
        </w:rPr>
      </w:pPr>
    </w:p>
    <w:p>
      <w:pPr>
        <w:jc w:val="both"/>
        <w:ind w:left="1020" w:right="20" w:hanging="503"/>
        <w:spacing w:after="0" w:line="225" w:lineRule="auto"/>
        <w:tabs>
          <w:tab w:leader="none" w:pos="1020" w:val="left"/>
        </w:tabs>
        <w:numPr>
          <w:ilvl w:val="0"/>
          <w:numId w:val="6"/>
        </w:numPr>
        <w:rPr>
          <w:rFonts w:ascii="Times New Roman" w:cs="Times New Roman" w:eastAsia="Times New Roman" w:hAnsi="Times New Roman"/>
          <w:sz w:val="22"/>
          <w:szCs w:val="22"/>
          <w:color w:val="auto"/>
        </w:rPr>
      </w:pPr>
      <w:r>
        <w:rPr>
          <w:rFonts w:ascii="Calibri" w:cs="Calibri" w:eastAsia="Calibri" w:hAnsi="Calibri"/>
          <w:sz w:val="22"/>
          <w:szCs w:val="22"/>
          <w:color w:val="auto"/>
        </w:rPr>
        <w:t>The Company declared TNG348 a development candidate for the USP1 program (ubiquitn-specifc protease 1) in 4Q 2022, which is being developed for the treatment of BRCA1 and BRCA2-mutant cancers. The Company expects to fle an IND for TNG348 in 2023.</w:t>
      </w:r>
    </w:p>
    <w:p>
      <w:pPr>
        <w:spacing w:after="0" w:line="108" w:lineRule="exact"/>
        <w:rPr>
          <w:rFonts w:ascii="Times New Roman" w:cs="Times New Roman" w:eastAsia="Times New Roman" w:hAnsi="Times New Roman"/>
          <w:sz w:val="22"/>
          <w:szCs w:val="22"/>
          <w:color w:val="auto"/>
        </w:rPr>
      </w:pPr>
    </w:p>
    <w:p>
      <w:pPr>
        <w:ind w:left="1020" w:right="220" w:hanging="503"/>
        <w:spacing w:after="0" w:line="223" w:lineRule="auto"/>
        <w:tabs>
          <w:tab w:leader="none" w:pos="1020" w:val="left"/>
        </w:tabs>
        <w:numPr>
          <w:ilvl w:val="0"/>
          <w:numId w:val="6"/>
        </w:numPr>
        <w:rPr>
          <w:rFonts w:ascii="Times New Roman" w:cs="Times New Roman" w:eastAsia="Times New Roman" w:hAnsi="Times New Roman"/>
          <w:sz w:val="22"/>
          <w:szCs w:val="22"/>
          <w:color w:val="auto"/>
        </w:rPr>
      </w:pPr>
      <w:r>
        <w:rPr>
          <w:rFonts w:ascii="Calibri" w:cs="Calibri" w:eastAsia="Calibri" w:hAnsi="Calibri"/>
          <w:sz w:val="22"/>
          <w:szCs w:val="22"/>
          <w:i w:val="1"/>
          <w:iCs w:val="1"/>
          <w:color w:val="auto"/>
        </w:rPr>
        <w:t xml:space="preserve">In vivo </w:t>
      </w:r>
      <w:r>
        <w:rPr>
          <w:rFonts w:ascii="Calibri" w:cs="Calibri" w:eastAsia="Calibri" w:hAnsi="Calibri"/>
          <w:sz w:val="22"/>
          <w:szCs w:val="22"/>
          <w:color w:val="auto"/>
        </w:rPr>
        <w:t>preclinical studies of USP1 inhibiton have shown single agent efcacy in BRCA1 and BRCA2-mutant cell-line</w:t>
      </w:r>
      <w:r>
        <w:rPr>
          <w:rFonts w:ascii="Calibri" w:cs="Calibri" w:eastAsia="Calibri" w:hAnsi="Calibri"/>
          <w:sz w:val="22"/>
          <w:szCs w:val="22"/>
          <w:i w:val="1"/>
          <w:iCs w:val="1"/>
          <w:color w:val="auto"/>
        </w:rPr>
        <w:t xml:space="preserve"> </w:t>
      </w:r>
      <w:r>
        <w:rPr>
          <w:rFonts w:ascii="Calibri" w:cs="Calibri" w:eastAsia="Calibri" w:hAnsi="Calibri"/>
          <w:sz w:val="22"/>
          <w:szCs w:val="22"/>
          <w:color w:val="auto"/>
        </w:rPr>
        <w:t>and patent derived xenografs, including those that are intrinsically resistant to PARP inhibiton. These preclinical data further demonstrate that TNG348 is synergistc with PARP inhibiton across a panel of human ovarian and breast cancer cell lines, including both PARP inhibitor resistant and sensitve lines.</w:t>
      </w:r>
    </w:p>
    <w:p>
      <w:pPr>
        <w:spacing w:after="0" w:line="122" w:lineRule="exact"/>
        <w:rPr>
          <w:rFonts w:ascii="Times New Roman" w:cs="Times New Roman" w:eastAsia="Times New Roman" w:hAnsi="Times New Roman"/>
          <w:sz w:val="22"/>
          <w:szCs w:val="22"/>
          <w:color w:val="auto"/>
        </w:rPr>
      </w:pPr>
    </w:p>
    <w:p>
      <w:pPr>
        <w:ind w:left="1020" w:right="580" w:hanging="503"/>
        <w:spacing w:after="0" w:line="223" w:lineRule="auto"/>
        <w:tabs>
          <w:tab w:leader="none" w:pos="1020" w:val="left"/>
        </w:tabs>
        <w:numPr>
          <w:ilvl w:val="0"/>
          <w:numId w:val="6"/>
        </w:numPr>
        <w:rPr>
          <w:rFonts w:ascii="Times New Roman" w:cs="Times New Roman" w:eastAsia="Times New Roman" w:hAnsi="Times New Roman"/>
          <w:sz w:val="22"/>
          <w:szCs w:val="22"/>
          <w:color w:val="auto"/>
        </w:rPr>
      </w:pPr>
      <w:r>
        <w:rPr>
          <w:rFonts w:ascii="Calibri" w:cs="Calibri" w:eastAsia="Calibri" w:hAnsi="Calibri"/>
          <w:sz w:val="22"/>
          <w:szCs w:val="22"/>
          <w:color w:val="auto"/>
        </w:rPr>
        <w:t>BRCA1/2 mutatons are present in approximately 15% of ovarian, 10% of breast, 5% of endometrial and 5% of pancreatc cancers, among others.</w:t>
      </w:r>
    </w:p>
    <w:p>
      <w:pPr>
        <w:spacing w:after="0" w:line="287" w:lineRule="exact"/>
        <w:rPr>
          <w:sz w:val="20"/>
          <w:szCs w:val="20"/>
          <w:color w:val="auto"/>
        </w:rPr>
      </w:pPr>
    </w:p>
    <w:p>
      <w:pPr>
        <w:spacing w:after="0"/>
        <w:rPr>
          <w:sz w:val="20"/>
          <w:szCs w:val="20"/>
          <w:color w:val="auto"/>
        </w:rPr>
      </w:pPr>
      <w:r>
        <w:rPr>
          <w:rFonts w:ascii="Calibri" w:cs="Calibri" w:eastAsia="Calibri" w:hAnsi="Calibri"/>
          <w:sz w:val="22"/>
          <w:szCs w:val="22"/>
          <w:b w:val="1"/>
          <w:bCs w:val="1"/>
          <w:u w:val="single" w:color="auto"/>
          <w:color w:val="auto"/>
        </w:rPr>
        <w:t>Leadership Update</w:t>
      </w:r>
    </w:p>
    <w:p>
      <w:pPr>
        <w:spacing w:after="0" w:line="309" w:lineRule="exact"/>
        <w:rPr>
          <w:sz w:val="20"/>
          <w:szCs w:val="20"/>
          <w:color w:val="auto"/>
        </w:rPr>
      </w:pPr>
    </w:p>
    <w:p>
      <w:pPr>
        <w:spacing w:after="0" w:line="246" w:lineRule="auto"/>
        <w:rPr>
          <w:sz w:val="20"/>
          <w:szCs w:val="20"/>
          <w:color w:val="auto"/>
        </w:rPr>
      </w:pPr>
      <w:r>
        <w:rPr>
          <w:rFonts w:ascii="Calibri" w:cs="Calibri" w:eastAsia="Calibri" w:hAnsi="Calibri"/>
          <w:sz w:val="22"/>
          <w:szCs w:val="22"/>
          <w:color w:val="auto"/>
        </w:rPr>
        <w:t>The Company strengthened its management team with the appointment of Aaron (Ron) Weitzman, M.D., F.A.C.P. as Chief Medical Ofcer. Dr. Weitzman brings more than 20 years of experience in the biopharmaceutcal industry. Dr. Weitzman has served as Vice President of Clinical Development at Exelixis, where he oversaw the global development of CABOMETYX</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7"/>
          <w:szCs w:val="17"/>
          <w:color w:val="auto"/>
        </w:rPr>
        <w:t>.</w:t>
      </w:r>
      <w:r>
        <w:rPr>
          <w:rFonts w:ascii="Calibri" w:cs="Calibri" w:eastAsia="Calibri" w:hAnsi="Calibri"/>
          <w:sz w:val="22"/>
          <w:szCs w:val="22"/>
          <w:color w:val="auto"/>
        </w:rPr>
        <w:t xml:space="preserve"> He also had senior clinical positons at Genentech, Novarts, and Eli Lilly and Company, where he played key roles in the development of AVASTIN</w:t>
      </w:r>
      <w:r>
        <w:rPr>
          <w:rFonts w:ascii="Times New Roman" w:cs="Times New Roman" w:eastAsia="Times New Roman" w:hAnsi="Times New Roman"/>
          <w:sz w:val="24"/>
          <w:szCs w:val="24"/>
          <w:color w:val="auto"/>
          <w:vertAlign w:val="superscript"/>
        </w:rPr>
        <w:t>®</w:t>
      </w:r>
      <w:r>
        <w:rPr>
          <w:rFonts w:ascii="Calibri" w:cs="Calibri" w:eastAsia="Calibri" w:hAnsi="Calibri"/>
          <w:sz w:val="22"/>
          <w:szCs w:val="22"/>
          <w:color w:val="auto"/>
        </w:rPr>
        <w:t xml:space="preserve"> and TASIGNA</w:t>
      </w:r>
      <w:r>
        <w:rPr>
          <w:rFonts w:ascii="Times New Roman" w:cs="Times New Roman" w:eastAsia="Times New Roman" w:hAnsi="Times New Roman"/>
          <w:sz w:val="24"/>
          <w:szCs w:val="24"/>
          <w:color w:val="auto"/>
          <w:vertAlign w:val="superscript"/>
        </w:rPr>
        <w:t>®</w:t>
      </w:r>
      <w:r>
        <w:rPr>
          <w:rFonts w:ascii="Calibri" w:cs="Calibri" w:eastAsia="Calibri" w:hAnsi="Calibri"/>
          <w:sz w:val="22"/>
          <w:szCs w:val="22"/>
          <w:color w:val="auto"/>
        </w:rPr>
        <w:t>. Dr. Weitzman obtained his M.D. from the Medical School at the University of Western Ontario, Canada. He completed his medical residency at Mount Sinai Medical Center and completed his clinical fellowship in Medical Oncology at Columbia-Presbyterian Medical Center in New York 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0" w:right="339" w:bottom="1440" w:gutter="0" w:footer="0" w:header="0"/>
        </w:sectPr>
      </w:pPr>
    </w:p>
    <w:bookmarkStart w:id="5" w:name="page6"/>
    <w:bookmarkEnd w:id="5"/>
    <w:p>
      <w:pPr>
        <w:spacing w:after="0"/>
        <w:rPr>
          <w:sz w:val="20"/>
          <w:szCs w:val="20"/>
          <w:color w:val="auto"/>
        </w:rPr>
      </w:pPr>
      <w:r>
        <w:rPr>
          <w:rFonts w:ascii="Calibri" w:cs="Calibri" w:eastAsia="Calibri" w:hAnsi="Calibri"/>
          <w:sz w:val="22"/>
          <w:szCs w:val="22"/>
          <w:b w:val="1"/>
          <w:bCs w:val="1"/>
          <w:u w:val="single" w:color="auto"/>
          <w:color w:val="auto"/>
        </w:rPr>
        <w:t>Scientfc Presentatons</w:t>
      </w:r>
    </w:p>
    <w:p>
      <w:pPr>
        <w:spacing w:after="0" w:line="316"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Society for Immunotherapy of Cancer (SITC) 37</w:t>
      </w:r>
      <w:r>
        <w:rPr>
          <w:rFonts w:ascii="Calibri" w:cs="Calibri" w:eastAsia="Calibri" w:hAnsi="Calibri"/>
          <w:sz w:val="28"/>
          <w:szCs w:val="28"/>
          <w:b w:val="1"/>
          <w:bCs w:val="1"/>
          <w:color w:val="auto"/>
          <w:vertAlign w:val="superscript"/>
        </w:rPr>
        <w:t>th</w:t>
      </w:r>
      <w:r>
        <w:rPr>
          <w:rFonts w:ascii="Calibri" w:cs="Calibri" w:eastAsia="Calibri" w:hAnsi="Calibri"/>
          <w:sz w:val="22"/>
          <w:szCs w:val="22"/>
          <w:b w:val="1"/>
          <w:bCs w:val="1"/>
          <w:color w:val="auto"/>
        </w:rPr>
        <w:t xml:space="preserve"> Annual Meetng, November 8-12, 2022, Boston, MA</w:t>
      </w:r>
    </w:p>
    <w:p>
      <w:pPr>
        <w:spacing w:after="0" w:line="56" w:lineRule="exact"/>
        <w:rPr>
          <w:sz w:val="20"/>
          <w:szCs w:val="20"/>
          <w:color w:val="auto"/>
        </w:rPr>
      </w:pPr>
    </w:p>
    <w:p>
      <w:pPr>
        <w:ind w:left="1020" w:right="240" w:hanging="503"/>
        <w:spacing w:after="0" w:line="223" w:lineRule="auto"/>
        <w:tabs>
          <w:tab w:leader="none" w:pos="1020" w:val="left"/>
        </w:tabs>
        <w:numPr>
          <w:ilvl w:val="0"/>
          <w:numId w:val="7"/>
        </w:numPr>
        <w:rPr>
          <w:rFonts w:ascii="Times New Roman" w:cs="Times New Roman" w:eastAsia="Times New Roman" w:hAnsi="Times New Roman"/>
          <w:sz w:val="22"/>
          <w:szCs w:val="22"/>
          <w:color w:val="auto"/>
        </w:rPr>
      </w:pPr>
      <w:r>
        <w:rPr>
          <w:rFonts w:ascii="Calibri" w:cs="Calibri" w:eastAsia="Calibri" w:hAnsi="Calibri"/>
          <w:sz w:val="22"/>
          <w:szCs w:val="22"/>
          <w:color w:val="auto"/>
        </w:rPr>
        <w:t>The Company presented four posters and disclosed the target of TNG260, a frst-in-class CoREST inhibitor for the treatment of STK11-mutant cancers. Preclinical data presented provide strong evidence that TNG260 reverses the immune evasion caused by STK11 mutatons, with the combinaton of TNG260 and α-PD1 driving complete tumor regressions in STK11-mutant syngeneic xenografs.</w:t>
      </w:r>
    </w:p>
    <w:p>
      <w:pPr>
        <w:spacing w:after="0" w:line="122" w:lineRule="exact"/>
        <w:rPr>
          <w:rFonts w:ascii="Times New Roman" w:cs="Times New Roman" w:eastAsia="Times New Roman" w:hAnsi="Times New Roman"/>
          <w:sz w:val="22"/>
          <w:szCs w:val="22"/>
          <w:color w:val="auto"/>
        </w:rPr>
      </w:pPr>
    </w:p>
    <w:p>
      <w:pPr>
        <w:ind w:left="1020" w:right="140" w:hanging="503"/>
        <w:spacing w:after="0" w:line="223" w:lineRule="auto"/>
        <w:tabs>
          <w:tab w:leader="none" w:pos="1020" w:val="left"/>
        </w:tabs>
        <w:numPr>
          <w:ilvl w:val="0"/>
          <w:numId w:val="7"/>
        </w:numPr>
        <w:rPr>
          <w:rFonts w:ascii="Times New Roman" w:cs="Times New Roman" w:eastAsia="Times New Roman" w:hAnsi="Times New Roman"/>
          <w:sz w:val="22"/>
          <w:szCs w:val="22"/>
          <w:color w:val="auto"/>
        </w:rPr>
      </w:pPr>
      <w:r>
        <w:rPr>
          <w:rFonts w:ascii="Calibri" w:cs="Calibri" w:eastAsia="Calibri" w:hAnsi="Calibri"/>
          <w:sz w:val="22"/>
          <w:szCs w:val="22"/>
          <w:color w:val="auto"/>
        </w:rPr>
        <w:t>Additonal posters highlighted the potental of the proprietary discovery platorm to identfy novel immune evasion targets for future development.</w:t>
      </w:r>
    </w:p>
    <w:p>
      <w:pPr>
        <w:spacing w:after="0" w:line="273"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AACR-NCI-EORTC Molecular Targets and Cancer Therapeutcs Symposium, October 26-28, 2022, Barcelona, Spain</w:t>
      </w:r>
    </w:p>
    <w:p>
      <w:pPr>
        <w:spacing w:after="0" w:line="147" w:lineRule="exact"/>
        <w:rPr>
          <w:sz w:val="20"/>
          <w:szCs w:val="20"/>
          <w:color w:val="auto"/>
        </w:rPr>
      </w:pPr>
    </w:p>
    <w:p>
      <w:pPr>
        <w:ind w:left="1020" w:right="660" w:hanging="503"/>
        <w:spacing w:after="0" w:line="223" w:lineRule="auto"/>
        <w:tabs>
          <w:tab w:leader="none" w:pos="1020" w:val="left"/>
        </w:tabs>
        <w:numPr>
          <w:ilvl w:val="0"/>
          <w:numId w:val="8"/>
        </w:numPr>
        <w:rPr>
          <w:rFonts w:ascii="Times New Roman" w:cs="Times New Roman" w:eastAsia="Times New Roman" w:hAnsi="Times New Roman"/>
          <w:sz w:val="22"/>
          <w:szCs w:val="22"/>
          <w:color w:val="auto"/>
        </w:rPr>
      </w:pPr>
      <w:r>
        <w:rPr>
          <w:rFonts w:ascii="Calibri" w:cs="Calibri" w:eastAsia="Calibri" w:hAnsi="Calibri"/>
          <w:sz w:val="22"/>
          <w:szCs w:val="22"/>
          <w:color w:val="auto"/>
        </w:rPr>
        <w:t>The Company presented three preclinical posters on PRMT5 inhibitors, TNG908 and TNG462, highlightng the potental of this program to address the high unmet need in MTAP-deleted cancers.</w:t>
      </w:r>
    </w:p>
    <w:p>
      <w:pPr>
        <w:spacing w:after="0" w:line="287" w:lineRule="exact"/>
        <w:rPr>
          <w:sz w:val="20"/>
          <w:szCs w:val="20"/>
          <w:color w:val="auto"/>
        </w:rPr>
      </w:pPr>
    </w:p>
    <w:p>
      <w:pPr>
        <w:spacing w:after="0"/>
        <w:rPr>
          <w:sz w:val="20"/>
          <w:szCs w:val="20"/>
          <w:color w:val="auto"/>
        </w:rPr>
      </w:pPr>
      <w:r>
        <w:rPr>
          <w:rFonts w:ascii="Calibri" w:cs="Calibri" w:eastAsia="Calibri" w:hAnsi="Calibri"/>
          <w:sz w:val="22"/>
          <w:szCs w:val="22"/>
          <w:b w:val="1"/>
          <w:bCs w:val="1"/>
          <w:u w:val="single" w:color="auto"/>
          <w:color w:val="auto"/>
        </w:rPr>
        <w:t>Upcoming Milestones</w:t>
      </w:r>
    </w:p>
    <w:p>
      <w:pPr>
        <w:spacing w:after="0" w:line="134" w:lineRule="exact"/>
        <w:rPr>
          <w:sz w:val="20"/>
          <w:szCs w:val="20"/>
          <w:color w:val="auto"/>
        </w:rPr>
      </w:pPr>
    </w:p>
    <w:p>
      <w:pPr>
        <w:ind w:left="1020" w:right="540" w:hanging="503"/>
        <w:spacing w:after="0" w:line="223" w:lineRule="auto"/>
        <w:tabs>
          <w:tab w:leader="none" w:pos="1020" w:val="left"/>
        </w:tabs>
        <w:numPr>
          <w:ilvl w:val="0"/>
          <w:numId w:val="9"/>
        </w:numPr>
        <w:rPr>
          <w:rFonts w:ascii="Times New Roman" w:cs="Times New Roman" w:eastAsia="Times New Roman" w:hAnsi="Times New Roman"/>
          <w:sz w:val="22"/>
          <w:szCs w:val="22"/>
          <w:color w:val="auto"/>
        </w:rPr>
      </w:pPr>
      <w:r>
        <w:rPr>
          <w:rFonts w:ascii="Calibri" w:cs="Calibri" w:eastAsia="Calibri" w:hAnsi="Calibri"/>
          <w:sz w:val="22"/>
          <w:szCs w:val="22"/>
          <w:color w:val="auto"/>
        </w:rPr>
        <w:t>Inital safety and efcacy data is expected from the Phase 1/2 clinical trial of TNG908, a synthetc lethal PRMT5 inhibitor, in patents with MTAP-deleted solid tumors during the frst half of 2023.</w:t>
      </w:r>
    </w:p>
    <w:p>
      <w:pPr>
        <w:spacing w:after="0" w:line="97" w:lineRule="exact"/>
        <w:rPr>
          <w:rFonts w:ascii="Times New Roman" w:cs="Times New Roman" w:eastAsia="Times New Roman" w:hAnsi="Times New Roman"/>
          <w:sz w:val="22"/>
          <w:szCs w:val="22"/>
          <w:color w:val="auto"/>
        </w:rPr>
      </w:pPr>
    </w:p>
    <w:p>
      <w:pPr>
        <w:ind w:left="1020" w:hanging="503"/>
        <w:spacing w:after="0"/>
        <w:tabs>
          <w:tab w:leader="none" w:pos="1020" w:val="left"/>
        </w:tabs>
        <w:numPr>
          <w:ilvl w:val="0"/>
          <w:numId w:val="9"/>
        </w:numPr>
        <w:rPr>
          <w:rFonts w:ascii="Times New Roman" w:cs="Times New Roman" w:eastAsia="Times New Roman" w:hAnsi="Times New Roman"/>
          <w:sz w:val="22"/>
          <w:szCs w:val="22"/>
          <w:color w:val="auto"/>
        </w:rPr>
      </w:pPr>
      <w:r>
        <w:rPr>
          <w:rFonts w:ascii="Calibri" w:cs="Calibri" w:eastAsia="Calibri" w:hAnsi="Calibri"/>
          <w:sz w:val="22"/>
          <w:szCs w:val="22"/>
          <w:color w:val="auto"/>
        </w:rPr>
        <w:t>The IND fling for TNG462, a next-generaton MTA-cooperatve PRMT5 inhibitor, is on track for the frst half of 2023.</w:t>
      </w:r>
    </w:p>
    <w:p>
      <w:pPr>
        <w:spacing w:after="0" w:line="107" w:lineRule="exact"/>
        <w:rPr>
          <w:rFonts w:ascii="Times New Roman" w:cs="Times New Roman" w:eastAsia="Times New Roman" w:hAnsi="Times New Roman"/>
          <w:sz w:val="22"/>
          <w:szCs w:val="22"/>
          <w:color w:val="auto"/>
        </w:rPr>
      </w:pPr>
    </w:p>
    <w:p>
      <w:pPr>
        <w:ind w:left="1020" w:hanging="503"/>
        <w:spacing w:after="0"/>
        <w:tabs>
          <w:tab w:leader="none" w:pos="1020" w:val="left"/>
        </w:tabs>
        <w:numPr>
          <w:ilvl w:val="0"/>
          <w:numId w:val="9"/>
        </w:numPr>
        <w:rPr>
          <w:rFonts w:ascii="Times New Roman" w:cs="Times New Roman" w:eastAsia="Times New Roman" w:hAnsi="Times New Roman"/>
          <w:sz w:val="22"/>
          <w:szCs w:val="22"/>
          <w:color w:val="auto"/>
        </w:rPr>
      </w:pPr>
      <w:r>
        <w:rPr>
          <w:rFonts w:ascii="Calibri" w:cs="Calibri" w:eastAsia="Calibri" w:hAnsi="Calibri"/>
          <w:sz w:val="22"/>
          <w:szCs w:val="22"/>
          <w:color w:val="auto"/>
        </w:rPr>
        <w:t>The IND fling for TNG260, a frst-in-class CoREST inhibitor, is on track for the frst half of 2023.</w:t>
      </w:r>
    </w:p>
    <w:p>
      <w:pPr>
        <w:spacing w:after="0" w:line="108" w:lineRule="exact"/>
        <w:rPr>
          <w:rFonts w:ascii="Times New Roman" w:cs="Times New Roman" w:eastAsia="Times New Roman" w:hAnsi="Times New Roman"/>
          <w:sz w:val="22"/>
          <w:szCs w:val="22"/>
          <w:color w:val="auto"/>
        </w:rPr>
      </w:pPr>
    </w:p>
    <w:p>
      <w:pPr>
        <w:ind w:left="1020" w:hanging="503"/>
        <w:spacing w:after="0" w:line="229" w:lineRule="auto"/>
        <w:tabs>
          <w:tab w:leader="none" w:pos="1020" w:val="left"/>
        </w:tabs>
        <w:numPr>
          <w:ilvl w:val="0"/>
          <w:numId w:val="9"/>
        </w:numPr>
        <w:rPr>
          <w:rFonts w:ascii="Times New Roman" w:cs="Times New Roman" w:eastAsia="Times New Roman" w:hAnsi="Times New Roman"/>
          <w:sz w:val="22"/>
          <w:szCs w:val="22"/>
          <w:color w:val="auto"/>
        </w:rPr>
      </w:pPr>
      <w:r>
        <w:rPr>
          <w:rFonts w:ascii="Calibri" w:cs="Calibri" w:eastAsia="Calibri" w:hAnsi="Calibri"/>
          <w:sz w:val="22"/>
          <w:szCs w:val="22"/>
          <w:color w:val="auto"/>
        </w:rPr>
        <w:t>The IND fling for TNG348, a novel USP1 inhibitor that is being developed for treatment of BRCA1 and BRCA2-mutant cancers, is on track for 2023.</w:t>
      </w:r>
    </w:p>
    <w:p>
      <w:pPr>
        <w:spacing w:after="0" w:line="177"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Financial Results</w:t>
      </w:r>
    </w:p>
    <w:p>
      <w:pPr>
        <w:spacing w:after="0" w:line="203" w:lineRule="exact"/>
        <w:rPr>
          <w:sz w:val="20"/>
          <w:szCs w:val="20"/>
          <w:color w:val="auto"/>
        </w:rPr>
      </w:pPr>
    </w:p>
    <w:p>
      <w:pPr>
        <w:ind w:right="480"/>
        <w:spacing w:after="0" w:line="223" w:lineRule="auto"/>
        <w:rPr>
          <w:sz w:val="20"/>
          <w:szCs w:val="20"/>
          <w:color w:val="auto"/>
        </w:rPr>
      </w:pPr>
      <w:r>
        <w:rPr>
          <w:rFonts w:ascii="Calibri" w:cs="Calibri" w:eastAsia="Calibri" w:hAnsi="Calibri"/>
          <w:sz w:val="22"/>
          <w:szCs w:val="22"/>
          <w:color w:val="auto"/>
        </w:rPr>
        <w:t>As of September 30, 2022, the Company held $393.3 million in cash, cash equivalents and marketable securites, which the Company believes to be sufcient to fund operatons into 2025.</w:t>
      </w:r>
    </w:p>
    <w:p>
      <w:pPr>
        <w:spacing w:after="0" w:line="203" w:lineRule="exact"/>
        <w:rPr>
          <w:sz w:val="20"/>
          <w:szCs w:val="20"/>
          <w:color w:val="auto"/>
        </w:rPr>
      </w:pPr>
    </w:p>
    <w:p>
      <w:pPr>
        <w:ind w:right="40"/>
        <w:spacing w:after="0" w:line="225" w:lineRule="auto"/>
        <w:rPr>
          <w:sz w:val="20"/>
          <w:szCs w:val="20"/>
          <w:color w:val="auto"/>
        </w:rPr>
      </w:pPr>
      <w:r>
        <w:rPr>
          <w:rFonts w:ascii="Calibri" w:cs="Calibri" w:eastAsia="Calibri" w:hAnsi="Calibri"/>
          <w:sz w:val="22"/>
          <w:szCs w:val="22"/>
          <w:color w:val="auto"/>
        </w:rPr>
        <w:t>Collaboraton revenue was $6.9 million for the three months ended September 30, 2022, compared to $6.8 million for the same period in 2021, and $18.4 million for the nine months ended September 30, 2022 compared to $20.3 million for the same period in 2021.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00" w:right="359" w:bottom="1440" w:gutter="0" w:footer="0" w:header="0"/>
        </w:sectPr>
      </w:pPr>
    </w:p>
    <w:bookmarkStart w:id="6" w:name="page7"/>
    <w:bookmarkEnd w:id="6"/>
    <w:p>
      <w:pPr>
        <w:ind w:right="240"/>
        <w:spacing w:after="0" w:line="229" w:lineRule="auto"/>
        <w:rPr>
          <w:sz w:val="20"/>
          <w:szCs w:val="20"/>
          <w:color w:val="auto"/>
        </w:rPr>
      </w:pPr>
      <w:r>
        <w:rPr>
          <w:rFonts w:ascii="Calibri" w:cs="Calibri" w:eastAsia="Calibri" w:hAnsi="Calibri"/>
          <w:sz w:val="22"/>
          <w:szCs w:val="22"/>
          <w:color w:val="auto"/>
        </w:rPr>
        <w:t>year-to-date decrease was due to lower research costs incurred under the Gilead collaboraton during the nine months ended September 30, 2022 resultng in lower collaboraton revenue recognized.</w:t>
      </w:r>
    </w:p>
    <w:p>
      <w:pPr>
        <w:spacing w:after="0" w:line="190" w:lineRule="exact"/>
        <w:rPr>
          <w:sz w:val="20"/>
          <w:szCs w:val="20"/>
          <w:color w:val="auto"/>
        </w:rPr>
      </w:pPr>
    </w:p>
    <w:p>
      <w:pPr>
        <w:spacing w:after="0" w:line="226" w:lineRule="auto"/>
        <w:rPr>
          <w:sz w:val="20"/>
          <w:szCs w:val="20"/>
          <w:color w:val="auto"/>
        </w:rPr>
      </w:pPr>
      <w:r>
        <w:rPr>
          <w:rFonts w:ascii="Calibri" w:cs="Calibri" w:eastAsia="Calibri" w:hAnsi="Calibri"/>
          <w:sz w:val="22"/>
          <w:szCs w:val="22"/>
          <w:color w:val="auto"/>
        </w:rPr>
        <w:t>There was no license revenue for the three and nine months ended September 30, 2022, compared to $0.0 and $11.0 million for the three and nine months ended September 30, 2021, respectvely. The $11.0 million of license revenue recognized during the nine months ended September 30, 2021 is the direct result of Gilead licensing a program for $11.0 million during the second quarter of 2021.</w:t>
      </w:r>
    </w:p>
    <w:p>
      <w:pPr>
        <w:spacing w:after="0" w:line="190" w:lineRule="exact"/>
        <w:rPr>
          <w:sz w:val="20"/>
          <w:szCs w:val="20"/>
          <w:color w:val="auto"/>
        </w:rPr>
      </w:pPr>
    </w:p>
    <w:p>
      <w:pPr>
        <w:ind w:right="80"/>
        <w:spacing w:after="0" w:line="223" w:lineRule="auto"/>
        <w:rPr>
          <w:sz w:val="20"/>
          <w:szCs w:val="20"/>
          <w:color w:val="auto"/>
        </w:rPr>
      </w:pPr>
      <w:r>
        <w:rPr>
          <w:rFonts w:ascii="Calibri" w:cs="Calibri" w:eastAsia="Calibri" w:hAnsi="Calibri"/>
          <w:sz w:val="22"/>
          <w:szCs w:val="22"/>
          <w:color w:val="auto"/>
        </w:rPr>
        <w:t>Research and development expenses were $28.7 million for the three months ended September 30, 2022, compared to $21.9 million for the same period in 2021, and $76.8 million for the nine months ended September 30, 2022 compared to $56.0 million for the same period in 2021. The change is primarily due to increased spend relatng to the advancement of the TNG462 and TNG260 programs and personnel-related costs.</w:t>
      </w:r>
    </w:p>
    <w:p>
      <w:pPr>
        <w:spacing w:after="0" w:line="203" w:lineRule="exact"/>
        <w:rPr>
          <w:sz w:val="20"/>
          <w:szCs w:val="20"/>
          <w:color w:val="auto"/>
        </w:rPr>
      </w:pPr>
    </w:p>
    <w:p>
      <w:pPr>
        <w:ind w:right="480"/>
        <w:spacing w:after="0" w:line="225" w:lineRule="auto"/>
        <w:rPr>
          <w:sz w:val="20"/>
          <w:szCs w:val="20"/>
          <w:color w:val="auto"/>
        </w:rPr>
      </w:pPr>
      <w:r>
        <w:rPr>
          <w:rFonts w:ascii="Calibri" w:cs="Calibri" w:eastAsia="Calibri" w:hAnsi="Calibri"/>
          <w:sz w:val="22"/>
          <w:szCs w:val="22"/>
          <w:color w:val="auto"/>
        </w:rPr>
        <w:t>General and administratve expenses were $8.1 million for the three months ended September 30, 2022, compared to $4.4 million for the same period in 2021, and $22.1 million for the nine months ended September 30, 2022 compared to $11.5 million for the same period in 2021. The change was primarily due to increases in personnel-related costs.</w:t>
      </w:r>
    </w:p>
    <w:p>
      <w:pPr>
        <w:spacing w:after="0" w:line="203" w:lineRule="exact"/>
        <w:rPr>
          <w:sz w:val="20"/>
          <w:szCs w:val="20"/>
          <w:color w:val="auto"/>
        </w:rPr>
      </w:pPr>
    </w:p>
    <w:p>
      <w:pPr>
        <w:ind w:right="80"/>
        <w:spacing w:after="0" w:line="221" w:lineRule="auto"/>
        <w:rPr>
          <w:sz w:val="20"/>
          <w:szCs w:val="20"/>
          <w:color w:val="auto"/>
        </w:rPr>
      </w:pPr>
      <w:r>
        <w:rPr>
          <w:rFonts w:ascii="Calibri" w:cs="Calibri" w:eastAsia="Calibri" w:hAnsi="Calibri"/>
          <w:sz w:val="22"/>
          <w:szCs w:val="22"/>
          <w:color w:val="auto"/>
        </w:rPr>
        <w:t>Net loss for the three months ended September 30, 2022 was $29.1 million, or $0.33 per share, compared to a net loss of $19.6 million, or $0.28 per share, in the same period in 2021. Net loss for the nine months ended September 30, 2022 was $79.1 million, or $0.90 per share, compared to a net loss of $36.2 million, or $0.68 per share, in the same period in 2021.</w:t>
      </w:r>
    </w:p>
    <w:p>
      <w:pPr>
        <w:spacing w:after="0" w:line="206"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About Tango Therapeutcs</w:t>
      </w:r>
    </w:p>
    <w:p>
      <w:pPr>
        <w:spacing w:after="0" w:line="309" w:lineRule="exact"/>
        <w:rPr>
          <w:sz w:val="20"/>
          <w:szCs w:val="20"/>
          <w:color w:val="auto"/>
        </w:rPr>
      </w:pPr>
    </w:p>
    <w:p>
      <w:pPr>
        <w:spacing w:after="0" w:line="268" w:lineRule="auto"/>
        <w:rPr>
          <w:sz w:val="20"/>
          <w:szCs w:val="20"/>
          <w:color w:val="auto"/>
        </w:rPr>
      </w:pPr>
      <w:r>
        <w:rPr>
          <w:rFonts w:ascii="Calibri" w:cs="Calibri" w:eastAsia="Calibri" w:hAnsi="Calibri"/>
          <w:sz w:val="21"/>
          <w:szCs w:val="21"/>
          <w:color w:val="auto"/>
        </w:rPr>
        <w:t>Tango Therapeutcs is a clinical-stage biotechnology company dedicated to discovering novel drug targets and delivering the next generaton of precision medicine for the treatment of cancer. Using an approach that starts and ends with patents, Tango leverages the genetc principle of synthetc lethality to discover and develop therapies that take aim at critcal targets in cancer. This includes expanding the universe of precision oncology targets into novel areas such as tumor suppressor gene loss and their contributon to the ability of cancer cells to evade immune cell killing. For more informaton, please visit www.tangotx.com.</w:t>
      </w:r>
    </w:p>
    <w:p>
      <w:pPr>
        <w:spacing w:after="0" w:line="273"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Forward-Looking Statements</w:t>
      </w:r>
    </w:p>
    <w:p>
      <w:pPr>
        <w:spacing w:after="0" w:line="322" w:lineRule="exact"/>
        <w:rPr>
          <w:sz w:val="20"/>
          <w:szCs w:val="20"/>
          <w:color w:val="auto"/>
        </w:rPr>
      </w:pPr>
    </w:p>
    <w:p>
      <w:pPr>
        <w:jc w:val="both"/>
        <w:ind w:right="160"/>
        <w:spacing w:after="0" w:line="248" w:lineRule="auto"/>
        <w:rPr>
          <w:sz w:val="20"/>
          <w:szCs w:val="20"/>
          <w:color w:val="auto"/>
        </w:rPr>
      </w:pPr>
      <w:r>
        <w:rPr>
          <w:rFonts w:ascii="Calibri" w:cs="Calibri" w:eastAsia="Calibri" w:hAnsi="Calibri"/>
          <w:sz w:val="22"/>
          <w:szCs w:val="22"/>
          <w:color w:val="auto"/>
        </w:rPr>
        <w:t>Certain statements in this press release may be considered forward-looking statements. Forward-looking statements generally relate to future events, Tango’s future operatng performance and goals, the antcipated benefts of therapies and combinaton therapies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205105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7" w:name="page8"/>
    <w:bookmarkEnd w:id="7"/>
    <w:p>
      <w:pPr>
        <w:spacing w:after="0" w:line="255" w:lineRule="auto"/>
        <w:rPr>
          <w:sz w:val="20"/>
          <w:szCs w:val="20"/>
          <w:color w:val="auto"/>
        </w:rPr>
      </w:pPr>
      <w:r>
        <w:rPr>
          <w:rFonts w:ascii="Calibri" w:cs="Calibri" w:eastAsia="Calibri" w:hAnsi="Calibri"/>
          <w:sz w:val="22"/>
          <w:szCs w:val="22"/>
          <w:color w:val="auto"/>
        </w:rPr>
        <w:t>include a Tango pipeline product), expectatons, beliefs and development objectves for Tango’s product pipeline and clinical trials. In some cases, you can identfy forward-looking statements by terminology such as “may”, “should”, “expect”, “intend”, “will”, “goal”, “estmate”, “antcipate”, “believe”, “predict”, “potental” or “contnue”, or the negatves of these terms or variatons of them or similar terminology. For example, statements concerning the following include or consttute forward-looking statements: the Company believes its cash, cash equivalents and marketable securites are sufcient to fund operatons into 2025; the Company expects to have inital safety and efcacy data in connecton with the TNG908 Phase 1/2 clinical trial in the 1H 2023; TNG260 is a frst-in-class, CoREST inhibitor that has reversed ant-PD1 resistance driven by STK11 mutatons in preclinical models; the Company plans to fle INDs for TNG462 and TNG260 in the frst half of 2023; the Company expects to fle an IND for TNG348 in 2023; the Company has the opportunity to potentally expand the benefts of precision oncology to additonal genetcally defned cancers, such as lung cancer and glioblastoma, where a signifcant need for new optons remains; the potental of the Company’s proprietary discovery platorm to identfy synthetc lethal targets for future development; the potental of the Company’s PRMT5 therapies to address the high unmet need in MTAP-deleted cancers; the indicatons expected to be included in Company clinical trials; the potental applicability of synthetc lethal drugs targetng across a range of cancer types; the expected benefts of the Company's development candidates and other product candidates; and the expected tming of: (i) development candidate declaraton for certain targets, (ii) initatng IND-enabling studies; (iii) fling INDs; (iv) clinical trial initaton and (v) disclosing inital and fnal clinical trial results. Such forward-looking statements are subject to risks, uncertaintes, and other factors which could cause actual results to difer materially from those expressed or implied by such forward looking statements. These forward-looking statements are based upon estmates and assumptons that, while considered reasonable by Tango and its management, are inherently uncertain. New risks and uncertaintes may emerge from tme to tme, and it is not possible to predict all risks and uncertaintes. Factors that may cause actual results to difer materially from current expectatons include, but are not limited to: Tango has limited experience conductng clinical trials (and will rely on a third party to operate its clinical trials) and may not be able to commence the clinical trial (including opening clinical trial sites and enrolling and dosing an adequate number of clinical trial partcipants) when expected and may not generate results (including fnal or inital safety and efcacy data) in the antcipated tmeframe (or at all); benefts of product candidates seen in preclinical analyses may not be evident when tested in clinical trials or when used in broader patent populatons (if approved for commercial sale); the benefts of Tango pipeline products, development candidates and potental combinaton therapies that are seen in pre-clinical experiments may not be present in clinical trials or in use commercially or may not be safe and/or efectve in humans; Tango has a limited operatng history and has not generated any revenue to date from product sales, and may never become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7" w:right="339" w:bottom="1440" w:gutter="0" w:footer="0" w:header="0"/>
        </w:sectPr>
      </w:pPr>
    </w:p>
    <w:bookmarkStart w:id="8" w:name="page9"/>
    <w:bookmarkEnd w:id="8"/>
    <w:p>
      <w:pPr>
        <w:spacing w:after="0" w:line="267" w:lineRule="auto"/>
        <w:rPr>
          <w:sz w:val="20"/>
          <w:szCs w:val="20"/>
          <w:color w:val="auto"/>
        </w:rPr>
      </w:pPr>
      <w:r>
        <w:rPr>
          <w:rFonts w:ascii="Calibri" w:cs="Calibri" w:eastAsia="Calibri" w:hAnsi="Calibri"/>
          <w:sz w:val="21"/>
          <w:szCs w:val="21"/>
          <w:color w:val="auto"/>
        </w:rPr>
        <w:t>proftable; other companies may be able to identfy and develop product candidates more quickly than the Company and commercially introduce the product prior to the Company; the Company’s proprietary discovery platorm is novel and may not identfy any synthetc lethal targets for future development; the Company may not be able to identfy development candidates on the schedule it antcipates due to technical, fnancial or other reasons; the Company may not be able to fle INDs for development candidates on tme, or at all, due to technical or fnancial reasons or otherwise; the Company may utlize cash resources more quickly than antcipated; Tango will need to raise capital in the future and if we are unable to raise capital when needed or on atractve terms, we would be forced to delay, scale back or discontnue some of our development programs or future commercializaton eforts; we may be unable to advance our preclinical development programs into and through the clinic for safety or efcacy reasons or commercialize our product candidates or we may experience signifcant delays in doing so as a result of factors beyond Tango’s control; the Company may not be able to realize the benefts of fast track designaton (and such designaton may not advance any antcipated approval tmelines); Tango’s approach to the discovery and development of product candidates is novel and unproven, which makes it difcult to predict the tme, cost of development, and likelihood of successfully developing any products; Tango may not identfy or discover additonal product candidates or may expend limited resources to pursue a partcular product candidate or indicaton and fail to capitalize on product candidates or indicatons that may be more proftable or for which there is a greater likelihood of success; our products candidates may cause adverse or other undesirable side efects (or may not show requisite efcacy) that could, among other things, delay or prevent regulatory approval; our dependence on third partes for conductng clinical trials and producing drug product; our ability to obtain and maintain patent and other intellectual property protecton for our technology and product candidates or the scope of intellectual property protecton obtained is not sufciently broad; and delays and other impacts on product development and clinical trials from the COVID-19 pandemic. Additonal informaton concerning risks, uncertaintes and assumptons can be found in Tango’s flings with the SEC, including the risk factors referenced in Tango’s Annual Report on Form 10-K for the fscal year ended December 31, 2021, as supplemented and/or modifed by its most recent Quarterly Report on Form 10-Q. You should not place undue reliance on forward-looking statements in this presentaton, which speak only as of the date they are made and are qualifed in their entrety by reference to the cautonary statements herein. Tango specifcally disclaims any duty to update these forward-looking statements.</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Investor Contact:</w:t>
      </w:r>
    </w:p>
    <w:p>
      <w:pPr>
        <w:spacing w:after="0" w:line="218" w:lineRule="auto"/>
        <w:rPr>
          <w:sz w:val="20"/>
          <w:szCs w:val="20"/>
          <w:color w:val="auto"/>
        </w:rPr>
      </w:pPr>
      <w:r>
        <w:rPr>
          <w:rFonts w:ascii="Calibri" w:cs="Calibri" w:eastAsia="Calibri" w:hAnsi="Calibri"/>
          <w:sz w:val="22"/>
          <w:szCs w:val="22"/>
          <w:color w:val="auto"/>
        </w:rPr>
        <w:t>Sam Martn/Andrew Vulis</w:t>
      </w:r>
    </w:p>
    <w:p>
      <w:pPr>
        <w:spacing w:after="0" w:line="218" w:lineRule="auto"/>
        <w:rPr>
          <w:sz w:val="20"/>
          <w:szCs w:val="20"/>
          <w:color w:val="auto"/>
        </w:rPr>
      </w:pPr>
      <w:r>
        <w:rPr>
          <w:rFonts w:ascii="Calibri" w:cs="Calibri" w:eastAsia="Calibri" w:hAnsi="Calibri"/>
          <w:sz w:val="22"/>
          <w:szCs w:val="22"/>
          <w:color w:val="auto"/>
        </w:rPr>
        <w:t>Argot Partners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tango@argotpartners.com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27" w:right="419" w:bottom="1440" w:gutter="0" w:footer="0" w:header="0"/>
        </w:sectPr>
      </w:pPr>
    </w:p>
    <w:bookmarkStart w:id="9" w:name="page10"/>
    <w:bookmarkEnd w:id="9"/>
    <w:p>
      <w:pPr>
        <w:spacing w:after="0"/>
        <w:rPr>
          <w:sz w:val="20"/>
          <w:szCs w:val="20"/>
          <w:color w:val="auto"/>
        </w:rPr>
      </w:pPr>
      <w:r>
        <w:rPr>
          <w:rFonts w:ascii="Calibri" w:cs="Calibri" w:eastAsia="Calibri" w:hAnsi="Calibri"/>
          <w:sz w:val="22"/>
          <w:szCs w:val="22"/>
          <w:b w:val="1"/>
          <w:bCs w:val="1"/>
          <w:color w:val="auto"/>
        </w:rPr>
        <w:t>Media Contact:</w:t>
      </w:r>
    </w:p>
    <w:p>
      <w:pPr>
        <w:spacing w:after="0" w:line="217" w:lineRule="auto"/>
        <w:rPr>
          <w:sz w:val="20"/>
          <w:szCs w:val="20"/>
          <w:color w:val="auto"/>
        </w:rPr>
      </w:pPr>
      <w:r>
        <w:rPr>
          <w:rFonts w:ascii="Calibri" w:cs="Calibri" w:eastAsia="Calibri" w:hAnsi="Calibri"/>
          <w:sz w:val="22"/>
          <w:szCs w:val="22"/>
          <w:color w:val="auto"/>
        </w:rPr>
        <w:t>Joshua R. Mansbach</w:t>
      </w:r>
    </w:p>
    <w:p>
      <w:pPr>
        <w:spacing w:after="0" w:line="217" w:lineRule="auto"/>
        <w:rPr>
          <w:sz w:val="20"/>
          <w:szCs w:val="20"/>
          <w:color w:val="auto"/>
        </w:rPr>
      </w:pPr>
      <w:r>
        <w:rPr>
          <w:rFonts w:ascii="Calibri" w:cs="Calibri" w:eastAsia="Calibri" w:hAnsi="Calibri"/>
          <w:sz w:val="22"/>
          <w:szCs w:val="22"/>
          <w:color w:val="auto"/>
        </w:rPr>
        <w:t>Argot Partners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tango@argotpartners.com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351790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519" w:right="1440" w:bottom="1440" w:gutter="0" w:footer="0" w:header="0"/>
        </w:sectPr>
      </w:pPr>
    </w:p>
    <w:bookmarkStart w:id="10" w:name="page11"/>
    <w:bookmarkEnd w:id="10"/>
    <w:p>
      <w:pPr>
        <w:jc w:val="center"/>
        <w:spacing w:after="0"/>
        <w:rPr>
          <w:sz w:val="20"/>
          <w:szCs w:val="20"/>
          <w:color w:val="auto"/>
        </w:rPr>
      </w:pPr>
      <w:r>
        <w:rPr>
          <w:rFonts w:ascii="Calibri" w:cs="Calibri" w:eastAsia="Calibri" w:hAnsi="Calibri"/>
          <w:sz w:val="22"/>
          <w:szCs w:val="22"/>
          <w:b w:val="1"/>
          <w:bCs w:val="1"/>
          <w:color w:val="auto"/>
        </w:rPr>
        <w:t>Consolidated Statements of Operatons</w:t>
      </w:r>
    </w:p>
    <w:p>
      <w:pPr>
        <w:jc w:val="center"/>
        <w:spacing w:after="0" w:line="215" w:lineRule="auto"/>
        <w:rPr>
          <w:sz w:val="20"/>
          <w:szCs w:val="20"/>
          <w:color w:val="auto"/>
        </w:rPr>
      </w:pPr>
      <w:r>
        <w:rPr>
          <w:rFonts w:ascii="Calibri" w:cs="Calibri" w:eastAsia="Calibri" w:hAnsi="Calibri"/>
          <w:sz w:val="22"/>
          <w:szCs w:val="22"/>
          <w:b w:val="1"/>
          <w:bCs w:val="1"/>
          <w:color w:val="auto"/>
        </w:rPr>
        <w:t>(In thousands, except share and per share data)</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760" w:type="dxa"/>
            <w:vAlign w:val="bottom"/>
            <w:gridSpan w:val="5"/>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60" w:type="dxa"/>
            <w:vAlign w:val="bottom"/>
          </w:tcPr>
          <w:p>
            <w:pPr>
              <w:spacing w:after="0"/>
              <w:rPr>
                <w:sz w:val="16"/>
                <w:szCs w:val="16"/>
                <w:color w:val="auto"/>
              </w:rPr>
            </w:pPr>
          </w:p>
        </w:tc>
        <w:tc>
          <w:tcPr>
            <w:tcW w:w="2520" w:type="dxa"/>
            <w:vAlign w:val="bottom"/>
            <w:gridSpan w:val="5"/>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09"/>
        </w:trPr>
        <w:tc>
          <w:tcPr>
            <w:tcW w:w="56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8"/>
                <w:szCs w:val="18"/>
                <w:color w:val="auto"/>
              </w:rPr>
            </w:pPr>
          </w:p>
        </w:tc>
      </w:tr>
      <w:tr>
        <w:trPr>
          <w:trHeight w:val="210"/>
        </w:trPr>
        <w:tc>
          <w:tcPr>
            <w:tcW w:w="5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Collaboration revenue</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6,920</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6,787</w:t>
            </w: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18,449</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20,326</w:t>
            </w:r>
          </w:p>
        </w:tc>
        <w:tc>
          <w:tcPr>
            <w:tcW w:w="100" w:type="dxa"/>
            <w:vAlign w:val="bottom"/>
            <w:shd w:val="clear" w:color="auto" w:fill="CFF0FC"/>
          </w:tcPr>
          <w:p>
            <w:pPr>
              <w:spacing w:after="0"/>
              <w:rPr>
                <w:sz w:val="18"/>
                <w:szCs w:val="18"/>
                <w:color w:val="auto"/>
              </w:rPr>
            </w:pPr>
          </w:p>
        </w:tc>
      </w:tr>
      <w:tr>
        <w:trPr>
          <w:trHeight w:val="216"/>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License revenue</w:t>
            </w: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11,000</w:t>
            </w:r>
          </w:p>
        </w:tc>
        <w:tc>
          <w:tcPr>
            <w:tcW w:w="100" w:type="dxa"/>
            <w:vAlign w:val="bottom"/>
          </w:tcPr>
          <w:p>
            <w:pPr>
              <w:spacing w:after="0"/>
              <w:rPr>
                <w:sz w:val="18"/>
                <w:szCs w:val="18"/>
                <w:color w:val="auto"/>
              </w:rPr>
            </w:pPr>
          </w:p>
        </w:tc>
      </w:tr>
      <w:tr>
        <w:trPr>
          <w:trHeight w:val="209"/>
        </w:trPr>
        <w:tc>
          <w:tcPr>
            <w:tcW w:w="56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revenue</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6,920</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6,787</w:t>
            </w:r>
          </w:p>
        </w:tc>
        <w:tc>
          <w:tcPr>
            <w:tcW w:w="3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18,449</w:t>
            </w:r>
          </w:p>
        </w:tc>
        <w:tc>
          <w:tcPr>
            <w:tcW w:w="2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31,326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28,744</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21,923</w:t>
            </w: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76,815</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56,002</w:t>
            </w:r>
          </w:p>
        </w:tc>
        <w:tc>
          <w:tcPr>
            <w:tcW w:w="100" w:type="dxa"/>
            <w:vAlign w:val="bottom"/>
            <w:shd w:val="clear" w:color="auto" w:fill="CFF0FC"/>
          </w:tcPr>
          <w:p>
            <w:pPr>
              <w:spacing w:after="0"/>
              <w:rPr>
                <w:sz w:val="18"/>
                <w:szCs w:val="18"/>
                <w:color w:val="auto"/>
              </w:rPr>
            </w:pPr>
          </w:p>
        </w:tc>
      </w:tr>
      <w:tr>
        <w:trPr>
          <w:trHeight w:val="216"/>
        </w:trPr>
        <w:tc>
          <w:tcPr>
            <w:tcW w:w="5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8,099</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4,433</w:t>
            </w:r>
          </w:p>
        </w:tc>
        <w:tc>
          <w:tcPr>
            <w:tcW w:w="3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22,138</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11,530</w:t>
            </w:r>
          </w:p>
        </w:tc>
        <w:tc>
          <w:tcPr>
            <w:tcW w:w="100" w:type="dxa"/>
            <w:vAlign w:val="bottom"/>
          </w:tcPr>
          <w:p>
            <w:pPr>
              <w:spacing w:after="0"/>
              <w:rPr>
                <w:sz w:val="18"/>
                <w:szCs w:val="18"/>
                <w:color w:val="auto"/>
              </w:rPr>
            </w:pPr>
          </w:p>
        </w:tc>
      </w:tr>
      <w:tr>
        <w:trPr>
          <w:trHeight w:val="209"/>
        </w:trPr>
        <w:tc>
          <w:tcPr>
            <w:tcW w:w="56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36,843</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26,356</w:t>
            </w:r>
          </w:p>
        </w:tc>
        <w:tc>
          <w:tcPr>
            <w:tcW w:w="3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98,953</w:t>
            </w:r>
          </w:p>
        </w:tc>
        <w:tc>
          <w:tcPr>
            <w:tcW w:w="2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67,532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40" w:type="dxa"/>
            <w:vAlign w:val="bottom"/>
          </w:tcPr>
          <w:p>
            <w:pPr>
              <w:spacing w:after="0"/>
              <w:rPr>
                <w:sz w:val="18"/>
                <w:szCs w:val="18"/>
                <w:color w:val="auto"/>
              </w:rPr>
            </w:pPr>
          </w:p>
        </w:tc>
        <w:tc>
          <w:tcPr>
            <w:tcW w:w="12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(29,923 )</w:t>
            </w:r>
          </w:p>
        </w:tc>
        <w:tc>
          <w:tcPr>
            <w:tcW w:w="240" w:type="dxa"/>
            <w:vAlign w:val="bottom"/>
          </w:tcPr>
          <w:p>
            <w:pPr>
              <w:spacing w:after="0"/>
              <w:rPr>
                <w:sz w:val="18"/>
                <w:szCs w:val="18"/>
                <w:color w:val="auto"/>
              </w:rPr>
            </w:pPr>
          </w:p>
        </w:tc>
        <w:tc>
          <w:tcPr>
            <w:tcW w:w="12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(19,569 )</w:t>
            </w:r>
          </w:p>
        </w:tc>
        <w:tc>
          <w:tcPr>
            <w:tcW w:w="160" w:type="dxa"/>
            <w:vAlign w:val="bottom"/>
          </w:tcPr>
          <w:p>
            <w:pPr>
              <w:spacing w:after="0"/>
              <w:rPr>
                <w:sz w:val="18"/>
                <w:szCs w:val="18"/>
                <w:color w:val="auto"/>
              </w:rPr>
            </w:pPr>
          </w:p>
        </w:tc>
        <w:tc>
          <w:tcPr>
            <w:tcW w:w="12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(80,504 )</w:t>
            </w:r>
          </w:p>
        </w:tc>
        <w:tc>
          <w:tcPr>
            <w:tcW w:w="24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(36,206 )</w:t>
            </w:r>
          </w:p>
        </w:tc>
      </w:tr>
      <w:tr>
        <w:trPr>
          <w:trHeight w:val="216"/>
        </w:trPr>
        <w:tc>
          <w:tcPr>
            <w:tcW w:w="5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tcPr>
          <w:p>
            <w:pPr>
              <w:spacing w:after="0"/>
              <w:rPr>
                <w:sz w:val="18"/>
                <w:szCs w:val="18"/>
                <w:color w:val="auto"/>
              </w:rPr>
            </w:pPr>
          </w:p>
        </w:tc>
      </w:tr>
      <w:tr>
        <w:trPr>
          <w:trHeight w:val="216"/>
        </w:trPr>
        <w:tc>
          <w:tcPr>
            <w:tcW w:w="5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(50 )</w:t>
            </w: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(167 )</w:t>
            </w:r>
          </w:p>
        </w:tc>
      </w:tr>
      <w:tr>
        <w:trPr>
          <w:trHeight w:val="210"/>
        </w:trPr>
        <w:tc>
          <w:tcPr>
            <w:tcW w:w="566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Total other income, net</w:t>
            </w:r>
          </w:p>
        </w:tc>
        <w:tc>
          <w:tcPr>
            <w:tcW w:w="14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24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300" w:type="dxa"/>
            <w:vAlign w:val="bottom"/>
            <w:tcBorders>
              <w:top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1,391</w:t>
            </w:r>
          </w:p>
        </w:tc>
        <w:tc>
          <w:tcPr>
            <w:tcW w:w="22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Borders>
              <w:top w:val="single" w:sz="8" w:color="CFF0FC"/>
            </w:tcBorders>
          </w:tcPr>
          <w:p>
            <w:pPr>
              <w:spacing w:after="0"/>
              <w:rPr>
                <w:sz w:val="18"/>
                <w:szCs w:val="18"/>
                <w:color w:val="auto"/>
              </w:rPr>
            </w:pPr>
          </w:p>
        </w:tc>
      </w:tr>
      <w:tr>
        <w:trPr>
          <w:trHeight w:val="209"/>
        </w:trPr>
        <w:tc>
          <w:tcPr>
            <w:tcW w:w="5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(29,050</w:t>
            </w:r>
          </w:p>
        </w:tc>
        <w:tc>
          <w:tcPr>
            <w:tcW w:w="24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(19,528</w:t>
            </w:r>
          </w:p>
        </w:tc>
        <w:tc>
          <w:tcPr>
            <w:tcW w:w="30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(79,113</w:t>
            </w:r>
          </w:p>
        </w:tc>
        <w:tc>
          <w:tcPr>
            <w:tcW w:w="2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(36,074</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5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(62 )</w:t>
            </w:r>
          </w:p>
        </w:tc>
        <w:tc>
          <w:tcPr>
            <w:tcW w:w="160" w:type="dxa"/>
            <w:vAlign w:val="bottom"/>
          </w:tcPr>
          <w:p>
            <w:pPr>
              <w:spacing w:after="0"/>
              <w:rPr>
                <w:sz w:val="18"/>
                <w:szCs w:val="18"/>
                <w:color w:val="auto"/>
              </w:rPr>
            </w:pPr>
          </w:p>
        </w:tc>
        <w:tc>
          <w:tcPr>
            <w:tcW w:w="12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(3 )</w:t>
            </w:r>
          </w:p>
        </w:tc>
        <w:tc>
          <w:tcPr>
            <w:tcW w:w="24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(115 )</w:t>
            </w:r>
          </w:p>
        </w:tc>
      </w:tr>
      <w:tr>
        <w:trPr>
          <w:trHeight w:val="210"/>
        </w:trPr>
        <w:tc>
          <w:tcPr>
            <w:tcW w:w="5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(29,050</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(19,590</w:t>
            </w:r>
          </w:p>
        </w:tc>
        <w:tc>
          <w:tcPr>
            <w:tcW w:w="300" w:type="dxa"/>
            <w:vAlign w:val="bottom"/>
            <w:tcBorders>
              <w:bottom w:val="single" w:sz="8" w:color="CFF0FC"/>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(79,116</w:t>
            </w:r>
          </w:p>
        </w:tc>
        <w:tc>
          <w:tcPr>
            <w:tcW w:w="22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(36,189</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9"/>
        </w:trPr>
        <w:tc>
          <w:tcPr>
            <w:tcW w:w="5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5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per common share – basic and diluted</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(0.33 )</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(0.28 )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(0.90 )</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(0.68 )</w:t>
            </w:r>
          </w:p>
        </w:tc>
      </w:tr>
      <w:tr>
        <w:trPr>
          <w:trHeight w:val="171"/>
        </w:trPr>
        <w:tc>
          <w:tcPr>
            <w:tcW w:w="5660" w:type="dxa"/>
            <w:vAlign w:val="bottom"/>
          </w:tcPr>
          <w:p>
            <w:pPr>
              <w:ind w:left="20"/>
              <w:spacing w:after="0" w:line="170" w:lineRule="exact"/>
              <w:rPr>
                <w:sz w:val="20"/>
                <w:szCs w:val="20"/>
                <w:color w:val="auto"/>
              </w:rPr>
            </w:pPr>
            <w:r>
              <w:rPr>
                <w:rFonts w:ascii="Times New Roman" w:cs="Times New Roman" w:eastAsia="Times New Roman" w:hAnsi="Times New Roman"/>
                <w:sz w:val="18"/>
                <w:szCs w:val="18"/>
                <w:color w:val="auto"/>
              </w:rPr>
              <w:t>Weighted average number of common shares outstanding</w:t>
            </w: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34"/>
        </w:trPr>
        <w:tc>
          <w:tcPr>
            <w:tcW w:w="5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basic and diluted</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87,892,195</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70,160,663</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87,868,081</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53,397,557</w:t>
            </w:r>
          </w:p>
        </w:tc>
        <w:tc>
          <w:tcPr>
            <w:tcW w:w="100" w:type="dxa"/>
            <w:vAlign w:val="bottom"/>
          </w:tcPr>
          <w:p>
            <w:pPr>
              <w:spacing w:after="0"/>
              <w:rPr>
                <w:sz w:val="20"/>
                <w:szCs w:val="20"/>
                <w:color w:val="auto"/>
              </w:rPr>
            </w:pPr>
          </w:p>
        </w:tc>
      </w:tr>
      <w:tr>
        <w:trPr>
          <w:trHeight w:val="2802"/>
        </w:trPr>
        <w:tc>
          <w:tcPr>
            <w:tcW w:w="56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-4028440</wp:posOffset>
            </wp:positionV>
            <wp:extent cx="77470"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-4028440</wp:posOffset>
            </wp:positionV>
            <wp:extent cx="68580"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-4028440</wp:posOffset>
            </wp:positionV>
            <wp:extent cx="68580" cy="146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-4028440</wp:posOffset>
            </wp:positionV>
            <wp:extent cx="68580"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-3462655</wp:posOffset>
            </wp:positionV>
            <wp:extent cx="77470"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-3462655</wp:posOffset>
            </wp:positionV>
            <wp:extent cx="68580" cy="146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-3462655</wp:posOffset>
            </wp:positionV>
            <wp:extent cx="68580" cy="146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-3462655</wp:posOffset>
            </wp:positionV>
            <wp:extent cx="68580" cy="146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-2905760</wp:posOffset>
            </wp:positionV>
            <wp:extent cx="77470" cy="1543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-2905760</wp:posOffset>
            </wp:positionV>
            <wp:extent cx="68580" cy="1543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-2905760</wp:posOffset>
            </wp:positionV>
            <wp:extent cx="68580" cy="1543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-2905760</wp:posOffset>
            </wp:positionV>
            <wp:extent cx="68580" cy="1543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-2331085</wp:posOffset>
            </wp:positionV>
            <wp:extent cx="77470" cy="1454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-2331085</wp:posOffset>
            </wp:positionV>
            <wp:extent cx="68580" cy="1454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-2331085</wp:posOffset>
            </wp:positionV>
            <wp:extent cx="68580" cy="1454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-2331085</wp:posOffset>
            </wp:positionV>
            <wp:extent cx="68580" cy="1454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9" w:right="339" w:bottom="1440" w:gutter="0" w:footer="0" w:header="0"/>
        </w:sectPr>
      </w:pPr>
    </w:p>
    <w:bookmarkStart w:id="11" w:name="page12"/>
    <w:bookmarkEnd w:id="11"/>
    <w:p>
      <w:pPr>
        <w:jc w:val="center"/>
        <w:spacing w:after="0"/>
        <w:rPr>
          <w:sz w:val="20"/>
          <w:szCs w:val="20"/>
          <w:color w:val="auto"/>
        </w:rPr>
      </w:pPr>
      <w:r>
        <w:rPr>
          <w:rFonts w:ascii="Calibri" w:cs="Calibri" w:eastAsia="Calibri" w:hAnsi="Calibri"/>
          <w:sz w:val="22"/>
          <w:szCs w:val="22"/>
          <w:b w:val="1"/>
          <w:bCs w:val="1"/>
          <w:color w:val="auto"/>
        </w:rPr>
        <w:t>Consolidated Balance Sheets</w:t>
      </w:r>
    </w:p>
    <w:p>
      <w:pPr>
        <w:jc w:val="center"/>
        <w:spacing w:after="0" w:line="217" w:lineRule="auto"/>
        <w:rPr>
          <w:sz w:val="20"/>
          <w:szCs w:val="20"/>
          <w:color w:val="auto"/>
        </w:rPr>
      </w:pPr>
      <w:r>
        <w:rPr>
          <w:rFonts w:ascii="Calibri" w:cs="Calibri" w:eastAsia="Calibri" w:hAnsi="Calibri"/>
          <w:sz w:val="22"/>
          <w:szCs w:val="22"/>
          <w:b w:val="1"/>
          <w:bCs w:val="1"/>
          <w:color w:val="auto"/>
        </w:rPr>
        <w:t>(In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776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6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6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77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100,312</w:t>
            </w:r>
          </w:p>
        </w:tc>
        <w:tc>
          <w:tcPr>
            <w:tcW w:w="4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142,745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Marketable securities</w:t>
            </w: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292,981</w:t>
            </w: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342,510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Accounts receivable</w:t>
            </w:r>
          </w:p>
        </w:tc>
        <w:tc>
          <w:tcPr>
            <w:tcW w:w="2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Restricted cash</w:t>
            </w: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567</w:t>
            </w: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5,814</w:t>
            </w:r>
          </w:p>
        </w:tc>
        <w:tc>
          <w:tcPr>
            <w:tcW w:w="2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4,516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Total current assets</w:t>
            </w: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401,674</w:t>
            </w: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492,338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11,296</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47,757</w:t>
            </w: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1,254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Restricted cash, net of current portion</w:t>
            </w:r>
          </w:p>
        </w:tc>
        <w:tc>
          <w:tcPr>
            <w:tcW w:w="2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3,423</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2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26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assets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464,156</w:t>
            </w:r>
          </w:p>
        </w:tc>
        <w:tc>
          <w:tcPr>
            <w:tcW w:w="4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500,155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20" w:type="dxa"/>
            <w:vAlign w:val="bottom"/>
            <w:tcBorders>
              <w:top w:val="single" w:sz="8" w:color="auto"/>
            </w:tcBorders>
            <w:shd w:val="clear" w:color="auto" w:fill="CFF0FC"/>
          </w:tcPr>
          <w:p>
            <w:pPr>
              <w:spacing w:after="0"/>
              <w:rPr>
                <w:sz w:val="17"/>
                <w:szCs w:val="17"/>
                <w:color w:val="auto"/>
              </w:rPr>
            </w:pPr>
          </w:p>
        </w:tc>
        <w:tc>
          <w:tcPr>
            <w:tcW w:w="136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132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Accounts payable</w:t>
            </w:r>
          </w:p>
        </w:tc>
        <w:tc>
          <w:tcPr>
            <w:tcW w:w="2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6,314</w:t>
            </w:r>
          </w:p>
        </w:tc>
        <w:tc>
          <w:tcPr>
            <w:tcW w:w="48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3,226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2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15,752</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9,887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781</w:t>
            </w: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1,503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Deferred revenue</w:t>
            </w:r>
          </w:p>
        </w:tc>
        <w:tc>
          <w:tcPr>
            <w:tcW w:w="2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28,475</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26,022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Income tax payable</w:t>
            </w:r>
          </w:p>
        </w:tc>
        <w:tc>
          <w:tcPr>
            <w:tcW w:w="22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51,322</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40,690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Operating lease liability, net of current portion</w:t>
            </w: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39,947</w:t>
            </w: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Deferred revenue, net of current portion</w:t>
            </w: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99,815</w:t>
            </w:r>
          </w:p>
        </w:tc>
        <w:tc>
          <w:tcPr>
            <w:tcW w:w="2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114,718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Total liabilities</w:t>
            </w: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191,084</w:t>
            </w: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155,408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273,072</w:t>
            </w:r>
          </w:p>
        </w:tc>
        <w:tc>
          <w:tcPr>
            <w:tcW w:w="2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344,747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7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464,156</w:t>
            </w:r>
          </w:p>
        </w:tc>
        <w:tc>
          <w:tcPr>
            <w:tcW w:w="26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500,155</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500"/>
        </w:trPr>
        <w:tc>
          <w:tcPr>
            <w:tcW w:w="77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-2211070</wp:posOffset>
            </wp:positionV>
            <wp:extent cx="68580" cy="1454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-2211070</wp:posOffset>
            </wp:positionV>
            <wp:extent cx="68580" cy="1454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-1165225</wp:posOffset>
            </wp:positionV>
            <wp:extent cx="68580"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-1165225</wp:posOffset>
            </wp:positionV>
            <wp:extent cx="68580"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-367665</wp:posOffset>
            </wp:positionV>
            <wp:extent cx="685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-350520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-367665</wp:posOffset>
            </wp:positionV>
            <wp:extent cx="685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9" w:right="339" w:bottom="1440" w:gutter="0" w:footer="0" w:header="0"/>
        </w:sectPr>
      </w:pPr>
    </w:p>
    <w:bookmarkStart w:id="12" w:name="page13"/>
    <w:bookmarkEnd w:id="1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endash "/>
      <w:numFmt w:val="bullet"/>
      <w:start w:val="1"/>
    </w:lvl>
  </w:abstractNum>
  <w:abstractNum w:abstractNumId="2">
    <w:nsid w:val="507ED7AB"/>
    <w:multiLevelType w:val="hybridMultilevel"/>
    <w:lvl w:ilvl="0">
      <w:lvlJc w:val="left"/>
      <w:lvlText w:val="\endash "/>
      <w:numFmt w:val="bullet"/>
      <w:start w:val="1"/>
    </w:lvl>
    <w:lvl w:ilvl="1">
      <w:lvlJc w:val="left"/>
      <w:lvlText w:val="\endash "/>
      <w:numFmt w:val="bullet"/>
      <w:start w:val="1"/>
    </w:lvl>
    <w:lvl w:ilvl="2">
      <w:lvlJc w:val="left"/>
      <w:lvlText w:val="\endash "/>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2022-11-10T08:13:52Z</dcterms:created>
  <dcterms:modified xsi:type="dcterms:W3CDTF">2022-11-10T08:13:52Z</dcterms:modified>
</cp:coreProperties>
</file>