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Calhoun Lesley Ann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Tango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06/05/2025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6,250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06/05/2025</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37,500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37,500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37,500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its entirety on the earlier of: (i) June 5, 2026 and (ii) the date of the next annual meeting of stockholders, in each case subject to the Reporting Person's continuous service with the Issuer as of each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12 substantially equal monthly installments over a period of one year, with the first vesting date on July 5, 2025, subject to the Reporting Person's continuous service with the Issuer as of each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Douglas Barry,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06/09/2025</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0866"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2025-06-09T16:51:48Z</dcterms:created>
  <dcterms:modified xsi:type="dcterms:W3CDTF">2025-06-09T16:51:48Z</dcterms:modified>
</cp:coreProperties>
</file>