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8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8035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Crystal Adam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440"/>
        <w:spacing w:after="0" w:line="327" w:lineRule="auto"/>
        <w:rPr>
          <w:sz w:val="20"/>
          <w:szCs w:val="20"/>
          <w:color w:val="auto"/>
        </w:rPr>
      </w:pPr>
      <w:r>
        <w:rPr>
          <w:rFonts w:ascii="Times New Roman" w:cs="Times New Roman" w:eastAsia="Times New Roman" w:hAnsi="Times New Roman"/>
          <w:sz w:val="16"/>
          <w:szCs w:val="16"/>
          <w:color w:val="0000FF"/>
        </w:rPr>
        <w:t>C/O TANGO THERAPEUTICS, INC., 201 BROOKLINE AVE., SUITE 901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Tango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TNGX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7"/>
          <w:szCs w:val="17"/>
          <w:color w:val="0000FF"/>
        </w:rPr>
        <w:t>President, R&amp;D</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560" w:type="dxa"/>
            <w:vAlign w:val="bottom"/>
            <w:gridSpan w:val="6"/>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10"/>
          </w:tcPr>
          <w:p>
            <w:pPr>
              <w:ind w:left="4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02215</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05/01/2026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27,000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142,743</w:t>
            </w:r>
            <w:r>
              <w:rPr>
                <w:rFonts w:ascii="Times New Roman" w:cs="Times New Roman" w:eastAsia="Times New Roman" w:hAnsi="Times New Roman"/>
                <w:sz w:val="21"/>
                <w:szCs w:val="21"/>
                <w:color w:val="008000"/>
                <w:w w:val="94"/>
                <w:vertAlign w:val="superscript"/>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05/01/2026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25,900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21.1931</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116,843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05/01/2026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21.9964</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115,743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05/01/2026</w:t>
            </w:r>
          </w:p>
        </w:tc>
        <w:tc>
          <w:tcPr>
            <w:tcW w:w="1140" w:type="dxa"/>
            <w:vAlign w:val="bottom"/>
          </w:tcPr>
          <w:p>
            <w:pPr>
              <w:spacing w:after="0"/>
              <w:rPr>
                <w:sz w:val="16"/>
                <w:szCs w:val="16"/>
                <w:color w:val="auto"/>
              </w:rPr>
            </w:pPr>
          </w:p>
        </w:tc>
        <w:tc>
          <w:tcPr>
            <w:tcW w:w="44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27,000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03/01/2033</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27,000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368,040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October 27, 2025.</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3,121 shares that were acquired on November 1, 2025 pursuant to the Tango Therapeutics, Inc. 2021 Employee Stock Purchase Plan in a transaction that was exempt under both Rule 16b-3(d) and Rule 16b-3(c).</w:t>
      </w:r>
    </w:p>
    <w:p>
      <w:pPr>
        <w:spacing w:after="0" w:line="17"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$20.79 to $21.755 per share. Full information regarding the number of shares sold at each price shall be provided upon request to the staff of the U.S. Securities and Exchange Commission, the Issuer, or a security holder of the Issuer.</w:t>
      </w:r>
    </w:p>
    <w:p>
      <w:pPr>
        <w:spacing w:after="0" w:line="17"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$21.80 to $22.20 per share. Full information regarding the number of shares sold at each price shall be provided upon request to the staff of the U.S. Securities and Exchange Commission, the Issuer, or a security holder of the Issuer.</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over a four-year period, at a rate of 25% on February 27, 2024, with the remaining option shares vesting in 36 equal monthly installments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Julie Fogarty, as attorney-in- </w:t>
      </w:r>
      <w:r>
        <w:rPr>
          <w:rFonts w:ascii="Times New Roman" w:cs="Times New Roman" w:eastAsia="Times New Roman" w:hAnsi="Times New Roman"/>
          <w:sz w:val="33"/>
          <w:szCs w:val="33"/>
          <w:color w:val="0000FF"/>
          <w:vertAlign w:val="subscript"/>
        </w:rPr>
        <w:t>05/05/2026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5445"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2026-05-05T18:48:10Z</dcterms:created>
  <dcterms:modified xsi:type="dcterms:W3CDTF">2026-05-05T18:48:10Z</dcterms:modified>
</cp:coreProperties>
</file>