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660" w:right="1580" w:hanging="3639"/>
        <w:spacing w:after="0" w:line="365" w:lineRule="auto"/>
        <w:tabs>
          <w:tab w:leader="none" w:pos="4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3140" w:right="1600" w:hanging="3119"/>
        <w:spacing w:after="0" w:line="375" w:lineRule="auto"/>
        <w:tabs>
          <w:tab w:leader="none" w:pos="472"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 to _____________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001-39485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43"/>
          <w:szCs w:val="43"/>
          <w:b w:val="1"/>
          <w:bCs w:val="1"/>
          <w:color w:val="auto"/>
        </w:rPr>
        <w:t>TANGO THERAPEUTICS,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2" w:lineRule="exact"/>
        <w:rPr>
          <w:sz w:val="24"/>
          <w:szCs w:val="24"/>
          <w:color w:val="auto"/>
        </w:rPr>
      </w:pPr>
    </w:p>
    <w:tbl>
      <w:tblPr>
        <w:tblLayout w:type="fixed"/>
        <w:tblInd w:w="244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85-1195036</w:t>
            </w:r>
          </w:p>
        </w:tc>
      </w:tr>
    </w:tbl>
    <w:p>
      <w:pPr>
        <w:spacing w:after="0" w:line="1" w:lineRule="exact"/>
        <w:rPr>
          <w:sz w:val="24"/>
          <w:szCs w:val="24"/>
          <w:color w:val="auto"/>
        </w:rPr>
      </w:pPr>
    </w:p>
    <w:p>
      <w:pPr>
        <w:sectPr>
          <w:pgSz w:w="11900" w:h="16838" w:orient="portrait"/>
          <w:cols w:equalWidth="0" w:num="1">
            <w:col w:w="11240"/>
          </w:cols>
          <w:pgMar w:left="320" w:top="1307" w:right="339" w:bottom="1440" w:gutter="0" w:footer="0" w:header="0"/>
        </w:sectPr>
      </w:pPr>
    </w:p>
    <w:p>
      <w:pPr>
        <w:ind w:left="2020"/>
        <w:spacing w:after="0" w:line="216" w:lineRule="auto"/>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7"/>
          <w:szCs w:val="17"/>
          <w:b w:val="1"/>
          <w:bCs w:val="1"/>
          <w:color w:val="auto"/>
        </w:rPr>
        <w:t>201 Brookline Ave., Suite 901</w:t>
      </w:r>
    </w:p>
    <w:p>
      <w:pPr>
        <w:spacing w:after="0" w:line="23"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8"/>
          <w:szCs w:val="18"/>
          <w:b w:val="1"/>
          <w:bCs w:val="1"/>
          <w:color w:val="auto"/>
        </w:rPr>
        <w:t>Boston, MA</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95"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02215</w:t>
      </w:r>
    </w:p>
    <w:p>
      <w:pPr>
        <w:spacing w:after="0" w:line="23" w:lineRule="exact"/>
        <w:rPr>
          <w:sz w:val="24"/>
          <w:szCs w:val="24"/>
          <w:color w:val="auto"/>
        </w:rPr>
      </w:pPr>
    </w:p>
    <w:p>
      <w:pPr>
        <w:sectPr>
          <w:pgSz w:w="11900" w:h="16838" w:orient="portrait"/>
          <w:cols w:equalWidth="0" w:num="2">
            <w:col w:w="7220" w:space="720"/>
            <w:col w:w="3300"/>
          </w:cols>
          <w:pgMar w:left="320" w:top="1307" w:right="339" w:bottom="1440" w:gutter="0" w:footer="0" w:header="0"/>
          <w:type w:val="continuous"/>
        </w:sectPr>
      </w:pPr>
    </w:p>
    <w:p>
      <w:pPr>
        <w:ind w:left="176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(857) 320-4900</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83185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1"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TNGX</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bl>
    <w:p>
      <w:pPr>
        <w:spacing w:after="0" w:line="76"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22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ind w:right="48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600" w:right="2000"/>
        <w:spacing w:after="0" w:line="25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October 28, 2025, the registrant had 134,593,998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1149350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FINANCIAL INFORMATION</w:t>
            </w:r>
          </w:p>
        </w:tc>
        <w:tc>
          <w:tcPr>
            <w:tcW w:w="20" w:type="dxa"/>
            <w:vAlign w:val="bottom"/>
            <w:tcBorders>
              <w:bottom w:val="single" w:sz="8" w:color="0000EE"/>
            </w:tcBorders>
          </w:tcPr>
          <w:p>
            <w:pPr>
              <w:spacing w:after="0"/>
              <w:rPr>
                <w:sz w:val="24"/>
                <w:szCs w:val="24"/>
                <w:color w:val="auto"/>
              </w:rPr>
            </w:pPr>
          </w:p>
        </w:tc>
        <w:tc>
          <w:tcPr>
            <w:tcW w:w="7020" w:type="dxa"/>
            <w:vAlign w:val="bottom"/>
            <w:gridSpan w:val="13"/>
          </w:tcPr>
          <w:p>
            <w:pPr>
              <w:spacing w:after="0"/>
              <w:rPr>
                <w:sz w:val="24"/>
                <w:szCs w:val="24"/>
                <w:color w:val="auto"/>
              </w:rPr>
            </w:pPr>
          </w:p>
        </w:tc>
        <w:tc>
          <w:tcPr>
            <w:tcW w:w="780" w:type="dxa"/>
            <w:vAlign w:val="bottom"/>
          </w:tcPr>
          <w:p>
            <w:pPr>
              <w:spacing w:after="0"/>
              <w:rPr>
                <w:sz w:val="24"/>
                <w:szCs w:val="24"/>
                <w:color w:val="auto"/>
              </w:rPr>
            </w:pPr>
          </w:p>
        </w:tc>
      </w:tr>
      <w:tr>
        <w:trPr>
          <w:trHeight w:val="41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4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20" w:type="dxa"/>
            <w:vAlign w:val="bottom"/>
            <w:tcBorders>
              <w:bottom w:val="single" w:sz="8" w:color="0000EE"/>
            </w:tcBorders>
          </w:tcPr>
          <w:p>
            <w:pPr>
              <w:spacing w:after="0"/>
              <w:rPr>
                <w:sz w:val="17"/>
                <w:szCs w:val="17"/>
                <w:color w:val="auto"/>
              </w:rPr>
            </w:pPr>
          </w:p>
        </w:tc>
        <w:tc>
          <w:tcPr>
            <w:tcW w:w="6360" w:type="dxa"/>
            <w:vAlign w:val="bottom"/>
            <w:gridSpan w:val="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380" w:type="dxa"/>
            <w:vAlign w:val="bottom"/>
            <w:tcBorders>
              <w:top w:val="single" w:sz="8" w:color="0000FF"/>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1140" w:type="dxa"/>
            <w:vAlign w:val="bottom"/>
            <w:tcBorders>
              <w:top w:val="single" w:sz="8" w:color="0000FF"/>
            </w:tcBorders>
            <w:gridSpan w:val="2"/>
          </w:tcPr>
          <w:p>
            <w:pPr>
              <w:spacing w:after="0"/>
              <w:rPr>
                <w:sz w:val="17"/>
                <w:szCs w:val="17"/>
                <w:color w:val="auto"/>
              </w:rPr>
            </w:pPr>
          </w:p>
        </w:tc>
        <w:tc>
          <w:tcPr>
            <w:tcW w:w="380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72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20" w:type="dxa"/>
            <w:vAlign w:val="bottom"/>
            <w:tcBorders>
              <w:bottom w:val="single" w:sz="8" w:color="0000EE"/>
            </w:tcBorders>
          </w:tcPr>
          <w:p>
            <w:pPr>
              <w:spacing w:after="0"/>
              <w:rPr>
                <w:sz w:val="17"/>
                <w:szCs w:val="17"/>
                <w:color w:val="auto"/>
              </w:rPr>
            </w:pPr>
          </w:p>
        </w:tc>
        <w:tc>
          <w:tcPr>
            <w:tcW w:w="5580" w:type="dxa"/>
            <w:vAlign w:val="bottom"/>
            <w:gridSpan w:val="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gridSpan w:val="2"/>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gridSpan w:val="4"/>
          </w:tcPr>
          <w:p>
            <w:pPr>
              <w:spacing w:after="0"/>
              <w:rPr>
                <w:sz w:val="17"/>
                <w:szCs w:val="17"/>
                <w:color w:val="auto"/>
              </w:rPr>
            </w:pPr>
          </w:p>
        </w:tc>
        <w:tc>
          <w:tcPr>
            <w:tcW w:w="28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7"/>
                <w:szCs w:val="17"/>
                <w:color w:val="auto"/>
              </w:rPr>
            </w:pPr>
          </w:p>
        </w:tc>
        <w:tc>
          <w:tcPr>
            <w:tcW w:w="7520" w:type="dxa"/>
            <w:vAlign w:val="bottom"/>
            <w:gridSpan w:val="1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41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3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1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60" w:type="dxa"/>
            <w:vAlign w:val="bottom"/>
            <w:tcBorders>
              <w:top w:val="single" w:sz="8" w:color="0000FF"/>
            </w:tcBorders>
            <w:gridSpan w:val="3"/>
          </w:tcPr>
          <w:p>
            <w:pPr>
              <w:spacing w:after="0"/>
              <w:rPr>
                <w:sz w:val="24"/>
                <w:szCs w:val="24"/>
                <w:color w:val="auto"/>
              </w:rPr>
            </w:pPr>
          </w:p>
        </w:tc>
        <w:tc>
          <w:tcPr>
            <w:tcW w:w="7420" w:type="dxa"/>
            <w:vAlign w:val="bottom"/>
            <w:gridSpan w:val="15"/>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980" w:type="dxa"/>
            <w:vAlign w:val="bottom"/>
            <w:gridSpan w:val="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5"/>
          </w:tcPr>
          <w:p>
            <w:pPr>
              <w:spacing w:after="0"/>
              <w:rPr>
                <w:sz w:val="17"/>
                <w:szCs w:val="17"/>
                <w:color w:val="auto"/>
              </w:rPr>
            </w:pPr>
          </w:p>
        </w:tc>
        <w:tc>
          <w:tcPr>
            <w:tcW w:w="7000" w:type="dxa"/>
            <w:vAlign w:val="bottom"/>
            <w:gridSpan w:val="1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8000" w:type="dxa"/>
            <w:vAlign w:val="bottom"/>
            <w:gridSpan w:val="1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Summary of Material Risks Associated with Our Business</w:t>
      </w:r>
    </w:p>
    <w:p>
      <w:pPr>
        <w:spacing w:after="0" w:line="229" w:lineRule="exact"/>
        <w:rPr>
          <w:sz w:val="20"/>
          <w:szCs w:val="20"/>
          <w:color w:val="auto"/>
        </w:rPr>
      </w:pPr>
    </w:p>
    <w:p>
      <w:pPr>
        <w:ind w:right="40" w:firstLine="599"/>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material and other risks that you should be aware of before making an investment decision with respect to our securities. These risks are described more fully in Part I, Item 1A of our Annual Report on Form 10-K for the year ended December 31, 2024 and this Quarterly Report on Form 10-Q. These risks include, among others, the following (which is not an exhaustive list of all such risks):</w:t>
      </w:r>
    </w:p>
    <w:p>
      <w:pPr>
        <w:spacing w:after="0" w:line="68" w:lineRule="exact"/>
        <w:rPr>
          <w:sz w:val="20"/>
          <w:szCs w:val="20"/>
          <w:color w:val="auto"/>
        </w:rPr>
      </w:pPr>
    </w:p>
    <w:p>
      <w:pPr>
        <w:ind w:left="1020" w:right="220" w:hanging="459"/>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precision oncology company with a limited operating history. We have no products approved for commercial sale, have not generated any revenue from product sales and may never become profitable. Further, we face substantial competition, which may result in others discovering, developing or commercializing products before or more successfully than we do.</w:t>
      </w:r>
    </w:p>
    <w:p>
      <w:pPr>
        <w:spacing w:after="0" w:line="175" w:lineRule="exact"/>
        <w:rPr>
          <w:rFonts w:ascii="Times New Roman" w:cs="Times New Roman" w:eastAsia="Times New Roman" w:hAnsi="Times New Roman"/>
          <w:sz w:val="18"/>
          <w:szCs w:val="18"/>
          <w:color w:val="auto"/>
        </w:rPr>
      </w:pPr>
    </w:p>
    <w:p>
      <w:pPr>
        <w:ind w:left="1020" w:right="60" w:hanging="459"/>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our inception and anticipate that we will continue to incur losses for the foreseeable future. We expect our operating results to fluctuate significantly in the future as our business advances.</w:t>
      </w:r>
    </w:p>
    <w:p>
      <w:pPr>
        <w:spacing w:after="0" w:line="161" w:lineRule="exact"/>
        <w:rPr>
          <w:rFonts w:ascii="Times New Roman" w:cs="Times New Roman" w:eastAsia="Times New Roman" w:hAnsi="Times New Roman"/>
          <w:sz w:val="18"/>
          <w:szCs w:val="18"/>
          <w:color w:val="auto"/>
        </w:rPr>
      </w:pPr>
    </w:p>
    <w:p>
      <w:pPr>
        <w:jc w:val="both"/>
        <w:ind w:left="1020" w:right="40" w:hanging="445"/>
        <w:spacing w:after="0" w:line="266"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substantial additional funding. If we are unable to raise capital when needed or on terms acceptable to us, we would be forced to delay, reduce or eliminate some of our product development programs or commercialization efforts. Raising additional capital may cause dilution to our stockholders, restrict our operations or require us to relinquish rights to our technologies or product candidates.</w:t>
      </w:r>
    </w:p>
    <w:p>
      <w:pPr>
        <w:spacing w:after="0" w:line="175" w:lineRule="exact"/>
        <w:rPr>
          <w:rFonts w:ascii="Times New Roman" w:cs="Times New Roman" w:eastAsia="Times New Roman" w:hAnsi="Times New Roman"/>
          <w:sz w:val="18"/>
          <w:szCs w:val="18"/>
          <w:color w:val="auto"/>
        </w:rPr>
      </w:pPr>
    </w:p>
    <w:p>
      <w:pPr>
        <w:ind w:left="1020" w:right="180" w:hanging="459"/>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successfully completed any clinical trials and we may be unable to do so for any product candidates we develop. Certain of our programs are still in preclinical development and may never advance to clinical development.</w:t>
      </w:r>
    </w:p>
    <w:p>
      <w:pPr>
        <w:spacing w:after="0" w:line="161" w:lineRule="exact"/>
        <w:rPr>
          <w:rFonts w:ascii="Times New Roman" w:cs="Times New Roman" w:eastAsia="Times New Roman" w:hAnsi="Times New Roman"/>
          <w:sz w:val="18"/>
          <w:szCs w:val="18"/>
          <w:color w:val="auto"/>
        </w:rPr>
      </w:pPr>
    </w:p>
    <w:p>
      <w:pPr>
        <w:ind w:left="1020" w:right="240" w:hanging="445"/>
        <w:spacing w:after="0" w:line="266"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programs are focused on the development of oncology therapeutics for patients with genetically defined or biomarker-driven cancers, which is a rapidly evolving area of science, and the approach we are taking to discover and develop drugs is novel and may never lead to approved or marketable products.</w:t>
      </w:r>
    </w:p>
    <w:p>
      <w:pPr>
        <w:spacing w:after="0" w:line="175" w:lineRule="exact"/>
        <w:rPr>
          <w:rFonts w:ascii="Times New Roman" w:cs="Times New Roman" w:eastAsia="Times New Roman" w:hAnsi="Times New Roman"/>
          <w:sz w:val="18"/>
          <w:szCs w:val="18"/>
          <w:color w:val="auto"/>
        </w:rPr>
      </w:pPr>
    </w:p>
    <w:p>
      <w:pPr>
        <w:ind w:left="1020" w:right="160" w:hanging="445"/>
        <w:spacing w:after="0" w:line="261"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validate, develop and obtain regulatory approval for screening tests and companion diagnostic tests for our product candidates that require or would commercially benefit from such tests, or experience significant delays in doing so, we may not realize the full commercial potential of these product candidates. We will also rely on third-parties for screening for biomarkers that enable patient selection for clinical trials and target engagement.</w:t>
      </w:r>
    </w:p>
    <w:p>
      <w:pPr>
        <w:spacing w:after="0" w:line="179" w:lineRule="exact"/>
        <w:rPr>
          <w:rFonts w:ascii="Times New Roman" w:cs="Times New Roman" w:eastAsia="Times New Roman" w:hAnsi="Times New Roman"/>
          <w:sz w:val="18"/>
          <w:szCs w:val="18"/>
          <w:color w:val="auto"/>
        </w:rPr>
      </w:pPr>
    </w:p>
    <w:p>
      <w:pPr>
        <w:ind w:left="1020" w:right="60" w:hanging="459"/>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product development involves a lengthy and expensive process, with an uncertain outcome. Further, our current and potential future collaborations may not realize the anticipated benefits.</w:t>
      </w:r>
    </w:p>
    <w:p>
      <w:pPr>
        <w:spacing w:after="0" w:line="161" w:lineRule="exact"/>
        <w:rPr>
          <w:rFonts w:ascii="Times New Roman" w:cs="Times New Roman" w:eastAsia="Times New Roman" w:hAnsi="Times New Roman"/>
          <w:sz w:val="18"/>
          <w:szCs w:val="18"/>
          <w:color w:val="auto"/>
        </w:rPr>
      </w:pPr>
    </w:p>
    <w:p>
      <w:pPr>
        <w:ind w:left="1020" w:right="320" w:hanging="445"/>
        <w:spacing w:after="0" w:line="312" w:lineRule="auto"/>
        <w:tabs>
          <w:tab w:leader="none" w:pos="102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Initial, interim and top-line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139" w:lineRule="exact"/>
        <w:rPr>
          <w:rFonts w:ascii="Times New Roman" w:cs="Times New Roman" w:eastAsia="Times New Roman" w:hAnsi="Times New Roman"/>
          <w:sz w:val="17"/>
          <w:szCs w:val="17"/>
          <w:color w:val="auto"/>
        </w:rPr>
      </w:pPr>
    </w:p>
    <w:p>
      <w:pPr>
        <w:ind w:left="1020" w:hanging="445"/>
        <w:spacing w:after="0" w:line="261"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earlier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 clinical trials, we may be unable to successfully develop, obtain regulatory approval for and commercialize our product candidates.</w:t>
      </w:r>
    </w:p>
    <w:p>
      <w:pPr>
        <w:spacing w:after="0" w:line="179" w:lineRule="exact"/>
        <w:rPr>
          <w:rFonts w:ascii="Times New Roman" w:cs="Times New Roman" w:eastAsia="Times New Roman" w:hAnsi="Times New Roman"/>
          <w:sz w:val="18"/>
          <w:szCs w:val="18"/>
          <w:color w:val="auto"/>
        </w:rPr>
      </w:pPr>
    </w:p>
    <w:p>
      <w:pPr>
        <w:ind w:left="1020" w:right="260" w:hanging="459"/>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initiation, enrollment or dosing of patients in clinical trials, the announcement of clinical trial results and our receipt of necessary regulatory approvals (if any) could be delayed or prevented.</w:t>
      </w:r>
    </w:p>
    <w:p>
      <w:pPr>
        <w:spacing w:after="0" w:line="161" w:lineRule="exact"/>
        <w:rPr>
          <w:rFonts w:ascii="Times New Roman" w:cs="Times New Roman" w:eastAsia="Times New Roman" w:hAnsi="Times New Roman"/>
          <w:sz w:val="18"/>
          <w:szCs w:val="18"/>
          <w:color w:val="auto"/>
        </w:rPr>
      </w:pPr>
    </w:p>
    <w:p>
      <w:pPr>
        <w:ind w:left="1020" w:right="540" w:hanging="445"/>
        <w:spacing w:after="0" w:line="266"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w:t>
      </w:r>
    </w:p>
    <w:p>
      <w:pPr>
        <w:spacing w:after="0" w:line="175" w:lineRule="exact"/>
        <w:rPr>
          <w:rFonts w:ascii="Times New Roman" w:cs="Times New Roman" w:eastAsia="Times New Roman" w:hAnsi="Times New Roman"/>
          <w:sz w:val="18"/>
          <w:szCs w:val="18"/>
          <w:color w:val="auto"/>
        </w:rPr>
      </w:pPr>
    </w:p>
    <w:p>
      <w:pPr>
        <w:ind w:left="1020" w:right="60" w:hanging="445"/>
        <w:spacing w:after="0" w:line="266"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3" w:name="page4"/>
    <w:bookmarkEnd w:id="3"/>
    <w:p>
      <w:pPr>
        <w:ind w:left="1020" w:right="160" w:hanging="445"/>
        <w:spacing w:after="0" w:line="266" w:lineRule="auto"/>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175" w:lineRule="exact"/>
        <w:rPr>
          <w:rFonts w:ascii="Times New Roman" w:cs="Times New Roman" w:eastAsia="Times New Roman" w:hAnsi="Times New Roman"/>
          <w:sz w:val="18"/>
          <w:szCs w:val="18"/>
          <w:color w:val="auto"/>
        </w:rPr>
      </w:pPr>
    </w:p>
    <w:p>
      <w:pPr>
        <w:ind w:left="1020" w:right="920" w:hanging="459"/>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crises may materially and adversely affect our business and our financial results and could cause a disruption to the development of our product candidates and the initiation and completion of clinical trials.</w:t>
      </w:r>
    </w:p>
    <w:p>
      <w:pPr>
        <w:spacing w:after="0" w:line="161" w:lineRule="exact"/>
        <w:rPr>
          <w:rFonts w:ascii="Times New Roman" w:cs="Times New Roman" w:eastAsia="Times New Roman" w:hAnsi="Times New Roman"/>
          <w:sz w:val="18"/>
          <w:szCs w:val="18"/>
          <w:color w:val="auto"/>
        </w:rPr>
      </w:pPr>
    </w:p>
    <w:p>
      <w:pPr>
        <w:ind w:left="1020" w:right="100" w:hanging="445"/>
        <w:spacing w:after="0" w:line="261" w:lineRule="auto"/>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and expect to continue to rely on third parties to conduct our clinical trials, as well as investigator-sponsored clinical trials of our product candidates (if any).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r>
        <w:rPr>
          <w:rFonts w:ascii="Times New Roman" w:cs="Times New Roman" w:eastAsia="Times New Roman" w:hAnsi="Times New Roman"/>
          <w:sz w:val="18"/>
          <w:szCs w:val="18"/>
          <w:i w:val="1"/>
          <w:iCs w:val="1"/>
          <w:color w:val="auto"/>
        </w:rPr>
        <w:t>.</w:t>
      </w:r>
    </w:p>
    <w:p>
      <w:pPr>
        <w:spacing w:after="0" w:line="179" w:lineRule="exact"/>
        <w:rPr>
          <w:rFonts w:ascii="Times New Roman" w:cs="Times New Roman" w:eastAsia="Times New Roman" w:hAnsi="Times New Roman"/>
          <w:sz w:val="18"/>
          <w:szCs w:val="18"/>
          <w:color w:val="auto"/>
        </w:rPr>
      </w:pPr>
    </w:p>
    <w:p>
      <w:pPr>
        <w:ind w:left="1020" w:right="80" w:hanging="445"/>
        <w:spacing w:after="0" w:line="261" w:lineRule="auto"/>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a limited number of third parties for the manufacture of our product candidates for preclinical development and clinical trials and expect to continue to do so for future clinical testing and commercialization (if approved).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79" w:lineRule="exact"/>
        <w:rPr>
          <w:rFonts w:ascii="Times New Roman" w:cs="Times New Roman" w:eastAsia="Times New Roman" w:hAnsi="Times New Roman"/>
          <w:sz w:val="18"/>
          <w:szCs w:val="18"/>
          <w:color w:val="auto"/>
        </w:rPr>
      </w:pPr>
    </w:p>
    <w:p>
      <w:pPr>
        <w:ind w:left="1020" w:right="20" w:hanging="445"/>
        <w:spacing w:after="0" w:line="258" w:lineRule="auto"/>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very limited number of third parties for the supply of the active pharmaceutical ingredients, or API, and drug product to be used in our product candidates (for example, an affiliate of WuXi AppTec is the sole source of API for all of our clinical-stage product candidates), and WuXi AppTec has been the subject of proposed Congressional legislation that, if enacted, could materially restrict our ability to conduct business with, and obtain API from, WuXi AppTec. The loss of any of these suppliers, including WuXi AppTec, could significantly harm our business.</w:t>
      </w:r>
    </w:p>
    <w:p>
      <w:pPr>
        <w:spacing w:after="0" w:line="183" w:lineRule="exact"/>
        <w:rPr>
          <w:rFonts w:ascii="Times New Roman" w:cs="Times New Roman" w:eastAsia="Times New Roman" w:hAnsi="Times New Roman"/>
          <w:sz w:val="18"/>
          <w:szCs w:val="18"/>
          <w:color w:val="auto"/>
        </w:rPr>
      </w:pPr>
    </w:p>
    <w:p>
      <w:pPr>
        <w:ind w:left="1020" w:right="160" w:hanging="445"/>
        <w:spacing w:after="0" w:line="282" w:lineRule="auto"/>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obtain new patents, maintain our existing patents and protect the confidentiality and proprietary nature of our trade secrets and other intellectual property, our business and competitive position may be harmed.</w:t>
      </w:r>
    </w:p>
    <w:p>
      <w:pPr>
        <w:spacing w:after="0" w:line="161" w:lineRule="exact"/>
        <w:rPr>
          <w:rFonts w:ascii="Times New Roman" w:cs="Times New Roman" w:eastAsia="Times New Roman" w:hAnsi="Times New Roman"/>
          <w:sz w:val="18"/>
          <w:szCs w:val="18"/>
          <w:color w:val="auto"/>
        </w:rPr>
      </w:pPr>
    </w:p>
    <w:p>
      <w:pPr>
        <w:ind w:left="1020" w:right="100" w:hanging="445"/>
        <w:spacing w:after="0" w:line="266" w:lineRule="auto"/>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found to be infringing third party patents, we may be forced to pay damages to the patent owner and/or obtain a license to continue the manufacture, sale or development of our products. If we cannot obtain a license, we may be prevented from the manufacture, sale or development of our products or product candidates, which may adversely affect our business.</w:t>
      </w:r>
    </w:p>
    <w:p>
      <w:pPr>
        <w:spacing w:after="0" w:line="175" w:lineRule="exact"/>
        <w:rPr>
          <w:rFonts w:ascii="Times New Roman" w:cs="Times New Roman" w:eastAsia="Times New Roman" w:hAnsi="Times New Roman"/>
          <w:sz w:val="18"/>
          <w:szCs w:val="18"/>
          <w:color w:val="auto"/>
        </w:rPr>
      </w:pPr>
    </w:p>
    <w:p>
      <w:pPr>
        <w:ind w:left="1020" w:hanging="445"/>
        <w:spacing w:after="0"/>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combination therapies may present more or different challenges than development of single agent therapies.</w:t>
      </w:r>
    </w:p>
    <w:p>
      <w:pPr>
        <w:spacing w:after="0" w:line="225" w:lineRule="exact"/>
        <w:rPr>
          <w:rFonts w:ascii="Times New Roman" w:cs="Times New Roman" w:eastAsia="Times New Roman" w:hAnsi="Times New Roman"/>
          <w:sz w:val="18"/>
          <w:szCs w:val="18"/>
          <w:color w:val="auto"/>
        </w:rPr>
      </w:pPr>
    </w:p>
    <w:p>
      <w:pPr>
        <w:ind w:left="1020" w:right="40" w:hanging="445"/>
        <w:spacing w:after="0" w:line="258" w:lineRule="auto"/>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funding for government agencies in or outside the United States, including from government shutdowns or other disruptions to these agencies' staffing and operations, could prevent new products and services being developed or commercialized in a timely manner or otherwise prevent those agencies from performing normal business functions on which the operation of our business may rely, which could negatively impact our business. Unfavorable global economic conditions could adversely affect our business, financial condition or results of operations.</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29" w:lineRule="exact"/>
        <w:rPr>
          <w:sz w:val="20"/>
          <w:szCs w:val="20"/>
          <w:color w:val="auto"/>
        </w:rPr>
      </w:pPr>
    </w:p>
    <w:p>
      <w:pPr>
        <w:ind w:firstLine="495"/>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express or implied forward-looking statements within the meaning of Section 27A of the Securities Act of 1933, as amended, and Section 21E of the Securities Exchange Act of 1934, as amended (the “Exchange Act”). Words such as "anticipates," "continue," "could," "may," "forecasts," "expects," "intends," "plans," "potentially," "believes," "seeks," "estimates," "predict," "target," and variations of such words and similar expressions are intended to identify such forward-looking statements, although not all forward-looking statements contain these identifying words. Forward-looking statements are not guarantees of future performance and are subject to certain risks, uncertainties, and assumptions that are difficult to predict; therefore, actual results may differ materially from those expressed or forecasted in any such statements. Such forward-looking statements are based on current expectations, estimates and projections about our industry and business, management's beliefs, and certain assumptions made by our management, and may include, but are not limited to, statements regarding:</w:t>
      </w:r>
    </w:p>
    <w:p>
      <w:pPr>
        <w:spacing w:after="0" w:line="84" w:lineRule="exact"/>
        <w:rPr>
          <w:sz w:val="20"/>
          <w:szCs w:val="20"/>
          <w:color w:val="auto"/>
        </w:rPr>
      </w:pPr>
    </w:p>
    <w:p>
      <w:pPr>
        <w:ind w:left="1020" w:right="80" w:hanging="445"/>
        <w:spacing w:after="0" w:line="25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and combination clinical trials, including statements regarding the timing of IND filings and acceptance, active enrollment and dosing in clinical trials (including combination clinical trials), future plans for dose expansions and dose escalations, and initiation and completion of studies or clinical trials (including combination trials), plans for initiating a registrational trial for vopimetostat (TNG462) in 2026 and the continued enrollment in our</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 w:name="page5"/>
    <w:bookmarkEnd w:id="4"/>
    <w:p>
      <w:pPr>
        <w:jc w:val="both"/>
        <w:ind w:left="445" w:right="240"/>
        <w:spacing w:after="0" w:line="266" w:lineRule="auto"/>
        <w:rPr>
          <w:sz w:val="20"/>
          <w:szCs w:val="20"/>
          <w:color w:val="auto"/>
        </w:rPr>
      </w:pPr>
      <w:r>
        <w:rPr>
          <w:rFonts w:ascii="Times New Roman" w:cs="Times New Roman" w:eastAsia="Times New Roman" w:hAnsi="Times New Roman"/>
          <w:sz w:val="18"/>
          <w:szCs w:val="18"/>
          <w:color w:val="auto"/>
        </w:rPr>
        <w:t>vopimetostat monotherapy and combination clinical trials (and related preparatory work for each), plans for the TNG456 clinical trial, and the period during which the results of our clinical trials (including initial and final trial results) will become available (such as the clinical data update from the lung cohort of the ongoing Phase 1/2 clinical trial in vopimetostat expected in 2026);</w:t>
      </w:r>
    </w:p>
    <w:p>
      <w:pPr>
        <w:spacing w:after="0" w:line="176" w:lineRule="exact"/>
        <w:rPr>
          <w:sz w:val="20"/>
          <w:szCs w:val="20"/>
          <w:color w:val="auto"/>
        </w:rPr>
      </w:pPr>
    </w:p>
    <w:p>
      <w:pPr>
        <w:ind w:left="445" w:right="300" w:hanging="445"/>
        <w:spacing w:after="0" w:line="312" w:lineRule="auto"/>
        <w:tabs>
          <w:tab w:leader="none" w:pos="44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discover and develop product candidates efficiently (including the advancement of development candidates on the timelines identified and the ability to identify and contract with clinical trial sites and investigators to use our product candidates in trials);</w:t>
      </w:r>
    </w:p>
    <w:p>
      <w:pPr>
        <w:spacing w:after="0" w:line="139" w:lineRule="exact"/>
        <w:rPr>
          <w:rFonts w:ascii="Times New Roman" w:cs="Times New Roman" w:eastAsia="Times New Roman" w:hAnsi="Times New Roman"/>
          <w:sz w:val="17"/>
          <w:szCs w:val="17"/>
          <w:color w:val="auto"/>
        </w:rPr>
      </w:pPr>
    </w:p>
    <w:p>
      <w:pPr>
        <w:ind w:left="445" w:right="200" w:hanging="445"/>
        <w:spacing w:after="0" w:line="282" w:lineRule="auto"/>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potential (or those of third parties) to manufacture our drug product, drug substance and product candidates successfully for preclinical use, for clinical trials and on a larger scale for commercial use, if approved;</w:t>
      </w:r>
    </w:p>
    <w:p>
      <w:pPr>
        <w:spacing w:after="0" w:line="161" w:lineRule="exact"/>
        <w:rPr>
          <w:rFonts w:ascii="Times New Roman" w:cs="Times New Roman" w:eastAsia="Times New Roman" w:hAnsi="Times New Roman"/>
          <w:sz w:val="18"/>
          <w:szCs w:val="18"/>
          <w:color w:val="auto"/>
        </w:rPr>
      </w:pPr>
    </w:p>
    <w:p>
      <w:pPr>
        <w:ind w:left="445" w:right="840" w:hanging="445"/>
        <w:spacing w:after="0" w:line="282" w:lineRule="auto"/>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third-party strategic collaborators to continue research and development activities relating to our development candidates and product candidates;</w:t>
      </w:r>
    </w:p>
    <w:p>
      <w:pPr>
        <w:spacing w:after="0" w:line="161" w:lineRule="exact"/>
        <w:rPr>
          <w:rFonts w:ascii="Times New Roman" w:cs="Times New Roman" w:eastAsia="Times New Roman" w:hAnsi="Times New Roman"/>
          <w:sz w:val="18"/>
          <w:szCs w:val="18"/>
          <w:color w:val="auto"/>
        </w:rPr>
      </w:pPr>
    </w:p>
    <w:p>
      <w:pPr>
        <w:ind w:left="445" w:right="240" w:hanging="445"/>
        <w:spacing w:after="0" w:line="266" w:lineRule="auto"/>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research, development and commercialization of our product candidates (and that existing cash, cash equivalents and marketable securities will enable us to fund our operating expenses and capital expenditure requirements into 2028);</w:t>
      </w:r>
    </w:p>
    <w:p>
      <w:pPr>
        <w:spacing w:after="0" w:line="175" w:lineRule="exact"/>
        <w:rPr>
          <w:rFonts w:ascii="Times New Roman" w:cs="Times New Roman" w:eastAsia="Times New Roman" w:hAnsi="Times New Roman"/>
          <w:sz w:val="18"/>
          <w:szCs w:val="18"/>
          <w:color w:val="auto"/>
        </w:rPr>
      </w:pPr>
    </w:p>
    <w:p>
      <w:pPr>
        <w:ind w:left="445" w:right="180" w:hanging="445"/>
        <w:spacing w:after="0" w:line="266" w:lineRule="auto"/>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if approved, maintain regulatory approval of our product candidates (as well as approval or clearance of screening tests and companion diagnostic tests for our product candidates) and the potential paths to approval our product candidates, including for vopimetostat as a monotherapy or in combination in MTAP-deleted pancreatic and lung cancer;</w:t>
      </w:r>
    </w:p>
    <w:p>
      <w:pPr>
        <w:spacing w:after="0" w:line="175" w:lineRule="exact"/>
        <w:rPr>
          <w:rFonts w:ascii="Times New Roman" w:cs="Times New Roman" w:eastAsia="Times New Roman" w:hAnsi="Times New Roman"/>
          <w:sz w:val="18"/>
          <w:szCs w:val="18"/>
          <w:color w:val="auto"/>
        </w:rPr>
      </w:pPr>
    </w:p>
    <w:p>
      <w:pPr>
        <w:ind w:left="445" w:hanging="445"/>
        <w:spacing w:after="0"/>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225" w:lineRule="exact"/>
        <w:rPr>
          <w:rFonts w:ascii="Times New Roman" w:cs="Times New Roman" w:eastAsia="Times New Roman" w:hAnsi="Times New Roman"/>
          <w:sz w:val="18"/>
          <w:szCs w:val="18"/>
          <w:color w:val="auto"/>
        </w:rPr>
      </w:pPr>
    </w:p>
    <w:p>
      <w:pPr>
        <w:ind w:left="445" w:hanging="445"/>
        <w:spacing w:after="0"/>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225" w:lineRule="exact"/>
        <w:rPr>
          <w:rFonts w:ascii="Times New Roman" w:cs="Times New Roman" w:eastAsia="Times New Roman" w:hAnsi="Times New Roman"/>
          <w:sz w:val="18"/>
          <w:szCs w:val="18"/>
          <w:color w:val="auto"/>
        </w:rPr>
      </w:pPr>
    </w:p>
    <w:p>
      <w:pPr>
        <w:ind w:left="445" w:hanging="445"/>
        <w:spacing w:after="0"/>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225" w:lineRule="exact"/>
        <w:rPr>
          <w:rFonts w:ascii="Times New Roman" w:cs="Times New Roman" w:eastAsia="Times New Roman" w:hAnsi="Times New Roman"/>
          <w:sz w:val="18"/>
          <w:szCs w:val="18"/>
          <w:color w:val="auto"/>
        </w:rPr>
      </w:pPr>
    </w:p>
    <w:p>
      <w:pPr>
        <w:ind w:left="445" w:hanging="445"/>
        <w:spacing w:after="0" w:line="282" w:lineRule="auto"/>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 and our ability to enforce our intellectual property rights;</w:t>
      </w:r>
    </w:p>
    <w:p>
      <w:pPr>
        <w:spacing w:after="0" w:line="161" w:lineRule="exact"/>
        <w:rPr>
          <w:rFonts w:ascii="Times New Roman" w:cs="Times New Roman" w:eastAsia="Times New Roman" w:hAnsi="Times New Roman"/>
          <w:sz w:val="18"/>
          <w:szCs w:val="18"/>
          <w:color w:val="auto"/>
        </w:rPr>
      </w:pPr>
    </w:p>
    <w:p>
      <w:pPr>
        <w:ind w:left="445" w:hanging="445"/>
        <w:spacing w:after="0"/>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capital requirements, and our need for additional financing;</w:t>
      </w:r>
    </w:p>
    <w:p>
      <w:pPr>
        <w:spacing w:after="0" w:line="225" w:lineRule="exact"/>
        <w:rPr>
          <w:rFonts w:ascii="Times New Roman" w:cs="Times New Roman" w:eastAsia="Times New Roman" w:hAnsi="Times New Roman"/>
          <w:sz w:val="18"/>
          <w:szCs w:val="18"/>
          <w:color w:val="auto"/>
        </w:rPr>
      </w:pPr>
    </w:p>
    <w:p>
      <w:pPr>
        <w:ind w:left="445" w:right="160" w:hanging="445"/>
        <w:spacing w:after="0" w:line="282" w:lineRule="auto"/>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161" w:lineRule="exact"/>
        <w:rPr>
          <w:rFonts w:ascii="Times New Roman" w:cs="Times New Roman" w:eastAsia="Times New Roman" w:hAnsi="Times New Roman"/>
          <w:sz w:val="18"/>
          <w:szCs w:val="18"/>
          <w:color w:val="auto"/>
        </w:rPr>
      </w:pPr>
    </w:p>
    <w:p>
      <w:pPr>
        <w:ind w:left="445" w:right="280" w:hanging="445"/>
        <w:spacing w:after="0" w:line="282" w:lineRule="auto"/>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(if approved) and any other approved products;</w:t>
      </w:r>
    </w:p>
    <w:p>
      <w:pPr>
        <w:spacing w:after="0" w:line="161" w:lineRule="exact"/>
        <w:rPr>
          <w:rFonts w:ascii="Times New Roman" w:cs="Times New Roman" w:eastAsia="Times New Roman" w:hAnsi="Times New Roman"/>
          <w:sz w:val="18"/>
          <w:szCs w:val="18"/>
          <w:color w:val="auto"/>
        </w:rPr>
      </w:pPr>
    </w:p>
    <w:p>
      <w:pPr>
        <w:ind w:left="445" w:hanging="445"/>
        <w:spacing w:after="0"/>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225" w:lineRule="exact"/>
        <w:rPr>
          <w:rFonts w:ascii="Times New Roman" w:cs="Times New Roman" w:eastAsia="Times New Roman" w:hAnsi="Times New Roman"/>
          <w:sz w:val="18"/>
          <w:szCs w:val="18"/>
          <w:color w:val="auto"/>
        </w:rPr>
      </w:pPr>
    </w:p>
    <w:p>
      <w:pPr>
        <w:ind w:left="445" w:hanging="445"/>
        <w:spacing w:after="0"/>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including the expectation that we will continue to incur operating losses and negative cash flow;</w:t>
      </w:r>
    </w:p>
    <w:p>
      <w:pPr>
        <w:spacing w:after="0" w:line="225" w:lineRule="exact"/>
        <w:rPr>
          <w:rFonts w:ascii="Times New Roman" w:cs="Times New Roman" w:eastAsia="Times New Roman" w:hAnsi="Times New Roman"/>
          <w:sz w:val="18"/>
          <w:szCs w:val="18"/>
          <w:color w:val="auto"/>
        </w:rPr>
      </w:pPr>
    </w:p>
    <w:p>
      <w:pPr>
        <w:ind w:left="445" w:hanging="445"/>
        <w:spacing w:after="0"/>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 if approved;</w:t>
      </w:r>
    </w:p>
    <w:p>
      <w:pPr>
        <w:spacing w:after="0" w:line="225" w:lineRule="exact"/>
        <w:rPr>
          <w:rFonts w:ascii="Times New Roman" w:cs="Times New Roman" w:eastAsia="Times New Roman" w:hAnsi="Times New Roman"/>
          <w:sz w:val="18"/>
          <w:szCs w:val="18"/>
          <w:color w:val="auto"/>
        </w:rPr>
      </w:pPr>
    </w:p>
    <w:p>
      <w:pPr>
        <w:ind w:left="445" w:right="60" w:hanging="445"/>
        <w:spacing w:after="0" w:line="282" w:lineRule="auto"/>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 including product approval requirements and pricing regulations by U.S. regulatory authorities (such as the Centers for Medicare &amp; Medicaid Services) and foreign regulatory authorities;</w:t>
      </w:r>
    </w:p>
    <w:p>
      <w:pPr>
        <w:spacing w:after="0" w:line="161" w:lineRule="exact"/>
        <w:rPr>
          <w:rFonts w:ascii="Times New Roman" w:cs="Times New Roman" w:eastAsia="Times New Roman" w:hAnsi="Times New Roman"/>
          <w:sz w:val="18"/>
          <w:szCs w:val="18"/>
          <w:color w:val="auto"/>
        </w:rPr>
      </w:pPr>
    </w:p>
    <w:p>
      <w:pPr>
        <w:ind w:left="445" w:hanging="445"/>
        <w:spacing w:after="0"/>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225" w:lineRule="exact"/>
        <w:rPr>
          <w:rFonts w:ascii="Times New Roman" w:cs="Times New Roman" w:eastAsia="Times New Roman" w:hAnsi="Times New Roman"/>
          <w:sz w:val="18"/>
          <w:szCs w:val="18"/>
          <w:color w:val="auto"/>
        </w:rPr>
      </w:pPr>
    </w:p>
    <w:p>
      <w:pPr>
        <w:ind w:left="445" w:right="780" w:hanging="445"/>
        <w:spacing w:after="0" w:line="282" w:lineRule="auto"/>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the ability of third parties with whom we contract) to produce our products or product candidates with advantages in turnaround times or manufacturing cost;</w:t>
      </w:r>
    </w:p>
    <w:p>
      <w:pPr>
        <w:spacing w:after="0" w:line="378" w:lineRule="exact"/>
        <w:rPr>
          <w:sz w:val="20"/>
          <w:szCs w:val="20"/>
          <w:color w:val="auto"/>
        </w:rPr>
      </w:pPr>
    </w:p>
    <w:p>
      <w:pPr>
        <w:jc w:val="center"/>
        <w:ind w:right="535"/>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5"/>
          </w:cols>
          <w:pgMar w:left="895" w:top="985" w:right="359" w:bottom="1440" w:gutter="0" w:footer="0" w:header="0"/>
        </w:sectPr>
      </w:pPr>
    </w:p>
    <w:bookmarkStart w:id="5" w:name="page6"/>
    <w:bookmarkEnd w:id="5"/>
    <w:p>
      <w:pPr>
        <w:ind w:left="1020" w:right="240" w:hanging="445"/>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the deep, durable target inhibition - with favorable tolerability and safety profiles - necessary to maximize clinical benefit as a result of the unique ability of synthetic lethal targeting to spare normal cells, as well as the success of competing therapies that are or may become available;</w:t>
      </w:r>
    </w:p>
    <w:p>
      <w:pPr>
        <w:spacing w:after="0" w:line="175" w:lineRule="exact"/>
        <w:rPr>
          <w:rFonts w:ascii="Times New Roman" w:cs="Times New Roman" w:eastAsia="Times New Roman" w:hAnsi="Times New Roman"/>
          <w:sz w:val="18"/>
          <w:szCs w:val="18"/>
          <w:color w:val="auto"/>
        </w:rPr>
      </w:pPr>
    </w:p>
    <w:p>
      <w:pPr>
        <w:ind w:left="1020" w:hanging="445"/>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225" w:lineRule="exact"/>
        <w:rPr>
          <w:rFonts w:ascii="Times New Roman" w:cs="Times New Roman" w:eastAsia="Times New Roman" w:hAnsi="Times New Roman"/>
          <w:sz w:val="18"/>
          <w:szCs w:val="18"/>
          <w:color w:val="auto"/>
        </w:rPr>
      </w:pPr>
    </w:p>
    <w:p>
      <w:pPr>
        <w:ind w:left="1020" w:hanging="445"/>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225" w:lineRule="exact"/>
        <w:rPr>
          <w:rFonts w:ascii="Times New Roman" w:cs="Times New Roman" w:eastAsia="Times New Roman" w:hAnsi="Times New Roman"/>
          <w:sz w:val="18"/>
          <w:szCs w:val="18"/>
          <w:color w:val="auto"/>
        </w:rPr>
      </w:pPr>
    </w:p>
    <w:p>
      <w:pPr>
        <w:ind w:left="1020" w:hanging="445"/>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industry;</w:t>
      </w:r>
    </w:p>
    <w:p>
      <w:pPr>
        <w:spacing w:after="0" w:line="225" w:lineRule="exact"/>
        <w:rPr>
          <w:rFonts w:ascii="Times New Roman" w:cs="Times New Roman" w:eastAsia="Times New Roman" w:hAnsi="Times New Roman"/>
          <w:sz w:val="18"/>
          <w:szCs w:val="18"/>
          <w:color w:val="auto"/>
        </w:rPr>
      </w:pPr>
    </w:p>
    <w:p>
      <w:pPr>
        <w:ind w:left="1020" w:right="480" w:hanging="445"/>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trade restrictions (such as sanctions or tariffs); regulatory requirements, legal actions, or enforcement; inflation rates; and inadequate funding for government agencies on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1020" w:right="360" w:hanging="445"/>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public health crises on our business operations, including but not limited to our preclinical studies and clinical trials and any future studies or trials;</w:t>
      </w:r>
    </w:p>
    <w:p>
      <w:pPr>
        <w:spacing w:after="0" w:line="161" w:lineRule="exact"/>
        <w:rPr>
          <w:rFonts w:ascii="Times New Roman" w:cs="Times New Roman" w:eastAsia="Times New Roman" w:hAnsi="Times New Roman"/>
          <w:sz w:val="18"/>
          <w:szCs w:val="18"/>
          <w:color w:val="auto"/>
        </w:rPr>
      </w:pPr>
    </w:p>
    <w:p>
      <w:pPr>
        <w:ind w:left="1020" w:hanging="445"/>
        <w:spacing w:after="0" w:line="26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the use of our drugs in patients as single agents and/or in combination, including our belief that TNG456 has sufficient brain penetrance to potentially have meaningful efficacy in glioblastoma and our expectations regarding future clinical trials, including our belief that the ongoing Phase 1/2 combination study of vopimetostat and RAS(ON) inhibitors has the potential to support a first line pancreatic cancer pivotal study in MTAP-deleted/RAS mutated patients; and</w:t>
      </w:r>
    </w:p>
    <w:p>
      <w:pPr>
        <w:spacing w:after="0" w:line="179" w:lineRule="exact"/>
        <w:rPr>
          <w:rFonts w:ascii="Times New Roman" w:cs="Times New Roman" w:eastAsia="Times New Roman" w:hAnsi="Times New Roman"/>
          <w:sz w:val="18"/>
          <w:szCs w:val="18"/>
          <w:color w:val="auto"/>
        </w:rPr>
      </w:pPr>
    </w:p>
    <w:p>
      <w:pPr>
        <w:ind w:left="1020" w:right="220" w:hanging="445"/>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identified in Part II, Item 1A of this Quarterly Report on Form 10-Q and in Part I, Item 1A of our Annual Report on Form 10-K for the year ended December 31, 2024. In both cases, see section titled “Risk Factors.”</w:t>
      </w:r>
    </w:p>
    <w:p>
      <w:pPr>
        <w:spacing w:after="0" w:line="378" w:lineRule="exact"/>
        <w:rPr>
          <w:sz w:val="20"/>
          <w:szCs w:val="20"/>
          <w:color w:val="auto"/>
        </w:rPr>
      </w:pPr>
    </w:p>
    <w:p>
      <w:pPr>
        <w:ind w:firstLine="495"/>
        <w:spacing w:after="0" w:line="253" w:lineRule="auto"/>
        <w:rPr>
          <w:sz w:val="20"/>
          <w:szCs w:val="20"/>
          <w:color w:val="auto"/>
        </w:rPr>
      </w:pPr>
      <w:r>
        <w:rPr>
          <w:rFonts w:ascii="Times New Roman" w:cs="Times New Roman" w:eastAsia="Times New Roman" w:hAnsi="Times New Roman"/>
          <w:sz w:val="18"/>
          <w:szCs w:val="18"/>
          <w:color w:val="auto"/>
        </w:rPr>
        <w:t>The forward-looking statements contained in Part I, Item 1A of our Annual Report on Form 10-K for the year ended December 31, 2024 and Part II, Item 1A of this Quarterly Report on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Part I, Item 1A of our Annual Report on Form 10-K for the year ended December 31, 2024. Should one or more of these risks or uncertainties materialize, or should any of our assumptions prove incorrect, actual results may vary in material respects from those projected in these forward-looking statements. There may be additional risks that we currently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DEFINED TERMS IN THIS QUARTERLY REPORT ON FORM 10-Q</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in this Quarterly Report on Form 10-Q for the quarter ended September 30, 2025, we use the following defined terms:</w:t>
      </w:r>
    </w:p>
    <w:p>
      <w:pPr>
        <w:spacing w:after="0" w:line="54"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“we”, “our” and “us” mean Tango Therapeutics, Inc. and its wholly-owned subsidiaries;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means the merger of BCTG Merger Sub Inc. with and into Tango Therapeutics, Inc. (now known as Tango Therapeutics Sub, Inc.) on August 10, 2021, with Tango Therapeutics, Inc. as the surviving company in the merger as a wholly-owned subsidiary of BCTG Acquisition Corp. (now known as Tango Therapeutics, Inc.);</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“CNS” means central nervous system;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“CoREST” means Co-repressor of Repressor Element-1 Silencing Transcription;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means U.S. Food and Drug Administration;</w:t>
      </w:r>
    </w:p>
    <w:p>
      <w:pPr>
        <w:spacing w:after="0" w:line="10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“FOCAD” means focadhesin;</w:t>
      </w:r>
    </w:p>
    <w:p>
      <w:pPr>
        <w:spacing w:after="0" w:line="1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means Gilead Sciences,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 w:name="page7"/>
    <w:bookmarkEnd w:id="6"/>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“GBM” means glioblastoma;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 means Investigational New Drug Application;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“MTA” means methylthioadenosine;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“MTAP” means methylthioadenosine phosphorylase;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“NSCLC” means non-small cell lung cancer;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“PRMT5” means protein arginine methyltransferase 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Report” means this Quarterly Report on Form 10-Q for the quarter ended September 30, 2025;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“STK11” means serine-threonine kinase 11;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“USP1” means ubiquitin-specific protease 1.</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were formerly known as BCTG Acquisition Corp., or BCTG, and were incorporated in Delaware in May 2020 as a special purpose acquisition company, formed for the purpose of effecting a merger, capital stock exchange, asset acquisition, stock purchase, reorganization or other similar business combination. On August 10, 2021, we consummated the merger pursuant to the Agreement and Plan of Merger, dated as of April 13, 2021, by and among BCTG, BCTG Merger Sub Inc. and Tango Therapeutics Sub, Inc. Upon the consummation of the merger, we changed our name to Tango Therapeutics, Inc.</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Current Reports on Form 8-K, including exhibits, proxy and information statements and amendments to those reports filed or furnished pursuant to Sections 13(a), 14, and 15(d) of the Securities Exchange Act of 1934, as amended, or the Exchange Act, are available through the “Investors” portion of our website free of charge as soon as reasonably practicable after we electronically file such material with, or furnish it to, the Securities and Exchange Commission, or SEC. </w:t>
      </w:r>
      <w:r>
        <w:rPr>
          <w:rFonts w:ascii="Times New Roman" w:cs="Times New Roman" w:eastAsia="Times New Roman" w:hAnsi="Times New Roman"/>
          <w:sz w:val="19"/>
          <w:szCs w:val="19"/>
          <w:color w:val="auto"/>
        </w:rPr>
        <w:t>W</w:t>
      </w:r>
      <w:r>
        <w:rPr>
          <w:rFonts w:ascii="Times New Roman" w:cs="Times New Roman" w:eastAsia="Times New Roman" w:hAnsi="Times New Roman"/>
          <w:sz w:val="18"/>
          <w:szCs w:val="18"/>
          <w:color w:val="auto"/>
        </w:rPr>
        <w:t>e also make available, free of charge on our website, the reports filed with the SEC by our executive officers, directors and 10% stockholders pursuant to Section 16 under the Exchange Act as soon as reasonably practicable a</w:t>
      </w:r>
      <w:r>
        <w:rPr>
          <w:rFonts w:ascii="Times New Roman" w:cs="Times New Roman" w:eastAsia="Times New Roman" w:hAnsi="Times New Roman"/>
          <w:sz w:val="19"/>
          <w:szCs w:val="19"/>
          <w:color w:val="auto"/>
        </w:rPr>
        <w:t>f</w:t>
      </w:r>
      <w:r>
        <w:rPr>
          <w:rFonts w:ascii="Times New Roman" w:cs="Times New Roman" w:eastAsia="Times New Roman" w:hAnsi="Times New Roman"/>
          <w:sz w:val="18"/>
          <w:szCs w:val="18"/>
          <w:color w:val="auto"/>
        </w:rPr>
        <w:t>ter copies of those filings are provided to us by those persons</w:t>
      </w:r>
      <w:r>
        <w:rPr>
          <w:rFonts w:ascii="Times New Roman" w:cs="Times New Roman" w:eastAsia="Times New Roman" w:hAnsi="Times New Roman"/>
          <w:sz w:val="19"/>
          <w:szCs w:val="19"/>
          <w:color w:val="auto"/>
        </w:rPr>
        <w:t>. A</w:t>
      </w:r>
      <w:r>
        <w:rPr>
          <w:rFonts w:ascii="Times New Roman" w:cs="Times New Roman" w:eastAsia="Times New Roman" w:hAnsi="Times New Roman"/>
          <w:sz w:val="18"/>
          <w:szCs w:val="18"/>
          <w:color w:val="auto"/>
        </w:rPr>
        <w:t>ccordingly, investors should monitor such portions of the Company’s website, in addition to following the Company’s press releases, SEC filings and public conference calls and webcasts (if any). Information on our website is not to be deemed to be incorporated by reference in, and is not part of, this Quarterly Report on Form 10-Q or any of our other securities filings, unless specifically incorporated herein by reference, and should not be relied upon in making a decision as to whether or not to purchase our common stock. Our filings with the SEC may be accessed through the SEC’s Interactive Data Electronic Applications system at http://www.sec.gov.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192"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Further, the Company intends to use its website at http://www.tangotx.com as a means of disclosing material non-public information and for complying with its disclosure obligations under the SEC Regulation FD. Such disclosures will be included on the Company’s website under the heading “Investors.” Accordingly, investors should monitor such portions of the Company’s website, in addition to following the Company’s press releases, SEC filings and public conference calls and webcasts (if any). The information contained on, or that may be accessed through, the website is not part of, and is not incorporated into, this Quarterly Report on Form 10-Q.</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principal executive office is located at 201 Brookline Avenue, Suite 901, Boston, Massachusetts 02215.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 w:name="page8"/>
    <w:bookmarkEnd w:id="7"/>
    <w:p>
      <w:pPr>
        <w:ind w:left="402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5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09"/>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58,338</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69,530</w:t>
            </w:r>
          </w:p>
        </w:tc>
        <w:tc>
          <w:tcPr>
            <w:tcW w:w="120" w:type="dxa"/>
            <w:vAlign w:val="bottom"/>
            <w:shd w:val="clear" w:color="auto" w:fill="CFF0FC"/>
          </w:tcPr>
          <w:p>
            <w:pPr>
              <w:spacing w:after="0"/>
              <w:rPr>
                <w:sz w:val="18"/>
                <w:szCs w:val="18"/>
                <w:color w:val="auto"/>
              </w:rPr>
            </w:pPr>
          </w:p>
        </w:tc>
      </w:tr>
      <w:tr>
        <w:trPr>
          <w:trHeight w:val="216"/>
        </w:trPr>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94,473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188,387</w:t>
            </w:r>
          </w:p>
        </w:tc>
        <w:tc>
          <w:tcPr>
            <w:tcW w:w="120" w:type="dxa"/>
            <w:vAlign w:val="bottom"/>
          </w:tcPr>
          <w:p>
            <w:pPr>
              <w:spacing w:after="0"/>
              <w:rPr>
                <w:sz w:val="18"/>
                <w:szCs w:val="18"/>
                <w:color w:val="auto"/>
              </w:rPr>
            </w:pPr>
          </w:p>
        </w:tc>
      </w:tr>
      <w:tr>
        <w:trPr>
          <w:trHeight w:val="216"/>
        </w:trPr>
        <w:tc>
          <w:tcPr>
            <w:tcW w:w="6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10,540</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8,426</w:t>
            </w:r>
          </w:p>
        </w:tc>
        <w:tc>
          <w:tcPr>
            <w:tcW w:w="120" w:type="dxa"/>
            <w:vAlign w:val="bottom"/>
          </w:tcPr>
          <w:p>
            <w:pPr>
              <w:spacing w:after="0"/>
              <w:rPr>
                <w:sz w:val="18"/>
                <w:szCs w:val="18"/>
                <w:color w:val="auto"/>
              </w:rPr>
            </w:pPr>
          </w:p>
        </w:tc>
      </w:tr>
      <w:tr>
        <w:trPr>
          <w:trHeight w:val="210"/>
        </w:trPr>
        <w:tc>
          <w:tcPr>
            <w:tcW w:w="63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163,779</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266,343</w:t>
            </w:r>
          </w:p>
        </w:tc>
        <w:tc>
          <w:tcPr>
            <w:tcW w:w="12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12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36,582</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39,476</w:t>
            </w:r>
          </w:p>
        </w:tc>
        <w:tc>
          <w:tcPr>
            <w:tcW w:w="12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net of current portion</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20" w:type="dxa"/>
            <w:vAlign w:val="bottom"/>
          </w:tcPr>
          <w:p>
            <w:pPr>
              <w:spacing w:after="0"/>
              <w:rPr>
                <w:sz w:val="18"/>
                <w:szCs w:val="18"/>
                <w:color w:val="auto"/>
              </w:rPr>
            </w:pPr>
          </w:p>
        </w:tc>
      </w:tr>
      <w:tr>
        <w:trPr>
          <w:trHeight w:val="216"/>
        </w:trPr>
        <w:tc>
          <w:tcPr>
            <w:tcW w:w="6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210,136</w:t>
            </w:r>
          </w:p>
        </w:tc>
        <w:tc>
          <w:tcPr>
            <w:tcW w:w="30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316,492</w:t>
            </w:r>
          </w:p>
        </w:tc>
        <w:tc>
          <w:tcPr>
            <w:tcW w:w="120" w:type="dxa"/>
            <w:vAlign w:val="bottom"/>
          </w:tcPr>
          <w:p>
            <w:pPr>
              <w:spacing w:after="0"/>
              <w:rPr>
                <w:sz w:val="18"/>
                <w:szCs w:val="18"/>
                <w:color w:val="auto"/>
              </w:rPr>
            </w:pPr>
          </w:p>
        </w:tc>
      </w:tr>
      <w:tr>
        <w:trPr>
          <w:trHeight w:val="209"/>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20" w:type="dxa"/>
            <w:vAlign w:val="bottom"/>
            <w:shd w:val="clear" w:color="auto" w:fill="CFF0FC"/>
          </w:tcPr>
          <w:p>
            <w:pPr>
              <w:spacing w:after="0"/>
              <w:rPr>
                <w:sz w:val="18"/>
                <w:szCs w:val="18"/>
                <w:color w:val="auto"/>
              </w:rPr>
            </w:pPr>
          </w:p>
        </w:tc>
      </w:tr>
      <w:tr>
        <w:trPr>
          <w:trHeight w:val="216"/>
        </w:trPr>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16,497</w:t>
            </w:r>
          </w:p>
        </w:tc>
        <w:tc>
          <w:tcPr>
            <w:tcW w:w="120" w:type="dxa"/>
            <w:vAlign w:val="bottom"/>
          </w:tcPr>
          <w:p>
            <w:pPr>
              <w:spacing w:after="0"/>
              <w:rPr>
                <w:sz w:val="18"/>
                <w:szCs w:val="18"/>
                <w:color w:val="auto"/>
              </w:rPr>
            </w:pPr>
          </w:p>
        </w:tc>
      </w:tr>
      <w:tr>
        <w:trPr>
          <w:trHeight w:val="216"/>
        </w:trPr>
        <w:tc>
          <w:tcPr>
            <w:tcW w:w="6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20" w:type="dxa"/>
            <w:vAlign w:val="bottom"/>
            <w:shd w:val="clear" w:color="auto" w:fill="CFF0FC"/>
          </w:tcPr>
          <w:p>
            <w:pPr>
              <w:spacing w:after="0"/>
              <w:rPr>
                <w:sz w:val="18"/>
                <w:szCs w:val="18"/>
                <w:color w:val="auto"/>
              </w:rPr>
            </w:pPr>
          </w:p>
        </w:tc>
      </w:tr>
      <w:tr>
        <w:trPr>
          <w:trHeight w:val="216"/>
        </w:trPr>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8"/>
                <w:szCs w:val="18"/>
                <w:color w:val="auto"/>
              </w:rPr>
            </w:pPr>
          </w:p>
        </w:tc>
        <w:tc>
          <w:tcPr>
            <w:tcW w:w="1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17,618</w:t>
            </w:r>
          </w:p>
        </w:tc>
        <w:tc>
          <w:tcPr>
            <w:tcW w:w="120" w:type="dxa"/>
            <w:vAlign w:val="bottom"/>
          </w:tcPr>
          <w:p>
            <w:pPr>
              <w:spacing w:after="0"/>
              <w:rPr>
                <w:sz w:val="18"/>
                <w:szCs w:val="18"/>
                <w:color w:val="auto"/>
              </w:rPr>
            </w:pPr>
          </w:p>
        </w:tc>
      </w:tr>
      <w:tr>
        <w:trPr>
          <w:trHeight w:val="210"/>
        </w:trPr>
        <w:tc>
          <w:tcPr>
            <w:tcW w:w="63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18,444</w:t>
            </w:r>
          </w:p>
        </w:tc>
        <w:tc>
          <w:tcPr>
            <w:tcW w:w="3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38,170</w:t>
            </w:r>
          </w:p>
        </w:tc>
        <w:tc>
          <w:tcPr>
            <w:tcW w:w="12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34,039</w:t>
            </w:r>
          </w:p>
        </w:tc>
        <w:tc>
          <w:tcPr>
            <w:tcW w:w="12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44,766</w:t>
            </w:r>
          </w:p>
        </w:tc>
        <w:tc>
          <w:tcPr>
            <w:tcW w:w="120" w:type="dxa"/>
            <w:vAlign w:val="bottom"/>
            <w:shd w:val="clear" w:color="auto" w:fill="CFF0FC"/>
          </w:tcPr>
          <w:p>
            <w:pPr>
              <w:spacing w:after="0"/>
              <w:rPr>
                <w:sz w:val="18"/>
                <w:szCs w:val="18"/>
                <w:color w:val="auto"/>
              </w:rPr>
            </w:pPr>
          </w:p>
        </w:tc>
      </w:tr>
      <w:tr>
        <w:trPr>
          <w:trHeight w:val="210"/>
        </w:trPr>
        <w:tc>
          <w:tcPr>
            <w:tcW w:w="6360" w:type="dxa"/>
            <w:vAlign w:val="bottom"/>
            <w:tcBorders>
              <w:top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50,105</w:t>
            </w:r>
          </w:p>
        </w:tc>
        <w:tc>
          <w:tcPr>
            <w:tcW w:w="30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116,975</w:t>
            </w:r>
          </w:p>
        </w:tc>
        <w:tc>
          <w:tcPr>
            <w:tcW w:w="120" w:type="dxa"/>
            <w:vAlign w:val="bottom"/>
            <w:tcBorders>
              <w:top w:val="single" w:sz="8" w:color="CFF0FC"/>
            </w:tcBorders>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8"/>
        </w:trPr>
        <w:tc>
          <w:tcPr>
            <w:tcW w:w="6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 shares</w:t>
            </w: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authorized; no shares issued and outstanding as of September 30, 2025</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December 31, 2024, respectively</w:t>
            </w:r>
          </w:p>
        </w:tc>
        <w:tc>
          <w:tcPr>
            <w:tcW w:w="240" w:type="dxa"/>
            <w:vAlign w:val="bottom"/>
          </w:tcPr>
          <w:p>
            <w:pPr>
              <w:spacing w:after="0"/>
              <w:rPr>
                <w:sz w:val="20"/>
                <w:szCs w:val="20"/>
                <w:color w:val="auto"/>
              </w:rPr>
            </w:pPr>
          </w:p>
        </w:tc>
        <w:tc>
          <w:tcPr>
            <w:tcW w:w="1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8"/>
        </w:trPr>
        <w:tc>
          <w:tcPr>
            <w:tcW w:w="6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400,000,000 and 200,000,000 shares</w:t>
            </w: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authorized at September 30, 2025 and December 31, 2024, respectively;</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111,567,062 and 107,729,343 shares issued and outstanding as of</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September 30, 2025 and December 31, 2024, respectively</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0"/>
                <w:szCs w:val="20"/>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724,201</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700,631</w:t>
            </w:r>
          </w:p>
        </w:tc>
        <w:tc>
          <w:tcPr>
            <w:tcW w:w="12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(564,403)</w:t>
            </w:r>
          </w:p>
        </w:tc>
        <w:tc>
          <w:tcPr>
            <w:tcW w:w="2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(501,558)</w:t>
            </w:r>
          </w:p>
        </w:tc>
      </w:tr>
      <w:tr>
        <w:trPr>
          <w:trHeight w:val="210"/>
        </w:trPr>
        <w:tc>
          <w:tcPr>
            <w:tcW w:w="636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160,031</w:t>
            </w:r>
          </w:p>
        </w:tc>
        <w:tc>
          <w:tcPr>
            <w:tcW w:w="3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199,517</w:t>
            </w:r>
          </w:p>
        </w:tc>
        <w:tc>
          <w:tcPr>
            <w:tcW w:w="120" w:type="dxa"/>
            <w:vAlign w:val="bottom"/>
            <w:tcBorders>
              <w:top w:val="single" w:sz="8" w:color="CFF0FC"/>
            </w:tcBorders>
          </w:tcPr>
          <w:p>
            <w:pPr>
              <w:spacing w:after="0"/>
              <w:rPr>
                <w:sz w:val="18"/>
                <w:szCs w:val="18"/>
                <w:color w:val="auto"/>
              </w:rPr>
            </w:pPr>
          </w:p>
        </w:tc>
      </w:tr>
      <w:tr>
        <w:trPr>
          <w:trHeight w:val="250"/>
        </w:trPr>
        <w:tc>
          <w:tcPr>
            <w:tcW w:w="63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210,136</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316,492</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-3505200</wp:posOffset>
            </wp:positionV>
            <wp:extent cx="603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-3505200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-2108200</wp:posOffset>
            </wp:positionV>
            <wp:extent cx="603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-2108200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-316865</wp:posOffset>
            </wp:positionV>
            <wp:extent cx="603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-316865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-24765</wp:posOffset>
            </wp:positionV>
            <wp:extent cx="60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-7620</wp:posOffset>
            </wp:positionV>
            <wp:extent cx="603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981" w:right="899" w:bottom="1440" w:gutter="0" w:footer="0" w:header="0"/>
        </w:sectPr>
      </w:pPr>
    </w:p>
    <w:bookmarkStart w:id="8" w:name="page9"/>
    <w:bookmarkEnd w:id="8"/>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8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3"/>
                <w:szCs w:val="13"/>
                <w:color w:val="auto"/>
              </w:rPr>
            </w:pPr>
          </w:p>
        </w:tc>
        <w:tc>
          <w:tcPr>
            <w:tcW w:w="250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3"/>
        </w:trPr>
        <w:tc>
          <w:tcPr>
            <w:tcW w:w="46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53,811</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62,384</w:t>
            </w:r>
          </w:p>
        </w:tc>
        <w:tc>
          <w:tcPr>
            <w:tcW w:w="1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25,852</w:t>
            </w:r>
          </w:p>
        </w:tc>
        <w:tc>
          <w:tcPr>
            <w:tcW w:w="100" w:type="dxa"/>
            <w:vAlign w:val="bottom"/>
            <w:shd w:val="clear" w:color="auto" w:fill="CFF0FC"/>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100" w:type="dxa"/>
            <w:vAlign w:val="bottom"/>
          </w:tcPr>
          <w:p>
            <w:pPr>
              <w:spacing w:after="0"/>
              <w:rPr>
                <w:sz w:val="18"/>
                <w:szCs w:val="18"/>
                <w:color w:val="auto"/>
              </w:rPr>
            </w:pPr>
          </w:p>
        </w:tc>
      </w:tr>
      <w:tr>
        <w:trPr>
          <w:trHeight w:val="209"/>
        </w:trPr>
        <w:tc>
          <w:tcPr>
            <w:tcW w:w="46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53,811</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11,607</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62,384</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30,815</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33,263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100,064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109,981</w:t>
            </w:r>
          </w:p>
        </w:tc>
        <w:tc>
          <w:tcPr>
            <w:tcW w:w="100" w:type="dxa"/>
            <w:vAlign w:val="bottom"/>
            <w:shd w:val="clear" w:color="auto" w:fill="CFF0FC"/>
          </w:tcPr>
          <w:p>
            <w:pPr>
              <w:spacing w:after="0"/>
              <w:rPr>
                <w:sz w:val="18"/>
                <w:szCs w:val="18"/>
                <w:color w:val="auto"/>
              </w:rPr>
            </w:pPr>
          </w:p>
        </w:tc>
      </w:tr>
      <w:tr>
        <w:trPr>
          <w:trHeight w:val="216"/>
        </w:trPr>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8,924</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11,222</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31,745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32,656</w:t>
            </w:r>
          </w:p>
        </w:tc>
        <w:tc>
          <w:tcPr>
            <w:tcW w:w="100" w:type="dxa"/>
            <w:vAlign w:val="bottom"/>
          </w:tcPr>
          <w:p>
            <w:pPr>
              <w:spacing w:after="0"/>
              <w:rPr>
                <w:sz w:val="18"/>
                <w:szCs w:val="18"/>
                <w:color w:val="auto"/>
              </w:rPr>
            </w:pPr>
          </w:p>
        </w:tc>
      </w:tr>
      <w:tr>
        <w:trPr>
          <w:trHeight w:val="210"/>
        </w:trPr>
        <w:tc>
          <w:tcPr>
            <w:tcW w:w="46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39,739</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44,485</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131,809</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(32,878)</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(104,685)</w:t>
            </w:r>
          </w:p>
        </w:tc>
      </w:tr>
      <w:tr>
        <w:trPr>
          <w:trHeight w:val="21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6,077</w:t>
            </w:r>
          </w:p>
        </w:tc>
        <w:tc>
          <w:tcPr>
            <w:tcW w:w="100" w:type="dxa"/>
            <w:vAlign w:val="bottom"/>
          </w:tcPr>
          <w:p>
            <w:pPr>
              <w:spacing w:after="0"/>
              <w:rPr>
                <w:sz w:val="18"/>
                <w:szCs w:val="18"/>
                <w:color w:val="auto"/>
              </w:rPr>
            </w:pPr>
          </w:p>
        </w:tc>
      </w:tr>
      <w:tr>
        <w:trPr>
          <w:trHeight w:val="216"/>
        </w:trPr>
        <w:tc>
          <w:tcPr>
            <w:tcW w:w="46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other income, net</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12,212</w:t>
            </w:r>
          </w:p>
        </w:tc>
        <w:tc>
          <w:tcPr>
            <w:tcW w:w="100" w:type="dxa"/>
            <w:vAlign w:val="bottom"/>
          </w:tcPr>
          <w:p>
            <w:pPr>
              <w:spacing w:after="0"/>
              <w:rPr>
                <w:sz w:val="18"/>
                <w:szCs w:val="18"/>
                <w:color w:val="auto"/>
              </w:rPr>
            </w:pPr>
          </w:p>
        </w:tc>
      </w:tr>
      <w:tr>
        <w:trPr>
          <w:trHeight w:val="209"/>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Pretax income (loss)</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15,874</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(29,113)</w:t>
            </w: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(62,786)</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(92,473)</w:t>
            </w:r>
          </w:p>
        </w:tc>
      </w:tr>
      <w:tr>
        <w:trPr>
          <w:trHeight w:val="216"/>
        </w:trPr>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w:t>
            </w:r>
          </w:p>
        </w:tc>
      </w:tr>
      <w:tr>
        <w:trPr>
          <w:trHeight w:val="20"/>
        </w:trPr>
        <w:tc>
          <w:tcPr>
            <w:tcW w:w="4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15,884</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(29,167)</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(62,845)</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(92,632)</w:t>
            </w:r>
          </w:p>
        </w:tc>
      </w:tr>
      <w:tr>
        <w:trPr>
          <w:trHeight w:val="209"/>
        </w:trPr>
        <w:tc>
          <w:tcPr>
            <w:tcW w:w="46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common share – basic</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(0.27)</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(0.57)</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(0.85)</w:t>
            </w:r>
          </w:p>
        </w:tc>
      </w:tr>
      <w:tr>
        <w:trPr>
          <w:trHeight w:val="198"/>
        </w:trPr>
        <w:tc>
          <w:tcPr>
            <w:tcW w:w="4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 outstanding –</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110,966,345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108,507,390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110,761,673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108,990,011</w:t>
            </w:r>
          </w:p>
        </w:tc>
        <w:tc>
          <w:tcPr>
            <w:tcW w:w="100" w:type="dxa"/>
            <w:vAlign w:val="bottom"/>
          </w:tcPr>
          <w:p>
            <w:pPr>
              <w:spacing w:after="0"/>
              <w:rPr>
                <w:sz w:val="20"/>
                <w:szCs w:val="20"/>
                <w:color w:val="auto"/>
              </w:rPr>
            </w:pPr>
          </w:p>
        </w:tc>
      </w:tr>
      <w:tr>
        <w:trPr>
          <w:trHeight w:val="216"/>
        </w:trPr>
        <w:tc>
          <w:tcPr>
            <w:tcW w:w="4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common share –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(0.57)</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(0.85)</w:t>
            </w:r>
          </w:p>
        </w:tc>
      </w:tr>
      <w:tr>
        <w:trPr>
          <w:trHeight w:val="198"/>
        </w:trPr>
        <w:tc>
          <w:tcPr>
            <w:tcW w:w="46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 outstanding –</w:t>
            </w: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117,782,074</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108,507,390</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110,761,673</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108,990,011</w:t>
            </w:r>
          </w:p>
        </w:tc>
        <w:tc>
          <w:tcPr>
            <w:tcW w:w="100" w:type="dxa"/>
            <w:vAlign w:val="bottom"/>
            <w:shd w:val="clear" w:color="auto" w:fill="CFF0FC"/>
          </w:tcPr>
          <w:p>
            <w:pPr>
              <w:spacing w:after="0"/>
              <w:rPr>
                <w:sz w:val="20"/>
                <w:szCs w:val="20"/>
                <w:color w:val="auto"/>
              </w:rPr>
            </w:pPr>
          </w:p>
        </w:tc>
      </w:tr>
      <w:tr>
        <w:trPr>
          <w:trHeight w:val="216"/>
        </w:trPr>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15,884</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(29,167)</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(62,845)</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(92,632)</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shd w:val="clear" w:color="auto" w:fill="CFF0FC"/>
          </w:tcPr>
          <w:p>
            <w:pPr>
              <w:spacing w:after="0"/>
              <w:rPr>
                <w:sz w:val="18"/>
                <w:szCs w:val="18"/>
                <w:color w:val="auto"/>
              </w:rPr>
            </w:pPr>
          </w:p>
        </w:tc>
      </w:tr>
      <w:tr>
        <w:trPr>
          <w:trHeight w:val="20"/>
        </w:trPr>
        <w:tc>
          <w:tcPr>
            <w:tcW w:w="46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15,911</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(28,083)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(63,060)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(92,068)</w:t>
            </w:r>
          </w:p>
        </w:tc>
      </w:tr>
      <w:tr>
        <w:trPr>
          <w:trHeight w:val="20"/>
        </w:trPr>
        <w:tc>
          <w:tcPr>
            <w:tcW w:w="4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-3522345</wp:posOffset>
            </wp:positionV>
            <wp:extent cx="596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-3522345</wp:posOffset>
            </wp:positionV>
            <wp:extent cx="596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-3522345</wp:posOffset>
            </wp:positionV>
            <wp:extent cx="603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-3522345</wp:posOffset>
            </wp:positionV>
            <wp:extent cx="603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-2956560</wp:posOffset>
            </wp:positionV>
            <wp:extent cx="596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-2956560</wp:posOffset>
            </wp:positionV>
            <wp:extent cx="596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-2956560</wp:posOffset>
            </wp:positionV>
            <wp:extent cx="60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-2956560</wp:posOffset>
            </wp:positionV>
            <wp:extent cx="603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-2399665</wp:posOffset>
            </wp:positionV>
            <wp:extent cx="596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-2399665</wp:posOffset>
            </wp:positionV>
            <wp:extent cx="596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-2399665</wp:posOffset>
            </wp:positionV>
            <wp:extent cx="603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-2399665</wp:posOffset>
            </wp:positionV>
            <wp:extent cx="603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-1824990</wp:posOffset>
            </wp:positionV>
            <wp:extent cx="596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-1824990</wp:posOffset>
            </wp:positionV>
            <wp:extent cx="596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-1824990</wp:posOffset>
            </wp:positionV>
            <wp:extent cx="603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-1824990</wp:posOffset>
            </wp:positionV>
            <wp:extent cx="603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-170815</wp:posOffset>
            </wp:positionV>
            <wp:extent cx="596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-170815</wp:posOffset>
            </wp:positionV>
            <wp:extent cx="596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-170815</wp:posOffset>
            </wp:positionV>
            <wp:extent cx="603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-170815</wp:posOffset>
            </wp:positionV>
            <wp:extent cx="603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1" w:right="89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14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32"/>
        </w:trPr>
        <w:tc>
          <w:tcPr>
            <w:tcW w:w="2720" w:type="dxa"/>
            <w:vAlign w:val="bottom"/>
          </w:tcPr>
          <w:p>
            <w:pPr>
              <w:spacing w:after="0"/>
              <w:rPr>
                <w:sz w:val="11"/>
                <w:szCs w:val="11"/>
                <w:color w:val="auto"/>
              </w:rPr>
            </w:pPr>
          </w:p>
        </w:tc>
        <w:tc>
          <w:tcPr>
            <w:tcW w:w="1480" w:type="dxa"/>
            <w:vAlign w:val="bottom"/>
            <w:tcBorders>
              <w:bottom w:val="single" w:sz="8" w:color="auto"/>
            </w:tcBorders>
            <w:gridSpan w:val="3"/>
            <w:vMerge w:val="continue"/>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right"/>
              <w:ind w:right="620"/>
              <w:spacing w:after="0" w:line="132"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380"/>
              <w:spacing w:after="0" w:line="132"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200" w:type="dxa"/>
            <w:vAlign w:val="bottom"/>
          </w:tcPr>
          <w:p>
            <w:pPr>
              <w:spacing w:after="0"/>
              <w:rPr>
                <w:sz w:val="11"/>
                <w:szCs w:val="11"/>
                <w:color w:val="auto"/>
              </w:rPr>
            </w:pPr>
          </w:p>
        </w:tc>
        <w:tc>
          <w:tcPr>
            <w:tcW w:w="1240" w:type="dxa"/>
            <w:vAlign w:val="bottom"/>
            <w:gridSpan w:val="2"/>
          </w:tcPr>
          <w:p>
            <w:pPr>
              <w:jc w:val="right"/>
              <w:ind w:right="460"/>
              <w:spacing w:after="0" w:line="132"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400"/>
              <w:spacing w:after="0" w:line="132" w:lineRule="exact"/>
              <w:rPr>
                <w:sz w:val="20"/>
                <w:szCs w:val="20"/>
                <w:color w:val="auto"/>
              </w:rPr>
            </w:pPr>
            <w:r>
              <w:rPr>
                <w:rFonts w:ascii="Times New Roman" w:cs="Times New Roman" w:eastAsia="Times New Roman" w:hAnsi="Times New Roman"/>
                <w:sz w:val="12"/>
                <w:szCs w:val="12"/>
                <w:b w:val="1"/>
                <w:bCs w:val="1"/>
                <w:color w:val="auto"/>
                <w:w w:val="96"/>
              </w:rPr>
              <w:t>Stockholders’</w:t>
            </w:r>
          </w:p>
        </w:tc>
        <w:tc>
          <w:tcPr>
            <w:tcW w:w="0" w:type="dxa"/>
            <w:vAlign w:val="bottom"/>
          </w:tcPr>
          <w:p>
            <w:pPr>
              <w:spacing w:after="0"/>
              <w:rPr>
                <w:sz w:val="1"/>
                <w:szCs w:val="1"/>
                <w:color w:val="auto"/>
              </w:rPr>
            </w:pPr>
          </w:p>
        </w:tc>
      </w:tr>
      <w:tr>
        <w:trPr>
          <w:trHeight w:val="128"/>
        </w:trPr>
        <w:tc>
          <w:tcPr>
            <w:tcW w:w="2720" w:type="dxa"/>
            <w:vAlign w:val="bottom"/>
          </w:tcPr>
          <w:p>
            <w:pPr>
              <w:spacing w:after="0"/>
              <w:rPr>
                <w:sz w:val="11"/>
                <w:szCs w:val="11"/>
                <w:color w:val="auto"/>
              </w:rPr>
            </w:pPr>
          </w:p>
        </w:tc>
        <w:tc>
          <w:tcPr>
            <w:tcW w:w="1020" w:type="dxa"/>
            <w:vAlign w:val="bottom"/>
            <w:tcBorders>
              <w:bottom w:val="single" w:sz="8" w:color="auto"/>
            </w:tcBorders>
          </w:tcPr>
          <w:p>
            <w:pPr>
              <w:jc w:val="right"/>
              <w:ind w:right="293"/>
              <w:spacing w:after="0" w:line="129" w:lineRule="exact"/>
              <w:rPr>
                <w:sz w:val="20"/>
                <w:szCs w:val="20"/>
                <w:color w:val="auto"/>
              </w:rPr>
            </w:pPr>
            <w:r>
              <w:rPr>
                <w:rFonts w:ascii="Times New Roman" w:cs="Times New Roman" w:eastAsia="Times New Roman" w:hAnsi="Times New Roman"/>
                <w:sz w:val="12"/>
                <w:szCs w:val="12"/>
                <w:b w:val="1"/>
                <w:bCs w:val="1"/>
                <w:color w:val="auto"/>
              </w:rPr>
              <w:t>Shares</w:t>
            </w:r>
          </w:p>
        </w:tc>
        <w:tc>
          <w:tcPr>
            <w:tcW w:w="2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73"/>
              <w:spacing w:after="0" w:line="129" w:lineRule="exact"/>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14"/>
              <w:spacing w:after="0" w:line="129" w:lineRule="exact"/>
              <w:rPr>
                <w:sz w:val="20"/>
                <w:szCs w:val="20"/>
                <w:color w:val="auto"/>
              </w:rPr>
            </w:pPr>
            <w:r>
              <w:rPr>
                <w:rFonts w:ascii="Times New Roman" w:cs="Times New Roman" w:eastAsia="Times New Roman" w:hAnsi="Times New Roman"/>
                <w:sz w:val="12"/>
                <w:szCs w:val="12"/>
                <w:b w:val="1"/>
                <w:bCs w:val="1"/>
                <w:color w:val="auto"/>
              </w:rPr>
              <w:t>Capital</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center"/>
              <w:ind w:right="94"/>
              <w:spacing w:after="0" w:line="129" w:lineRule="exact"/>
              <w:rPr>
                <w:sz w:val="20"/>
                <w:szCs w:val="20"/>
                <w:color w:val="auto"/>
              </w:rPr>
            </w:pPr>
            <w:r>
              <w:rPr>
                <w:rFonts w:ascii="Times New Roman" w:cs="Times New Roman" w:eastAsia="Times New Roman" w:hAnsi="Times New Roman"/>
                <w:sz w:val="12"/>
                <w:szCs w:val="12"/>
                <w:b w:val="1"/>
                <w:bCs w:val="1"/>
                <w:color w:val="auto"/>
                <w:w w:val="96"/>
              </w:rPr>
              <w:t>Income (Loss)</w:t>
            </w: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433"/>
              <w:spacing w:after="0" w:line="129" w:lineRule="exact"/>
              <w:rPr>
                <w:sz w:val="20"/>
                <w:szCs w:val="20"/>
                <w:color w:val="auto"/>
              </w:rPr>
            </w:pPr>
            <w:r>
              <w:rPr>
                <w:rFonts w:ascii="Times New Roman" w:cs="Times New Roman" w:eastAsia="Times New Roman" w:hAnsi="Times New Roman"/>
                <w:sz w:val="12"/>
                <w:szCs w:val="12"/>
                <w:b w:val="1"/>
                <w:bCs w:val="1"/>
                <w:color w:val="auto"/>
              </w:rPr>
              <w:t>Deficit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center"/>
              <w:ind w:right="214"/>
              <w:spacing w:after="0" w:line="129" w:lineRule="exact"/>
              <w:rPr>
                <w:sz w:val="20"/>
                <w:szCs w:val="20"/>
                <w:color w:val="auto"/>
              </w:rPr>
            </w:pPr>
            <w:r>
              <w:rPr>
                <w:rFonts w:ascii="Times New Roman" w:cs="Times New Roman" w:eastAsia="Times New Roman" w:hAnsi="Times New Roman"/>
                <w:sz w:val="12"/>
                <w:szCs w:val="12"/>
                <w:b w:val="1"/>
                <w:bCs w:val="1"/>
                <w:color w:val="auto"/>
                <w:w w:val="97"/>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20" w:type="dxa"/>
            <w:vAlign w:val="bottom"/>
            <w:tcBorders>
              <w:right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107,729,343</w:t>
            </w:r>
          </w:p>
        </w:tc>
        <w:tc>
          <w:tcPr>
            <w:tcW w:w="460" w:type="dxa"/>
            <w:vAlign w:val="bottom"/>
            <w:tcBorders>
              <w:left w:val="single" w:sz="8" w:color="CFF0FC"/>
            </w:tcBorders>
            <w:gridSpan w:val="2"/>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108</w:t>
            </w:r>
          </w:p>
        </w:tc>
        <w:tc>
          <w:tcPr>
            <w:tcW w:w="12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700,631</w:t>
            </w:r>
          </w:p>
        </w:tc>
        <w:tc>
          <w:tcPr>
            <w:tcW w:w="12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336</w:t>
            </w:r>
          </w:p>
        </w:tc>
        <w:tc>
          <w:tcPr>
            <w:tcW w:w="22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(501,558)</w:t>
            </w:r>
          </w:p>
        </w:tc>
        <w:tc>
          <w:tcPr>
            <w:tcW w:w="240" w:type="dxa"/>
            <w:vAlign w:val="bottom"/>
            <w:tcBorders>
              <w:left w:val="single" w:sz="8" w:color="CFF0FC"/>
            </w:tcBorders>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199,517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under stock plans</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378,547</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lef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7,255</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7,255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(142)</w:t>
            </w:r>
          </w:p>
        </w:tc>
        <w:tc>
          <w:tcPr>
            <w:tcW w:w="200" w:type="dxa"/>
            <w:vAlign w:val="bottom"/>
          </w:tcPr>
          <w:p>
            <w:pPr>
              <w:spacing w:after="0"/>
              <w:rPr>
                <w:sz w:val="12"/>
                <w:szCs w:val="1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(142)</w:t>
            </w:r>
          </w:p>
        </w:tc>
        <w:tc>
          <w:tcPr>
            <w:tcW w:w="0" w:type="dxa"/>
            <w:vAlign w:val="bottom"/>
          </w:tcPr>
          <w:p>
            <w:pPr>
              <w:spacing w:after="0"/>
              <w:rPr>
                <w:sz w:val="1"/>
                <w:szCs w:val="1"/>
                <w:color w:val="auto"/>
              </w:rPr>
            </w:pPr>
          </w:p>
        </w:tc>
      </w:tr>
      <w:tr>
        <w:trPr>
          <w:trHeight w:val="148"/>
        </w:trPr>
        <w:tc>
          <w:tcPr>
            <w:tcW w:w="27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lef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(39,876)</w:t>
            </w:r>
          </w:p>
        </w:tc>
        <w:tc>
          <w:tcPr>
            <w:tcW w:w="80" w:type="dxa"/>
            <w:vAlign w:val="bottom"/>
            <w:tcBorders>
              <w:lef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(39,876)</w:t>
            </w:r>
          </w:p>
        </w:tc>
        <w:tc>
          <w:tcPr>
            <w:tcW w:w="0" w:type="dxa"/>
            <w:vAlign w:val="bottom"/>
          </w:tcPr>
          <w:p>
            <w:pPr>
              <w:spacing w:after="0"/>
              <w:rPr>
                <w:sz w:val="1"/>
                <w:szCs w:val="1"/>
                <w:color w:val="auto"/>
              </w:rPr>
            </w:pPr>
          </w:p>
        </w:tc>
      </w:tr>
      <w:tr>
        <w:trPr>
          <w:trHeight w:val="20"/>
        </w:trPr>
        <w:tc>
          <w:tcPr>
            <w:tcW w:w="2720" w:type="dxa"/>
            <w:vAlign w:val="bottom"/>
            <w:tcBorders>
              <w:right w:val="single" w:sz="8" w:color="auto"/>
            </w:tcBorders>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tcBorders>
              <w:lef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2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at March 31, 2025</w:t>
            </w: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108,107,890</w:t>
            </w:r>
          </w:p>
        </w:tc>
        <w:tc>
          <w:tcPr>
            <w:tcW w:w="260" w:type="dxa"/>
            <w:vAlign w:val="bottom"/>
          </w:tcPr>
          <w:p>
            <w:pPr>
              <w:spacing w:after="0"/>
              <w:rPr>
                <w:sz w:val="12"/>
                <w:szCs w:val="12"/>
                <w:color w:val="auto"/>
              </w:rPr>
            </w:pPr>
          </w:p>
        </w:tc>
        <w:tc>
          <w:tcPr>
            <w:tcW w:w="2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108</w:t>
            </w:r>
          </w:p>
        </w:tc>
        <w:tc>
          <w:tcPr>
            <w:tcW w:w="120" w:type="dxa"/>
            <w:vAlign w:val="bottom"/>
          </w:tcPr>
          <w:p>
            <w:pPr>
              <w:spacing w:after="0"/>
              <w:rPr>
                <w:sz w:val="12"/>
                <w:szCs w:val="12"/>
                <w:color w:val="auto"/>
              </w:rPr>
            </w:pPr>
          </w:p>
        </w:tc>
        <w:tc>
          <w:tcPr>
            <w:tcW w:w="2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707,888</w:t>
            </w:r>
          </w:p>
        </w:tc>
        <w:tc>
          <w:tcPr>
            <w:tcW w:w="120" w:type="dxa"/>
            <w:vAlign w:val="bottom"/>
          </w:tcPr>
          <w:p>
            <w:pPr>
              <w:spacing w:after="0"/>
              <w:rPr>
                <w:sz w:val="12"/>
                <w:szCs w:val="12"/>
                <w:color w:val="auto"/>
              </w:rPr>
            </w:pPr>
          </w:p>
        </w:tc>
        <w:tc>
          <w:tcPr>
            <w:tcW w:w="2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194</w:t>
            </w:r>
          </w:p>
        </w:tc>
        <w:tc>
          <w:tcPr>
            <w:tcW w:w="220" w:type="dxa"/>
            <w:vAlign w:val="bottom"/>
          </w:tcPr>
          <w:p>
            <w:pPr>
              <w:spacing w:after="0"/>
              <w:rPr>
                <w:sz w:val="12"/>
                <w:szCs w:val="12"/>
                <w:color w:val="auto"/>
              </w:rPr>
            </w:pPr>
          </w:p>
        </w:tc>
        <w:tc>
          <w:tcPr>
            <w:tcW w:w="200" w:type="dxa"/>
            <w:vAlign w:val="bottom"/>
          </w:tcPr>
          <w:p>
            <w:pPr>
              <w:jc w:val="right"/>
              <w:ind w:right="78"/>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(541,434)</w:t>
            </w:r>
          </w:p>
        </w:tc>
        <w:tc>
          <w:tcPr>
            <w:tcW w:w="2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166,756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720" w:type="dxa"/>
            <w:vAlign w:val="bottom"/>
            <w:tcBorders>
              <w:right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Issuance of common stock under stock plans</w:t>
            </w:r>
          </w:p>
        </w:tc>
        <w:tc>
          <w:tcPr>
            <w:tcW w:w="10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422,873</w:t>
            </w:r>
          </w:p>
        </w:tc>
        <w:tc>
          <w:tcPr>
            <w:tcW w:w="260" w:type="dxa"/>
            <w:vAlign w:val="bottom"/>
            <w:tcBorders>
              <w:left w:val="single" w:sz="8" w:color="CFF0FC"/>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580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0" w:type="dxa"/>
            <w:vAlign w:val="bottom"/>
            <w:tcBorders>
              <w:right w:val="single" w:sz="8" w:color="CFF0FC"/>
            </w:tcBorders>
            <w:gridSpan w:val="2"/>
            <w:shd w:val="clear" w:color="auto" w:fill="CFF0FC"/>
          </w:tcPr>
          <w:p>
            <w:pPr>
              <w:jc w:val="right"/>
              <w:ind w:right="2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240" w:type="dxa"/>
            <w:vAlign w:val="bottom"/>
            <w:gridSpan w:val="2"/>
            <w:shd w:val="clear" w:color="auto" w:fill="CFF0FC"/>
          </w:tcPr>
          <w:p>
            <w:pPr>
              <w:jc w:val="right"/>
              <w:ind w:right="1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581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20"/>
                <w:szCs w:val="20"/>
                <w:color w:val="auto"/>
              </w:rPr>
            </w:pPr>
            <w:r>
              <w:rPr>
                <w:rFonts w:ascii="Times New Roman" w:cs="Times New Roman" w:eastAsia="Times New Roman" w:hAnsi="Times New Roman"/>
                <w:sz w:val="13"/>
                <w:szCs w:val="13"/>
                <w:color w:val="auto"/>
              </w:rPr>
              <w:t>Exercise of pre-funded stock warrants</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2,340,486</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7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lef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6,570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6,570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(100)</w:t>
            </w:r>
          </w:p>
        </w:tc>
        <w:tc>
          <w:tcPr>
            <w:tcW w:w="200" w:type="dxa"/>
            <w:vAlign w:val="bottom"/>
          </w:tcPr>
          <w:p>
            <w:pPr>
              <w:spacing w:after="0"/>
              <w:rPr>
                <w:sz w:val="12"/>
                <w:szCs w:val="1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48"/>
        </w:trPr>
        <w:tc>
          <w:tcPr>
            <w:tcW w:w="27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lef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(38,853)</w:t>
            </w:r>
          </w:p>
        </w:tc>
        <w:tc>
          <w:tcPr>
            <w:tcW w:w="80" w:type="dxa"/>
            <w:vAlign w:val="bottom"/>
            <w:tcBorders>
              <w:lef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(38,853)</w:t>
            </w:r>
          </w:p>
        </w:tc>
        <w:tc>
          <w:tcPr>
            <w:tcW w:w="0" w:type="dxa"/>
            <w:vAlign w:val="bottom"/>
          </w:tcPr>
          <w:p>
            <w:pPr>
              <w:spacing w:after="0"/>
              <w:rPr>
                <w:sz w:val="1"/>
                <w:szCs w:val="1"/>
                <w:color w:val="auto"/>
              </w:rPr>
            </w:pPr>
          </w:p>
        </w:tc>
      </w:tr>
      <w:tr>
        <w:trPr>
          <w:trHeight w:val="20"/>
        </w:trPr>
        <w:tc>
          <w:tcPr>
            <w:tcW w:w="2720" w:type="dxa"/>
            <w:vAlign w:val="bottom"/>
            <w:tcBorders>
              <w:right w:val="single" w:sz="8" w:color="auto"/>
            </w:tcBorders>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tcBorders>
              <w:lef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2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at June 30, 2025</w:t>
            </w: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110,871,249</w:t>
            </w:r>
          </w:p>
        </w:tc>
        <w:tc>
          <w:tcPr>
            <w:tcW w:w="260" w:type="dxa"/>
            <w:vAlign w:val="bottom"/>
          </w:tcPr>
          <w:p>
            <w:pPr>
              <w:spacing w:after="0"/>
              <w:rPr>
                <w:sz w:val="12"/>
                <w:szCs w:val="12"/>
                <w:color w:val="auto"/>
              </w:rPr>
            </w:pPr>
          </w:p>
        </w:tc>
        <w:tc>
          <w:tcPr>
            <w:tcW w:w="2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111</w:t>
            </w:r>
          </w:p>
        </w:tc>
        <w:tc>
          <w:tcPr>
            <w:tcW w:w="120" w:type="dxa"/>
            <w:vAlign w:val="bottom"/>
          </w:tcPr>
          <w:p>
            <w:pPr>
              <w:spacing w:after="0"/>
              <w:rPr>
                <w:sz w:val="12"/>
                <w:szCs w:val="12"/>
                <w:color w:val="auto"/>
              </w:rPr>
            </w:pPr>
          </w:p>
        </w:tc>
        <w:tc>
          <w:tcPr>
            <w:tcW w:w="2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715,036</w:t>
            </w:r>
          </w:p>
        </w:tc>
        <w:tc>
          <w:tcPr>
            <w:tcW w:w="120" w:type="dxa"/>
            <w:vAlign w:val="bottom"/>
          </w:tcPr>
          <w:p>
            <w:pPr>
              <w:spacing w:after="0"/>
              <w:rPr>
                <w:sz w:val="12"/>
                <w:szCs w:val="12"/>
                <w:color w:val="auto"/>
              </w:rPr>
            </w:pPr>
          </w:p>
        </w:tc>
        <w:tc>
          <w:tcPr>
            <w:tcW w:w="2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94</w:t>
            </w:r>
          </w:p>
        </w:tc>
        <w:tc>
          <w:tcPr>
            <w:tcW w:w="220" w:type="dxa"/>
            <w:vAlign w:val="bottom"/>
          </w:tcPr>
          <w:p>
            <w:pPr>
              <w:spacing w:after="0"/>
              <w:rPr>
                <w:sz w:val="12"/>
                <w:szCs w:val="12"/>
                <w:color w:val="auto"/>
              </w:rPr>
            </w:pPr>
          </w:p>
        </w:tc>
        <w:tc>
          <w:tcPr>
            <w:tcW w:w="200" w:type="dxa"/>
            <w:vAlign w:val="bottom"/>
          </w:tcPr>
          <w:p>
            <w:pPr>
              <w:jc w:val="right"/>
              <w:ind w:right="78"/>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(580,287)</w:t>
            </w:r>
          </w:p>
        </w:tc>
        <w:tc>
          <w:tcPr>
            <w:tcW w:w="2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134,954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720" w:type="dxa"/>
            <w:vAlign w:val="bottom"/>
            <w:tcBorders>
              <w:right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Issuance of common stock under stock plans</w:t>
            </w:r>
          </w:p>
        </w:tc>
        <w:tc>
          <w:tcPr>
            <w:tcW w:w="10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695,813</w:t>
            </w:r>
          </w:p>
        </w:tc>
        <w:tc>
          <w:tcPr>
            <w:tcW w:w="260" w:type="dxa"/>
            <w:vAlign w:val="bottom"/>
            <w:tcBorders>
              <w:left w:val="single" w:sz="8" w:color="CFF0FC"/>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2,540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0" w:type="dxa"/>
            <w:vAlign w:val="bottom"/>
            <w:tcBorders>
              <w:right w:val="single" w:sz="8" w:color="CFF0FC"/>
            </w:tcBorders>
            <w:gridSpan w:val="2"/>
            <w:shd w:val="clear" w:color="auto" w:fill="CFF0FC"/>
          </w:tcPr>
          <w:p>
            <w:pPr>
              <w:jc w:val="right"/>
              <w:ind w:right="2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240" w:type="dxa"/>
            <w:vAlign w:val="bottom"/>
            <w:gridSpan w:val="2"/>
            <w:shd w:val="clear" w:color="auto" w:fill="CFF0FC"/>
          </w:tcPr>
          <w:p>
            <w:pPr>
              <w:jc w:val="right"/>
              <w:ind w:right="1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2,541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lef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22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15,884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720" w:type="dxa"/>
            <w:vAlign w:val="bottom"/>
            <w:tcBorders>
              <w:right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at September 30, 2025</w:t>
            </w: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111,567,062</w:t>
            </w:r>
          </w:p>
        </w:tc>
        <w:tc>
          <w:tcPr>
            <w:tcW w:w="260" w:type="dxa"/>
            <w:vAlign w:val="bottom"/>
            <w:tcBorders>
              <w:left w:val="single" w:sz="8" w:color="CFF0FC"/>
            </w:tcBorders>
            <w:shd w:val="clear" w:color="auto" w:fill="CFF0FC"/>
          </w:tcPr>
          <w:p>
            <w:pPr>
              <w:spacing w:after="0"/>
              <w:rPr>
                <w:sz w:val="15"/>
                <w:szCs w:val="15"/>
                <w:color w:val="auto"/>
              </w:rPr>
            </w:pPr>
          </w:p>
        </w:tc>
        <w:tc>
          <w:tcPr>
            <w:tcW w:w="20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112</w:t>
            </w:r>
          </w:p>
        </w:tc>
        <w:tc>
          <w:tcPr>
            <w:tcW w:w="12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724,201</w:t>
            </w:r>
          </w:p>
        </w:tc>
        <w:tc>
          <w:tcPr>
            <w:tcW w:w="12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121</w:t>
            </w:r>
          </w:p>
        </w:tc>
        <w:tc>
          <w:tcPr>
            <w:tcW w:w="22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(564,403)</w:t>
            </w:r>
          </w:p>
        </w:tc>
        <w:tc>
          <w:tcPr>
            <w:tcW w:w="240" w:type="dxa"/>
            <w:vAlign w:val="bottom"/>
            <w:tcBorders>
              <w:left w:val="single" w:sz="8" w:color="CFF0FC"/>
            </w:tcBorders>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160,031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38"/>
        </w:trPr>
        <w:tc>
          <w:tcPr>
            <w:tcW w:w="2720" w:type="dxa"/>
            <w:vAlign w:val="bottom"/>
            <w:tcBorders>
              <w:top w:val="single" w:sz="8" w:color="CFF0FC"/>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2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2300" w:type="dxa"/>
            <w:vAlign w:val="bottom"/>
            <w:gridSpan w:val="5"/>
            <w:vMerge w:val="restart"/>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7"/>
        </w:trPr>
        <w:tc>
          <w:tcPr>
            <w:tcW w:w="2720" w:type="dxa"/>
            <w:vAlign w:val="bottom"/>
          </w:tcPr>
          <w:p>
            <w:pPr>
              <w:spacing w:after="0"/>
              <w:rPr>
                <w:sz w:val="12"/>
                <w:szCs w:val="12"/>
                <w:color w:val="auto"/>
              </w:rPr>
            </w:pPr>
          </w:p>
        </w:tc>
        <w:tc>
          <w:tcPr>
            <w:tcW w:w="2300" w:type="dxa"/>
            <w:vAlign w:val="bottom"/>
            <w:tcBorders>
              <w:bottom w:val="single" w:sz="8" w:color="auto"/>
            </w:tcBorders>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560"/>
              <w:spacing w:after="0" w:line="142"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00" w:type="dxa"/>
            <w:vAlign w:val="bottom"/>
          </w:tcPr>
          <w:p>
            <w:pPr>
              <w:spacing w:after="0"/>
              <w:rPr>
                <w:sz w:val="12"/>
                <w:szCs w:val="12"/>
                <w:color w:val="auto"/>
              </w:rPr>
            </w:pPr>
          </w:p>
        </w:tc>
        <w:tc>
          <w:tcPr>
            <w:tcW w:w="124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28"/>
        </w:trPr>
        <w:tc>
          <w:tcPr>
            <w:tcW w:w="2720" w:type="dxa"/>
            <w:vAlign w:val="bottom"/>
          </w:tcPr>
          <w:p>
            <w:pPr>
              <w:spacing w:after="0"/>
              <w:rPr>
                <w:sz w:val="11"/>
                <w:szCs w:val="11"/>
                <w:color w:val="auto"/>
              </w:rPr>
            </w:pPr>
          </w:p>
        </w:tc>
        <w:tc>
          <w:tcPr>
            <w:tcW w:w="1020" w:type="dxa"/>
            <w:vAlign w:val="bottom"/>
            <w:tcBorders>
              <w:bottom w:val="single" w:sz="8" w:color="auto"/>
            </w:tcBorders>
          </w:tcPr>
          <w:p>
            <w:pPr>
              <w:jc w:val="right"/>
              <w:ind w:right="253"/>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jc w:val="right"/>
              <w:ind w:right="300"/>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354"/>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center"/>
              <w:ind w:right="74"/>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Income (Loss)</w:t>
            </w: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2"/>
          </w:tcPr>
          <w:p>
            <w:pPr>
              <w:jc w:val="right"/>
              <w:ind w:right="54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center"/>
              <w:ind w:right="74"/>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20" w:type="dxa"/>
            <w:vAlign w:val="bottom"/>
            <w:tcBorders>
              <w:right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102,202,759</w:t>
            </w:r>
          </w:p>
        </w:tc>
        <w:tc>
          <w:tcPr>
            <w:tcW w:w="460" w:type="dxa"/>
            <w:vAlign w:val="bottom"/>
            <w:tcBorders>
              <w:left w:val="single" w:sz="8" w:color="CFF0FC"/>
            </w:tcBorders>
            <w:gridSpan w:val="2"/>
            <w:shd w:val="clear" w:color="auto" w:fill="CFF0FC"/>
          </w:tcPr>
          <w:p>
            <w:pPr>
              <w:jc w:val="right"/>
              <w:ind w:right="73"/>
              <w:spacing w:after="0" w:line="142"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102</w:t>
            </w:r>
          </w:p>
        </w:tc>
        <w:tc>
          <w:tcPr>
            <w:tcW w:w="400" w:type="dxa"/>
            <w:vAlign w:val="bottom"/>
            <w:gridSpan w:val="3"/>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624,076</w:t>
            </w:r>
          </w:p>
        </w:tc>
        <w:tc>
          <w:tcPr>
            <w:tcW w:w="12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186</w:t>
            </w:r>
          </w:p>
        </w:tc>
        <w:tc>
          <w:tcPr>
            <w:tcW w:w="22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jc w:val="right"/>
              <w:ind w:right="58"/>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(371,256)</w:t>
            </w:r>
          </w:p>
        </w:tc>
        <w:tc>
          <w:tcPr>
            <w:tcW w:w="360" w:type="dxa"/>
            <w:vAlign w:val="bottom"/>
            <w:tcBorders>
              <w:left w:val="single" w:sz="8" w:color="CFF0FC"/>
            </w:tcBorders>
            <w:gridSpan w:val="3"/>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253,108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under stock plans</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526,826</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At-the-market offerings, net of issuance costs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4,001,200</w:t>
            </w:r>
          </w:p>
        </w:tc>
        <w:tc>
          <w:tcPr>
            <w:tcW w:w="260" w:type="dxa"/>
            <w:vAlign w:val="bottom"/>
            <w:tcBorders>
              <w:lef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4</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41,719</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41,723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lef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(443)</w:t>
            </w:r>
          </w:p>
        </w:tc>
        <w:tc>
          <w:tcPr>
            <w:tcW w:w="2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(443)</w:t>
            </w:r>
          </w:p>
        </w:tc>
        <w:tc>
          <w:tcPr>
            <w:tcW w:w="0" w:type="dxa"/>
            <w:vAlign w:val="bottom"/>
          </w:tcPr>
          <w:p>
            <w:pPr>
              <w:spacing w:after="0"/>
              <w:rPr>
                <w:sz w:val="1"/>
                <w:szCs w:val="1"/>
                <w:color w:val="auto"/>
              </w:rPr>
            </w:pPr>
          </w:p>
        </w:tc>
      </w:tr>
      <w:tr>
        <w:trPr>
          <w:trHeight w:val="148"/>
        </w:trPr>
        <w:tc>
          <w:tcPr>
            <w:tcW w:w="272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(37,914)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(37,914)</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720" w:type="dxa"/>
            <w:vAlign w:val="bottom"/>
            <w:tcBorders>
              <w:right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at March 31, 2024</w:t>
            </w: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106,730,785</w:t>
            </w:r>
          </w:p>
        </w:tc>
        <w:tc>
          <w:tcPr>
            <w:tcW w:w="460" w:type="dxa"/>
            <w:vAlign w:val="bottom"/>
            <w:tcBorders>
              <w:left w:val="single" w:sz="8" w:color="CFF0FC"/>
            </w:tcBorders>
            <w:gridSpan w:val="2"/>
            <w:shd w:val="clear" w:color="auto" w:fill="CFF0FC"/>
          </w:tcPr>
          <w:p>
            <w:pPr>
              <w:jc w:val="right"/>
              <w:ind w:right="73"/>
              <w:spacing w:after="0" w:line="142"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107</w:t>
            </w:r>
          </w:p>
        </w:tc>
        <w:tc>
          <w:tcPr>
            <w:tcW w:w="400" w:type="dxa"/>
            <w:vAlign w:val="bottom"/>
            <w:gridSpan w:val="3"/>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673,772</w:t>
            </w:r>
          </w:p>
        </w:tc>
        <w:tc>
          <w:tcPr>
            <w:tcW w:w="12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400" w:type="dxa"/>
            <w:vAlign w:val="bottom"/>
            <w:tcBorders>
              <w:right w:val="single" w:sz="8" w:color="CFF0FC"/>
            </w:tcBorders>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(257)</w:t>
            </w:r>
          </w:p>
        </w:tc>
        <w:tc>
          <w:tcPr>
            <w:tcW w:w="200" w:type="dxa"/>
            <w:vAlign w:val="bottom"/>
            <w:shd w:val="clear" w:color="auto" w:fill="CFF0FC"/>
          </w:tcPr>
          <w:p>
            <w:pPr>
              <w:jc w:val="right"/>
              <w:ind w:right="58"/>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(409,170)</w:t>
            </w:r>
          </w:p>
        </w:tc>
        <w:tc>
          <w:tcPr>
            <w:tcW w:w="360" w:type="dxa"/>
            <w:vAlign w:val="bottom"/>
            <w:tcBorders>
              <w:left w:val="single" w:sz="8" w:color="CFF0FC"/>
            </w:tcBorders>
            <w:gridSpan w:val="3"/>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264,452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72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color w:val="auto"/>
              </w:rPr>
              <w:t>Issuance of common stock under stock plans</w:t>
            </w:r>
          </w:p>
        </w:tc>
        <w:tc>
          <w:tcPr>
            <w:tcW w:w="10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313,455</w:t>
            </w:r>
          </w:p>
        </w:tc>
        <w:tc>
          <w:tcPr>
            <w:tcW w:w="26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1,311</w:t>
            </w: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FF0FC"/>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1,311</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lef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7,538</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7,538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(77)</w:t>
            </w:r>
          </w:p>
        </w:tc>
        <w:tc>
          <w:tcPr>
            <w:tcW w:w="200" w:type="dxa"/>
            <w:vAlign w:val="bottom"/>
          </w:tcPr>
          <w:p>
            <w:pPr>
              <w:spacing w:after="0"/>
              <w:rPr>
                <w:sz w:val="12"/>
                <w:szCs w:val="12"/>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(77)</w:t>
            </w:r>
          </w:p>
        </w:tc>
        <w:tc>
          <w:tcPr>
            <w:tcW w:w="0" w:type="dxa"/>
            <w:vAlign w:val="bottom"/>
          </w:tcPr>
          <w:p>
            <w:pPr>
              <w:spacing w:after="0"/>
              <w:rPr>
                <w:sz w:val="1"/>
                <w:szCs w:val="1"/>
                <w:color w:val="auto"/>
              </w:rPr>
            </w:pPr>
          </w:p>
        </w:tc>
      </w:tr>
      <w:tr>
        <w:trPr>
          <w:trHeight w:val="149"/>
        </w:trPr>
        <w:tc>
          <w:tcPr>
            <w:tcW w:w="27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lef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(25,551)</w:t>
            </w:r>
          </w:p>
        </w:tc>
        <w:tc>
          <w:tcPr>
            <w:tcW w:w="80" w:type="dxa"/>
            <w:vAlign w:val="bottom"/>
            <w:tcBorders>
              <w:lef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(25,551)</w:t>
            </w:r>
          </w:p>
        </w:tc>
        <w:tc>
          <w:tcPr>
            <w:tcW w:w="0" w:type="dxa"/>
            <w:vAlign w:val="bottom"/>
          </w:tcPr>
          <w:p>
            <w:pPr>
              <w:spacing w:after="0"/>
              <w:rPr>
                <w:sz w:val="1"/>
                <w:szCs w:val="1"/>
                <w:color w:val="auto"/>
              </w:rPr>
            </w:pPr>
          </w:p>
        </w:tc>
      </w:tr>
      <w:tr>
        <w:trPr>
          <w:trHeight w:val="20"/>
        </w:trPr>
        <w:tc>
          <w:tcPr>
            <w:tcW w:w="2720" w:type="dxa"/>
            <w:vAlign w:val="bottom"/>
            <w:tcBorders>
              <w:right w:val="single" w:sz="8" w:color="CFF0FC"/>
            </w:tcBorders>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lef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CFF0FC"/>
            </w:tcBorders>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2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at June 30, 2024</w:t>
            </w: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107,044,240</w:t>
            </w:r>
          </w:p>
        </w:tc>
        <w:tc>
          <w:tcPr>
            <w:tcW w:w="460" w:type="dxa"/>
            <w:vAlign w:val="bottom"/>
            <w:gridSpan w:val="2"/>
          </w:tcPr>
          <w:p>
            <w:pPr>
              <w:jc w:val="right"/>
              <w:ind w:right="73"/>
              <w:spacing w:after="0" w:line="142"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107</w:t>
            </w:r>
          </w:p>
        </w:tc>
        <w:tc>
          <w:tcPr>
            <w:tcW w:w="40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682,621</w:t>
            </w:r>
          </w:p>
        </w:tc>
        <w:tc>
          <w:tcPr>
            <w:tcW w:w="120" w:type="dxa"/>
            <w:vAlign w:val="bottom"/>
          </w:tcPr>
          <w:p>
            <w:pPr>
              <w:spacing w:after="0"/>
              <w:rPr>
                <w:sz w:val="12"/>
                <w:szCs w:val="12"/>
                <w:color w:val="auto"/>
              </w:rPr>
            </w:pPr>
          </w:p>
        </w:tc>
        <w:tc>
          <w:tcPr>
            <w:tcW w:w="2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(334)</w:t>
            </w:r>
          </w:p>
        </w:tc>
        <w:tc>
          <w:tcPr>
            <w:tcW w:w="200" w:type="dxa"/>
            <w:vAlign w:val="bottom"/>
          </w:tcPr>
          <w:p>
            <w:pPr>
              <w:jc w:val="right"/>
              <w:ind w:right="58"/>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(434,721)</w:t>
            </w:r>
          </w:p>
        </w:tc>
        <w:tc>
          <w:tcPr>
            <w:tcW w:w="36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247,673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720" w:type="dxa"/>
            <w:vAlign w:val="bottom"/>
            <w:tcBorders>
              <w:right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Issuance of common stock under stock plans</w:t>
            </w:r>
          </w:p>
        </w:tc>
        <w:tc>
          <w:tcPr>
            <w:tcW w:w="10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370,396</w:t>
            </w:r>
          </w:p>
        </w:tc>
        <w:tc>
          <w:tcPr>
            <w:tcW w:w="260" w:type="dxa"/>
            <w:vAlign w:val="bottom"/>
            <w:tcBorders>
              <w:left w:val="single" w:sz="8" w:color="CFF0FC"/>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2,402</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0" w:type="dxa"/>
            <w:vAlign w:val="bottom"/>
            <w:tcBorders>
              <w:right w:val="single" w:sz="8" w:color="CFF0FC"/>
            </w:tcBorders>
            <w:gridSpan w:val="2"/>
            <w:shd w:val="clear" w:color="auto" w:fill="CFF0FC"/>
          </w:tcPr>
          <w:p>
            <w:pPr>
              <w:jc w:val="right"/>
              <w:ind w:right="2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24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2,402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7,178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lef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1,084</w:t>
            </w:r>
          </w:p>
        </w:tc>
        <w:tc>
          <w:tcPr>
            <w:tcW w:w="22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(29,167)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(29,167)</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720" w:type="dxa"/>
            <w:vAlign w:val="bottom"/>
            <w:tcBorders>
              <w:right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at September 30, 2024</w:t>
            </w: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107,414,636</w:t>
            </w:r>
          </w:p>
        </w:tc>
        <w:tc>
          <w:tcPr>
            <w:tcW w:w="460" w:type="dxa"/>
            <w:vAlign w:val="bottom"/>
            <w:tcBorders>
              <w:left w:val="single" w:sz="8" w:color="CFF0FC"/>
            </w:tcBorders>
            <w:gridSpan w:val="2"/>
            <w:shd w:val="clear" w:color="auto" w:fill="CFF0FC"/>
          </w:tcPr>
          <w:p>
            <w:pPr>
              <w:jc w:val="right"/>
              <w:ind w:right="73"/>
              <w:spacing w:after="0" w:line="142"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107</w:t>
            </w:r>
          </w:p>
        </w:tc>
        <w:tc>
          <w:tcPr>
            <w:tcW w:w="400" w:type="dxa"/>
            <w:vAlign w:val="bottom"/>
            <w:gridSpan w:val="3"/>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692,201</w:t>
            </w:r>
          </w:p>
        </w:tc>
        <w:tc>
          <w:tcPr>
            <w:tcW w:w="12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750</w:t>
            </w:r>
          </w:p>
        </w:tc>
        <w:tc>
          <w:tcPr>
            <w:tcW w:w="22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jc w:val="right"/>
              <w:ind w:right="58"/>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(463,888)</w:t>
            </w:r>
          </w:p>
        </w:tc>
        <w:tc>
          <w:tcPr>
            <w:tcW w:w="360" w:type="dxa"/>
            <w:vAlign w:val="bottom"/>
            <w:tcBorders>
              <w:left w:val="single" w:sz="8" w:color="CFF0FC"/>
            </w:tcBorders>
            <w:gridSpan w:val="3"/>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229,170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-3453765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-3453765</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-3453765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-3453765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-3453765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-3453765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-2853690</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-2853690</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-2853690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-2853690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-2853690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-2853690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-2245360</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-2228215</wp:posOffset>
            </wp:positionV>
            <wp:extent cx="768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-2245360</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-2228215</wp:posOffset>
            </wp:positionV>
            <wp:extent cx="77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-2245360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-2228215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-2245360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-2228215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-2245360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-2228215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-2228215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-1036320</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-1019175</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-1036320</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-1019175</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-1036320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-1019175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-1036320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-1019175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-1036320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-1019175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-633730</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-633730</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-633730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-633730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-633730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-24765</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-7620</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-24765</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-7620</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6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73"/>
        </w:trPr>
        <w:tc>
          <w:tcPr>
            <w:tcW w:w="6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(62,845)</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(92,632)</w:t>
            </w:r>
          </w:p>
        </w:tc>
        <w:tc>
          <w:tcPr>
            <w:tcW w:w="0" w:type="dxa"/>
            <w:vAlign w:val="bottom"/>
          </w:tcPr>
          <w:p>
            <w:pPr>
              <w:spacing w:after="0"/>
              <w:rPr>
                <w:sz w:val="1"/>
                <w:szCs w:val="1"/>
                <w:color w:val="auto"/>
              </w:rPr>
            </w:pPr>
          </w:p>
        </w:tc>
      </w:tr>
      <w:tr>
        <w:trPr>
          <w:trHeight w:val="198"/>
        </w:trPr>
        <w:tc>
          <w:tcPr>
            <w:tcW w:w="67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to net cash from</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Accretion on marketable securities</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(1,920)</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(3,761)</w:t>
            </w:r>
          </w:p>
        </w:tc>
        <w:tc>
          <w:tcPr>
            <w:tcW w:w="0" w:type="dxa"/>
            <w:vAlign w:val="bottom"/>
          </w:tcPr>
          <w:p>
            <w:pPr>
              <w:spacing w:after="0"/>
              <w:rPr>
                <w:sz w:val="1"/>
                <w:szCs w:val="1"/>
                <w:color w:val="auto"/>
              </w:rPr>
            </w:pPr>
          </w:p>
        </w:tc>
      </w:tr>
      <w:tr>
        <w:trPr>
          <w:trHeight w:val="216"/>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(2,113)</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(286)</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(3,384)</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16"/>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(1,839)</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(1,006)</w:t>
            </w: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(62,384)</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(25,852)</w:t>
            </w:r>
          </w:p>
        </w:tc>
        <w:tc>
          <w:tcPr>
            <w:tcW w:w="0" w:type="dxa"/>
            <w:vAlign w:val="bottom"/>
          </w:tcPr>
          <w:p>
            <w:pPr>
              <w:spacing w:after="0"/>
              <w:rPr>
                <w:sz w:val="1"/>
                <w:szCs w:val="1"/>
                <w:color w:val="auto"/>
              </w:rPr>
            </w:pPr>
          </w:p>
        </w:tc>
      </w:tr>
      <w:tr>
        <w:trPr>
          <w:trHeight w:val="20"/>
        </w:trPr>
        <w:tc>
          <w:tcPr>
            <w:tcW w:w="67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(109,168)</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(94,854)</w:t>
            </w: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(826)</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185,115</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243,035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(89,437)</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(208,339)</w:t>
            </w:r>
          </w:p>
        </w:tc>
        <w:tc>
          <w:tcPr>
            <w:tcW w:w="0" w:type="dxa"/>
            <w:vAlign w:val="bottom"/>
          </w:tcPr>
          <w:p>
            <w:pPr>
              <w:spacing w:after="0"/>
              <w:rPr>
                <w:sz w:val="1"/>
                <w:szCs w:val="1"/>
                <w:color w:val="auto"/>
              </w:rPr>
            </w:pPr>
          </w:p>
        </w:tc>
      </w:tr>
      <w:tr>
        <w:trPr>
          <w:trHeight w:val="210"/>
        </w:trPr>
        <w:tc>
          <w:tcPr>
            <w:tcW w:w="6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94,852</w:t>
            </w:r>
          </w:p>
        </w:tc>
        <w:tc>
          <w:tcPr>
            <w:tcW w:w="2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issuance of common stock and pre-funded warrants</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7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upon exercise of stock options and purchase of</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under ESPP</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(11,192)</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(14,093)</w:t>
            </w:r>
          </w:p>
        </w:tc>
        <w:tc>
          <w:tcPr>
            <w:tcW w:w="0" w:type="dxa"/>
            <w:vAlign w:val="bottom"/>
          </w:tcPr>
          <w:p>
            <w:pPr>
              <w:spacing w:after="0"/>
              <w:rPr>
                <w:sz w:val="1"/>
                <w:szCs w:val="1"/>
                <w:color w:val="auto"/>
              </w:rPr>
            </w:pPr>
          </w:p>
        </w:tc>
      </w:tr>
      <w:tr>
        <w:trPr>
          <w:trHeight w:val="216"/>
        </w:trPr>
        <w:tc>
          <w:tcPr>
            <w:tcW w:w="6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72,097</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69,808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60,905</w:t>
            </w:r>
          </w:p>
        </w:tc>
        <w:tc>
          <w:tcPr>
            <w:tcW w:w="28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for leases</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28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activity:</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 expenses</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8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from obtaining right-of-use assets</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Revaluation of right-of-use asset and lease liability upon lease remeasurement</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280" w:type="dxa"/>
            <w:vAlign w:val="bottom"/>
          </w:tcPr>
          <w:p>
            <w:pPr>
              <w:spacing w:after="0"/>
              <w:rPr>
                <w:sz w:val="20"/>
                <w:szCs w:val="20"/>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5311775</wp:posOffset>
            </wp:positionH>
            <wp:positionV relativeFrom="paragraph">
              <wp:posOffset>-2788285</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-2788285</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-988060</wp:posOffset>
            </wp:positionV>
            <wp:extent cx="60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-988060</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1" w:right="899" w:bottom="1440" w:gutter="0" w:footer="0" w:header="0"/>
        </w:sectPr>
      </w:pPr>
    </w:p>
    <w:bookmarkStart w:id="11" w:name="page12"/>
    <w:bookmarkEnd w:id="1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the Business and Basis of Presentation</w:t>
      </w:r>
    </w:p>
    <w:p>
      <w:pPr>
        <w:spacing w:after="0" w:line="229" w:lineRule="exact"/>
        <w:rPr>
          <w:sz w:val="20"/>
          <w:szCs w:val="20"/>
          <w:color w:val="auto"/>
        </w:rPr>
      </w:pPr>
    </w:p>
    <w:p>
      <w:pPr>
        <w:ind w:right="840" w:firstLine="509"/>
        <w:spacing w:after="0" w:line="282" w:lineRule="auto"/>
        <w:rPr>
          <w:sz w:val="20"/>
          <w:szCs w:val="20"/>
          <w:color w:val="auto"/>
        </w:rPr>
      </w:pPr>
      <w:r>
        <w:rPr>
          <w:rFonts w:ascii="Times New Roman" w:cs="Times New Roman" w:eastAsia="Times New Roman" w:hAnsi="Times New Roman"/>
          <w:sz w:val="18"/>
          <w:szCs w:val="18"/>
          <w:color w:val="auto"/>
        </w:rPr>
        <w:t>Tango Therapeutics, Inc. is a precision oncology company committed to the discovery and development of novel drugs in defined patient populations with high unmet medical need.</w:t>
      </w:r>
    </w:p>
    <w:p>
      <w:pPr>
        <w:spacing w:after="0" w:line="16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Tango Therapeutics, Inc. (together with its consolidated subsidiaries, Tango or the Company), formerly known as BCTG Acquisition Corp. (BCTG), was incorporated in Delaware on May 21, 2020. BCTG was a special purpose acquisition company (SPAC) formed for the purpose of effecting a merger, capital stock exchange, asset acquisition, stock purchase, reorganization or similar business combination.</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conformity with accounting principles generally accepted in the United States of America (U.S. GAAP). The year-end balance sheet data was derived from audited financial statements, but does not include all disclosures required by U.S. GAAP. The accompanying unaudited condensed consolidated financial statements reflect the operations of Tango and its wholly owned subsidiaries. All intercompany accounts and transactions have been eliminated. The functional and reporting currency of the Company and its subsidiaries is the U.S. dollar.</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the opinion of management, all adjustments necessary for a fair statement of the financial information, which are of a normal and recurring nature, have been made for the interim periods reported. Results of operations for the three and nine months ended September 30, 2025 and 2024 are not necessarily indicative of the results for the year ending December 31, 2025, any other interim periods, or any future year or period. The unaudited condensed consolidated financial statements for the three and nine months ended September 30, 2025 and 2024 have been prepared on the same basis as and should be read in conjunction with the audited consolidated financial statements and notes included in the Company’s Annual Report on Form 10-K for the year ended December 31, 2024 as filed with the SEC on February 27, 2025.</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expects that its existing cash, cash equivalents and marketable securities as of September 30, 2025 of $152.8 million, in addition to $212.0 million in net proceeds from our underwritten offering and concurrent private placement of common shares and pre-funded warrants to purchase common shares in October 2025, will be sufficient to fund its operating expenses and capital expenditure requirements for at least twelve months from the issuance date of these financial statements with an expected cash runway into 2028.</w:t>
      </w:r>
    </w:p>
    <w:p>
      <w:pPr>
        <w:spacing w:after="0" w:line="1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Since inception, the Company has incurred significant operating losses and expects to continue to generate operating losses and negative cash flows from operations for the foreseeable future. The Company will need to finance its operations through public or private securities offerings, debt financings or other sources, which may include licensing, collaborations or other strategic transactions or arrangements. If the Company is unable to obtain funding, the Company may be required to delay, limit, reduce or terminate product development or future commercialization efforts or grant rights to third parties to develop and market products or product candidates that the Company would otherwise prefer to develop and market itself.</w:t>
      </w:r>
    </w:p>
    <w:p>
      <w:pPr>
        <w:spacing w:after="0" w:line="183"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On October 23, 2025, the Company priced an underwritten offering and a concurrent private placement for the issuance of a total of 22,755,438 shares of common stock at a price of $8.66 per share and pre-funded warrants to purchase 3,226,458 shares of common stock at a purchase price of $8.659 per pre-funded warrant, resulting in gross proceeds of $225.0 million. The pre-funded warrants have an exercise price of $0.001 per share of common stock, are immediately exercisable and will remain exercisable until exercised in full. After deducting expenses related to the offering and private placement of $13.0 million, net proceeds were $212.0 million. Both transactions closed on October 24, 2025.</w:t>
      </w:r>
    </w:p>
    <w:p>
      <w:pPr>
        <w:spacing w:after="0" w:line="179"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7" w:lineRule="exact"/>
        <w:rPr>
          <w:sz w:val="20"/>
          <w:szCs w:val="20"/>
          <w:color w:val="auto"/>
        </w:rPr>
      </w:pPr>
    </w:p>
    <w:p>
      <w:pPr>
        <w:ind w:firstLine="509"/>
        <w:spacing w:after="0" w:line="284" w:lineRule="auto"/>
        <w:rPr>
          <w:sz w:val="20"/>
          <w:szCs w:val="20"/>
          <w:color w:val="auto"/>
        </w:rPr>
      </w:pPr>
      <w:r>
        <w:rPr>
          <w:rFonts w:ascii="Times New Roman" w:cs="Times New Roman" w:eastAsia="Times New Roman" w:hAnsi="Times New Roman"/>
          <w:sz w:val="18"/>
          <w:szCs w:val="18"/>
          <w:color w:val="auto"/>
        </w:rPr>
        <w:t xml:space="preserve">There have been no changes from the significant accounting policies disclosed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the audited consolidated financial statements and notes included in the Company’s Annual Report on Form 10-K for the year ended December 31, 2024.</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requires that the Company make estimates, judgments and assumptions that may affect the reported amounts of assets, liabilities, equity, revenues and expenses and related disclosures. Significant estimates and assumptions made in the consolidated financial statements include, but are not limited to, the revenue recognized from collaboration agreements and the accrual for research and development expenses.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liabilities and equity and the amount of revenues and expenses. As of the date of issuance of these condensed consolidated financial statements, the Company is not aware of any specific event or circumstance that would require the Company to update estimates, judgments or revise the carrying value of any assets or liabilities. Actual results may differ from these estimates under different assumptions or conditions. Changes in estimates are reflected in reported results in the period in which they become known.</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that the Company adopts as of the specified effective date. Unless otherwise discussed below, the Company does not believe that the adoption of recently issued standards have or may have a material impact on its consolidated financial statements and disclosures.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7"/>
          <w:szCs w:val="17"/>
          <w:color w:val="auto"/>
        </w:rPr>
        <w:t>In December 2023, the FASB issued ASU 2023-09,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7"/>
          <w:szCs w:val="17"/>
          <w:color w:val="auto"/>
        </w:rPr>
        <w:t>." The standard is intended to enhance the existing income tax disclosures to provide information to better assess how an entity’s operations and related tax risks and tax planning and operational opportunities affect its tax rate and prospects for future cash flows. The standard is effective for annual periods beginning after December 15, 2024. The Company is evaluating the potential impact of this adoption on the consolidated financial statements and related disclosures.</w:t>
      </w:r>
    </w:p>
    <w:p>
      <w:pPr>
        <w:spacing w:after="0" w:line="16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The standard is intended to require more detailed disclosures about specified categories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expenses (including employee compensation, depreciation, and amortization) included in certain expense captions presented on the face of the income statement. This ASU is effective for fiscal years beginning after December 15, 2026, and for interim periods within fiscal years beginning after December 15, 2027. Early adoption is permitted. The amendments may be applied either (1) prospectively to financial statements issued for reporting periods after the effective date of this ASU or (2) retrospectively to all prior periods presented in the financial statements. The Company is evaluating the potential impact of this adoption on the consolidated financial statements and related disclosures.</w:t>
      </w:r>
    </w:p>
    <w:p>
      <w:pPr>
        <w:spacing w:after="0" w:line="181"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Agreements</w:t>
      </w:r>
    </w:p>
    <w:p>
      <w:pPr>
        <w:spacing w:after="0" w:line="22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October 2018, the Company entered into a Research Collaboration and License Agreement (the 2018 Gilead Agreement) with Gilead Sciences, Inc. (Gilead). Pursuant to the terms of the 2018 Gilead Agreement, the Company received an initial upfront payment of $50.0 million. Gilead had the option to obtain exclusive, worldwide licenses to develop and commercialize up to five validated programs (Gilead Program License).</w:t>
      </w:r>
    </w:p>
    <w:p>
      <w:pPr>
        <w:spacing w:after="0" w:line="17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August 2020, the Company and Gilead entered into an Amended Research Collaboration and License Agreement (the Gilead Agreement), which superseded and replaced the 2018 Gilead Agreement. The Gilead Agreement represents a continuation of the initial target discovery and validation research and development efforts begun under the 2018 Gilead Agreement. Under the Gilead Agreement:</w:t>
      </w:r>
    </w:p>
    <w:p>
      <w:pPr>
        <w:spacing w:after="0" w:line="68" w:lineRule="exact"/>
        <w:rPr>
          <w:sz w:val="20"/>
          <w:szCs w:val="20"/>
          <w:color w:val="auto"/>
        </w:rPr>
      </w:pPr>
    </w:p>
    <w:p>
      <w:pPr>
        <w:ind w:left="1020" w:right="3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received upfront, non-refundable consideration of $125.0 million from Gilead upon execution of the Gilead Agreement in 2020;</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2018 Gilead Agreement ended on the date the Gilead Agreement was executed. The Gilead Agreement has a research term of seven years;</w:t>
      </w:r>
    </w:p>
    <w:p>
      <w:pPr>
        <w:spacing w:after="0" w:line="53" w:lineRule="exact"/>
        <w:rPr>
          <w:rFonts w:ascii="Times New Roman" w:cs="Times New Roman" w:eastAsia="Times New Roman" w:hAnsi="Times New Roman"/>
          <w:sz w:val="18"/>
          <w:szCs w:val="18"/>
          <w:color w:val="auto"/>
        </w:rPr>
      </w:pPr>
    </w:p>
    <w:p>
      <w:pPr>
        <w:ind w:left="1020" w:right="7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expanded its option to license up to 15 programs for which Gilead may obtain exclusive, worldwide licenses to develop and commercialize therapies, subject to applicable license fees;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 w:name="page14"/>
    <w:bookmarkEnd w:id="13"/>
    <w:p>
      <w:pPr>
        <w:ind w:left="1020" w:right="4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exercising its option to license a program, Gilead may “extend” such program, in which case Gilead will pay research option-extension fees and the Company will continue to collaborate with Gilead to discover and develop programs, potentially through early clinical development;</w:t>
      </w:r>
    </w:p>
    <w:p>
      <w:pPr>
        <w:spacing w:after="0" w:line="67" w:lineRule="exact"/>
        <w:rPr>
          <w:rFonts w:ascii="Times New Roman" w:cs="Times New Roman" w:eastAsia="Times New Roman" w:hAnsi="Times New Roman"/>
          <w:sz w:val="18"/>
          <w:szCs w:val="18"/>
          <w:color w:val="auto"/>
        </w:rPr>
      </w:pPr>
    </w:p>
    <w:p>
      <w:pPr>
        <w:ind w:left="1020" w:right="100" w:hanging="503"/>
        <w:spacing w:after="0" w:line="26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has the option to “reserve” a target during which Gilead may: (i) license the target, (ii) “extend” the target, or (iii) decline the target, during the designated reserve target period. If, during the reserve target period Tango elects to work on the reserved target, Tango will retain full rights to the target program and Gilead receives a right of first negotiation in connection with any future partnering or licensing of such target by Tango, if any; and</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up to five programs licensed by Gilead, the Company has the option to co-develop and co-promote the lead product in the U.S., subject to certain exceptions, and is eligible to receive tiered royalties in the first decile on ex-U.S. sales.</w:t>
      </w:r>
    </w:p>
    <w:p>
      <w:pPr>
        <w:spacing w:after="0" w:line="16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August 2025, the Company and Gilead mutually agreed to truncate the research term of the collaboration and license agreement from seven to five years, concluding the research portion of the collaboration. There is no financial penalty to the Company as a result, no licensed programs are being returned to the Company, all ongoing work at Gilead on licensed programs will continue and agreements for all future milestones and royalties remain in effect. The Company has no future research obligations and the remaining unrecognized deferred revenue balance as of June 30, 2025 of $53.8 million has been recognized as revenue in the third quarter of 2025.</w:t>
      </w:r>
    </w:p>
    <w:p>
      <w:pPr>
        <w:spacing w:after="0" w:line="183"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Company remains eligible to receive up to $300.0 million per program in clinical, regulatory, and commercial milestones and royalties on future sales of commercialized products, if any.</w:t>
      </w:r>
    </w:p>
    <w:p>
      <w:pPr>
        <w:spacing w:after="0" w:line="162"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In August 2020, Gilead also made an equity investment of $20.0 million into the Company as a participant in the Company’s Series B-1 preferred stock offering. At the time of the original investment, as of the September 30, 2025 balance sheet date, and based on current ownership of common stock, Gilead is not considered to be a related party to the Company.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Gilead Collaboration</w:t>
      </w:r>
    </w:p>
    <w:p>
      <w:pPr>
        <w:spacing w:after="0" w:line="22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Gilead Agreement is accounted for under ASC 606. The Company identified a single combined performance obligation under the Gilead Agreement consisting of the research services and continued participation on the joint steering committee during the research term. For research option-extension fees, the Company determined that the additional goods and services relating to the continued research services were not distinct from the early-stage research services already promised to Gilead under the on-going research plan. Consideration pertaining to each of the research option-extensions is paid to the Company in equal quarterly installment payments over an agreed upon payment schedule. The research option-extension consideration are added to the transaction price under the Gilead Agreement. License fees are recognized as revenue immediately as the Company has no continued involvement in the advancement of the program, Gilead can benefit from the license on its own, and the license is separately identifiable from the research services.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Gilead Revenue Recognized</w:t>
      </w:r>
    </w:p>
    <w:p>
      <w:pPr>
        <w:spacing w:after="0" w:line="22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total transaction price allocated to the combined performance obligation under the Gilead Agreement was $199.0 million at September 30, 2025. The total transaction price was comprised of the $50.0 million upfront payment pursuant to the 2018 Gilead Agreement, the $125.0 million upfront payment pursuant to the Gilead Agreement, and $24.0 million payment pursuant to the research option-extension fee in December 2020 and in September 2021. During the three months ended September 30, 2025 and 2024, the Company recognized $53.8 million and $11.6 million, respectively, and during the nine months ended September 30, 2025 and 2024, the Company recognized $62.4 million and $25.9 million, respectively, of collaboration revenue associated with the Gilead agreements based on performance completed during each period.</w:t>
      </w:r>
    </w:p>
    <w:p>
      <w:pPr>
        <w:spacing w:after="0" w:line="18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reevaluates the transaction price and the total estimated costs expected to be incurred to satisfy the performance obligations at the end of each reporting period and as uncertain events, such as changes to the expected timing and cost of certain research and development activities that the Company is responsible for, are resolved or other changes in circumstances occur. The Company had no short-term or long-term deferred revenue as of September 30, 2025, and had $17.6 million short-term and $44.8 million long-term deferred revenue as of December 31, 2024.</w:t>
      </w:r>
    </w:p>
    <w:p>
      <w:pPr>
        <w:spacing w:after="0" w:line="180"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June 2024, Gilead licensed a drug discovery program for a $12.0 million license fee. The $12.0 million license fee was recognized as revenue in the second quarter of 2024 as the Company has no continued involvement in the advancement of the program, Gilead can benefit from the license on its own, and the license is separately identifiable from the research services.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ind w:left="520"/>
        <w:spacing w:after="0"/>
        <w:rPr>
          <w:sz w:val="20"/>
          <w:szCs w:val="20"/>
          <w:color w:val="auto"/>
        </w:rPr>
      </w:pPr>
      <w:r>
        <w:rPr>
          <w:rFonts w:ascii="Times New Roman" w:cs="Times New Roman" w:eastAsia="Times New Roman" w:hAnsi="Times New Roman"/>
          <w:sz w:val="18"/>
          <w:szCs w:val="18"/>
          <w:color w:val="auto"/>
        </w:rPr>
        <w:t>Costs incurred pursuant to the Gilead Agreement and the 2018 Gilead Agreement are recorded as research and development expense.</w:t>
      </w:r>
    </w:p>
    <w:p>
      <w:pPr>
        <w:spacing w:after="0" w:line="200" w:lineRule="exact"/>
        <w:rPr>
          <w:sz w:val="20"/>
          <w:szCs w:val="20"/>
          <w:color w:val="auto"/>
        </w:rPr>
      </w:pPr>
    </w:p>
    <w:p>
      <w:pPr>
        <w:spacing w:after="0" w:line="237"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gridSpan w:val="7"/>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Fair Market Value Measurements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3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37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142"/>
        </w:trPr>
        <w:tc>
          <w:tcPr>
            <w:tcW w:w="37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4"/>
          </w:tcPr>
          <w:p>
            <w:pPr>
              <w:jc w:val="center"/>
              <w:ind w:right="613"/>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4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1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19,055</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19,055</w:t>
            </w:r>
          </w:p>
        </w:tc>
        <w:tc>
          <w:tcPr>
            <w:tcW w:w="120" w:type="dxa"/>
            <w:vAlign w:val="bottom"/>
          </w:tcPr>
          <w:p>
            <w:pPr>
              <w:spacing w:after="0"/>
              <w:rPr>
                <w:sz w:val="18"/>
                <w:szCs w:val="18"/>
                <w:color w:val="auto"/>
              </w:rPr>
            </w:pPr>
          </w:p>
        </w:tc>
      </w:tr>
      <w:tr>
        <w:trPr>
          <w:trHeight w:val="216"/>
        </w:trPr>
        <w:tc>
          <w:tcPr>
            <w:tcW w:w="3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Treasury bills</w:t>
            </w:r>
          </w:p>
        </w:tc>
        <w:tc>
          <w:tcPr>
            <w:tcW w:w="14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Treasury bills</w:t>
            </w:r>
          </w:p>
        </w:tc>
        <w:tc>
          <w:tcPr>
            <w:tcW w:w="14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91,467</w:t>
            </w:r>
          </w:p>
        </w:tc>
        <w:tc>
          <w:tcPr>
            <w:tcW w:w="1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91,467</w:t>
            </w:r>
          </w:p>
        </w:tc>
        <w:tc>
          <w:tcPr>
            <w:tcW w:w="120" w:type="dxa"/>
            <w:vAlign w:val="bottom"/>
            <w:shd w:val="clear" w:color="auto" w:fill="CFF0FC"/>
          </w:tcPr>
          <w:p>
            <w:pPr>
              <w:spacing w:after="0"/>
              <w:rPr>
                <w:sz w:val="18"/>
                <w:szCs w:val="18"/>
                <w:color w:val="auto"/>
              </w:rPr>
            </w:pPr>
          </w:p>
        </w:tc>
      </w:tr>
      <w:tr>
        <w:trPr>
          <w:trHeight w:val="216"/>
        </w:trPr>
        <w:tc>
          <w:tcPr>
            <w:tcW w:w="3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120" w:type="dxa"/>
            <w:vAlign w:val="bottom"/>
          </w:tcPr>
          <w:p>
            <w:pPr>
              <w:spacing w:after="0"/>
              <w:rPr>
                <w:sz w:val="18"/>
                <w:szCs w:val="18"/>
                <w:color w:val="auto"/>
              </w:rPr>
            </w:pPr>
          </w:p>
        </w:tc>
      </w:tr>
      <w:tr>
        <w:trPr>
          <w:trHeight w:val="2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19,055</w:t>
            </w:r>
          </w:p>
        </w:tc>
        <w:tc>
          <w:tcPr>
            <w:tcW w:w="1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94,473</w:t>
            </w:r>
          </w:p>
        </w:tc>
        <w:tc>
          <w:tcPr>
            <w:tcW w:w="1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113,528</w:t>
            </w:r>
          </w:p>
        </w:tc>
        <w:tc>
          <w:tcPr>
            <w:tcW w:w="120" w:type="dxa"/>
            <w:vAlign w:val="bottom"/>
            <w:shd w:val="clear" w:color="auto" w:fill="CFF0FC"/>
          </w:tcPr>
          <w:p>
            <w:pPr>
              <w:spacing w:after="0"/>
              <w:rPr>
                <w:sz w:val="19"/>
                <w:szCs w:val="19"/>
                <w:color w:val="auto"/>
              </w:rPr>
            </w:pPr>
          </w:p>
        </w:tc>
      </w:tr>
      <w:tr>
        <w:trPr>
          <w:trHeight w:val="20"/>
        </w:trPr>
        <w:tc>
          <w:tcPr>
            <w:tcW w:w="378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347"/>
        </w:trPr>
        <w:tc>
          <w:tcPr>
            <w:tcW w:w="3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Fair Market Value Measurements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3"/>
        </w:trPr>
        <w:tc>
          <w:tcPr>
            <w:tcW w:w="3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37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142"/>
        </w:trPr>
        <w:tc>
          <w:tcPr>
            <w:tcW w:w="37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4"/>
          </w:tcPr>
          <w:p>
            <w:pPr>
              <w:jc w:val="center"/>
              <w:ind w:right="593"/>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4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14,915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14,915</w:t>
            </w:r>
          </w:p>
        </w:tc>
      </w:tr>
      <w:tr>
        <w:trPr>
          <w:trHeight w:val="216"/>
        </w:trPr>
        <w:tc>
          <w:tcPr>
            <w:tcW w:w="3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bills</w:t>
            </w:r>
          </w:p>
        </w:tc>
        <w:tc>
          <w:tcPr>
            <w:tcW w:w="14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10,112</w:t>
            </w: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10,112</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bills</w:t>
            </w:r>
          </w:p>
        </w:tc>
        <w:tc>
          <w:tcPr>
            <w:tcW w:w="14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176,374</w:t>
            </w: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176,374</w:t>
            </w:r>
          </w:p>
        </w:tc>
      </w:tr>
      <w:tr>
        <w:trPr>
          <w:trHeight w:val="216"/>
        </w:trPr>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12,013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12,013</w:t>
            </w:r>
          </w:p>
        </w:tc>
      </w:tr>
      <w:tr>
        <w:trPr>
          <w:trHeight w:val="20"/>
        </w:trPr>
        <w:tc>
          <w:tcPr>
            <w:tcW w:w="3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6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14,915</w:t>
            </w:r>
          </w:p>
        </w:tc>
        <w:tc>
          <w:tcPr>
            <w:tcW w:w="1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198,499</w:t>
            </w:r>
          </w:p>
        </w:tc>
        <w:tc>
          <w:tcPr>
            <w:tcW w:w="3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213,414</w:t>
            </w:r>
          </w:p>
        </w:tc>
      </w:tr>
      <w:tr>
        <w:trPr>
          <w:trHeight w:val="20"/>
        </w:trPr>
        <w:tc>
          <w:tcPr>
            <w:tcW w:w="378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-1567815</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-1550670</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-1567815</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-1550670</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-1567815</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-1550670</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-1567815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-1550670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between fair value levels during the nine months ended September 30, 2025.</w:t>
      </w:r>
    </w:p>
    <w:p>
      <w:pPr>
        <w:spacing w:after="0" w:line="221"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22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Company values its marketable securities using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marketable debt securities, classified as available-for-sale:</w:t>
      </w:r>
    </w:p>
    <w:p>
      <w:pPr>
        <w:spacing w:after="0" w:line="21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4"/>
          <w:szCs w:val="14"/>
          <w:b w:val="1"/>
          <w:bCs w:val="1"/>
          <w:color w:val="auto"/>
        </w:rPr>
        <w:t>Fair Value Measurements</w:t>
      </w:r>
    </w:p>
    <w:p>
      <w:pPr>
        <w:ind w:left="7020"/>
        <w:spacing w:after="0"/>
        <w:rPr>
          <w:sz w:val="20"/>
          <w:szCs w:val="20"/>
          <w:color w:val="auto"/>
        </w:rPr>
      </w:pPr>
      <w:r>
        <w:rPr>
          <w:rFonts w:ascii="Times New Roman" w:cs="Times New Roman" w:eastAsia="Times New Roman" w:hAnsi="Times New Roman"/>
          <w:sz w:val="14"/>
          <w:szCs w:val="14"/>
          <w:b w:val="1"/>
          <w:bCs w:val="1"/>
          <w:color w:val="auto"/>
        </w:rPr>
        <w:t>as of September 30, 2025</w:t>
      </w:r>
    </w:p>
    <w:tbl>
      <w:tblPr>
        <w:tblLayout w:type="fixed"/>
        <w:tblInd w:w="0" w:type="dxa"/>
        <w:tblCellMar>
          <w:top w:w="0" w:type="dxa"/>
          <w:left w:w="0" w:type="dxa"/>
          <w:bottom w:w="0" w:type="dxa"/>
          <w:right w:w="0" w:type="dxa"/>
        </w:tblCellMar>
      </w:tblPr>
      <w:tr>
        <w:trPr>
          <w:trHeight w:val="117"/>
        </w:trPr>
        <w:tc>
          <w:tcPr>
            <w:tcW w:w="58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center"/>
              <w:ind w:right="328"/>
              <w:spacing w:after="0" w:line="117" w:lineRule="exact"/>
              <w:rPr>
                <w:sz w:val="20"/>
                <w:szCs w:val="20"/>
                <w:color w:val="auto"/>
              </w:rPr>
            </w:pPr>
            <w:r>
              <w:rPr>
                <w:rFonts w:ascii="Times New Roman" w:cs="Times New Roman" w:eastAsia="Times New Roman" w:hAnsi="Times New Roman"/>
                <w:sz w:val="13"/>
                <w:szCs w:val="13"/>
                <w:b w:val="1"/>
                <w:bCs w:val="1"/>
                <w:color w:val="auto"/>
              </w:rPr>
              <w:t>Gross</w:t>
            </w: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center"/>
              <w:ind w:right="340"/>
              <w:spacing w:after="0" w:line="117" w:lineRule="exact"/>
              <w:rPr>
                <w:sz w:val="20"/>
                <w:szCs w:val="20"/>
                <w:color w:val="auto"/>
              </w:rPr>
            </w:pPr>
            <w:r>
              <w:rPr>
                <w:rFonts w:ascii="Times New Roman" w:cs="Times New Roman" w:eastAsia="Times New Roman" w:hAnsi="Times New Roman"/>
                <w:sz w:val="13"/>
                <w:szCs w:val="13"/>
                <w:b w:val="1"/>
                <w:bCs w:val="1"/>
                <w:color w:val="auto"/>
              </w:rPr>
              <w:t>Gross</w:t>
            </w:r>
          </w:p>
        </w:tc>
        <w:tc>
          <w:tcPr>
            <w:tcW w:w="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vMerge w:val="restart"/>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Fair</w:t>
            </w:r>
          </w:p>
        </w:tc>
        <w:tc>
          <w:tcPr>
            <w:tcW w:w="68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ind w:left="72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440" w:type="dxa"/>
            <w:vAlign w:val="bottom"/>
            <w:gridSpan w:val="3"/>
          </w:tcPr>
          <w:p>
            <w:pPr>
              <w:jc w:val="center"/>
              <w:ind w:right="800"/>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Treasury bills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91,346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91,467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3,006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94,473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center"/>
              <w:ind w:right="76"/>
              <w:spacing w:after="0"/>
              <w:rPr>
                <w:sz w:val="20"/>
                <w:szCs w:val="20"/>
                <w:color w:val="auto"/>
              </w:rPr>
            </w:pPr>
            <w:r>
              <w:rPr>
                <w:rFonts w:ascii="Times New Roman" w:cs="Times New Roman" w:eastAsia="Times New Roman" w:hAnsi="Times New Roman"/>
                <w:sz w:val="18"/>
                <w:szCs w:val="18"/>
                <w:color w:val="auto"/>
                <w:w w:val="88"/>
              </w:rPr>
              <w:t>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-1216660</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-1216660</wp:posOffset>
            </wp:positionV>
            <wp:extent cx="596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-1216660</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-1216660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jc w:val="center"/>
        <w:ind w:left="4320"/>
        <w:spacing w:after="0"/>
        <w:rPr>
          <w:sz w:val="20"/>
          <w:szCs w:val="20"/>
          <w:color w:val="auto"/>
        </w:rPr>
      </w:pPr>
      <w:r>
        <w:rPr>
          <w:rFonts w:ascii="Times New Roman" w:cs="Times New Roman" w:eastAsia="Times New Roman" w:hAnsi="Times New Roman"/>
          <w:sz w:val="14"/>
          <w:szCs w:val="14"/>
          <w:b w:val="1"/>
          <w:bCs w:val="1"/>
          <w:color w:val="auto"/>
        </w:rPr>
        <w:t>Fair Value Measurements</w:t>
      </w:r>
    </w:p>
    <w:p>
      <w:pPr>
        <w:jc w:val="center"/>
        <w:ind w:left="4320"/>
        <w:spacing w:after="0"/>
        <w:rPr>
          <w:sz w:val="20"/>
          <w:szCs w:val="20"/>
          <w:color w:val="auto"/>
        </w:rPr>
      </w:pPr>
      <w:r>
        <w:rPr>
          <w:rFonts w:ascii="Times New Roman" w:cs="Times New Roman" w:eastAsia="Times New Roman" w:hAnsi="Times New Roman"/>
          <w:sz w:val="14"/>
          <w:szCs w:val="14"/>
          <w:b w:val="1"/>
          <w:bCs w:val="1"/>
          <w:color w:val="auto"/>
        </w:rPr>
        <w:t>as of December 31, 2024</w:t>
      </w:r>
    </w:p>
    <w:tbl>
      <w:tblPr>
        <w:tblLayout w:type="fixed"/>
        <w:tblInd w:w="580" w:type="dxa"/>
        <w:tblCellMar>
          <w:top w:w="0" w:type="dxa"/>
          <w:left w:w="0" w:type="dxa"/>
          <w:bottom w:w="0" w:type="dxa"/>
          <w:right w:w="0" w:type="dxa"/>
        </w:tblCellMar>
      </w:tblPr>
      <w:tr>
        <w:trPr>
          <w:trHeight w:val="117"/>
        </w:trPr>
        <w:tc>
          <w:tcPr>
            <w:tcW w:w="44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center"/>
              <w:ind w:right="328"/>
              <w:spacing w:after="0" w:line="117" w:lineRule="exact"/>
              <w:rPr>
                <w:sz w:val="20"/>
                <w:szCs w:val="20"/>
                <w:color w:val="auto"/>
              </w:rPr>
            </w:pPr>
            <w:r>
              <w:rPr>
                <w:rFonts w:ascii="Times New Roman" w:cs="Times New Roman" w:eastAsia="Times New Roman" w:hAnsi="Times New Roman"/>
                <w:sz w:val="13"/>
                <w:szCs w:val="13"/>
                <w:b w:val="1"/>
                <w:bCs w:val="1"/>
                <w:color w:val="auto"/>
              </w:rPr>
              <w:t>Gross</w:t>
            </w: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center"/>
              <w:ind w:right="340"/>
              <w:spacing w:after="0" w:line="117" w:lineRule="exact"/>
              <w:rPr>
                <w:sz w:val="20"/>
                <w:szCs w:val="20"/>
                <w:color w:val="auto"/>
              </w:rPr>
            </w:pPr>
            <w:r>
              <w:rPr>
                <w:rFonts w:ascii="Times New Roman" w:cs="Times New Roman" w:eastAsia="Times New Roman" w:hAnsi="Times New Roman"/>
                <w:sz w:val="13"/>
                <w:szCs w:val="13"/>
                <w:b w:val="1"/>
                <w:bCs w:val="1"/>
                <w:color w:val="auto"/>
              </w:rPr>
              <w:t>Gross</w:t>
            </w: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ind w:left="72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440" w:type="dxa"/>
            <w:vAlign w:val="bottom"/>
            <w:gridSpan w:val="3"/>
          </w:tcPr>
          <w:p>
            <w:pPr>
              <w:jc w:val="center"/>
              <w:ind w:right="800"/>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Treasury bills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176,049</w:t>
            </w:r>
          </w:p>
        </w:tc>
        <w:tc>
          <w:tcPr>
            <w:tcW w:w="1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364</w:t>
            </w:r>
          </w:p>
        </w:tc>
        <w:tc>
          <w:tcPr>
            <w:tcW w:w="1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176,374</w:t>
            </w: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12,013</w:t>
            </w:r>
          </w:p>
        </w:tc>
        <w:tc>
          <w:tcPr>
            <w:tcW w:w="0" w:type="dxa"/>
            <w:vAlign w:val="bottom"/>
          </w:tcPr>
          <w:p>
            <w:pPr>
              <w:spacing w:after="0"/>
              <w:rPr>
                <w:sz w:val="1"/>
                <w:szCs w:val="1"/>
                <w:color w:val="auto"/>
              </w:rPr>
            </w:pPr>
          </w:p>
        </w:tc>
      </w:tr>
      <w:tr>
        <w:trPr>
          <w:trHeight w:val="20"/>
        </w:trPr>
        <w:tc>
          <w:tcPr>
            <w:tcW w:w="44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375</w:t>
            </w:r>
          </w:p>
        </w:tc>
        <w:tc>
          <w:tcPr>
            <w:tcW w:w="1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188,387</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-170815</wp:posOffset>
            </wp:positionV>
            <wp:extent cx="603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-170815</wp:posOffset>
            </wp:positionV>
            <wp:extent cx="596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-170815</wp:posOffset>
            </wp:positionV>
            <wp:extent cx="603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did not hold any marketable debt securities with a contractual maturity date of greater than one year as of September 30, 2025.</w:t>
      </w:r>
    </w:p>
    <w:p>
      <w:pPr>
        <w:spacing w:after="0" w:line="225"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and gross unrealized losses aggregated by category and the length of time that individual securities have been in an unrealized loss position:</w:t>
      </w:r>
    </w:p>
    <w:p>
      <w:pPr>
        <w:spacing w:after="0" w:line="20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2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2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Greater than twelve months</w:t>
            </w:r>
          </w:p>
        </w:tc>
        <w:tc>
          <w:tcPr>
            <w:tcW w:w="1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2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20" w:type="dxa"/>
            <w:vAlign w:val="bottom"/>
          </w:tcPr>
          <w:p>
            <w:pPr>
              <w:spacing w:after="0"/>
              <w:rPr>
                <w:sz w:val="17"/>
                <w:szCs w:val="17"/>
                <w:color w:val="auto"/>
              </w:rPr>
            </w:pPr>
          </w:p>
        </w:tc>
      </w:tr>
      <w:tr>
        <w:trPr>
          <w:trHeight w:val="196"/>
        </w:trPr>
        <w:tc>
          <w:tcPr>
            <w:tcW w:w="2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2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U.S. Treasury bills</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10,024</w:t>
            </w:r>
          </w:p>
        </w:tc>
        <w:tc>
          <w:tcPr>
            <w:tcW w:w="98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10,024</w:t>
            </w:r>
          </w:p>
        </w:tc>
        <w:tc>
          <w:tcPr>
            <w:tcW w:w="74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30"/>
        </w:trPr>
        <w:tc>
          <w:tcPr>
            <w:tcW w:w="25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10,024</w:t>
            </w:r>
          </w:p>
        </w:tc>
        <w:tc>
          <w:tcPr>
            <w:tcW w:w="98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10,024</w:t>
            </w:r>
          </w:p>
        </w:tc>
        <w:tc>
          <w:tcPr>
            <w:tcW w:w="74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5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-24765</wp:posOffset>
            </wp:positionV>
            <wp:extent cx="596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-7620</wp:posOffset>
            </wp:positionV>
            <wp:extent cx="596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-24765</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-7620</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-24765</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-7620</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596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596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6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26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Greater than twelve months</w:t>
            </w:r>
          </w:p>
        </w:tc>
        <w:tc>
          <w:tcPr>
            <w:tcW w:w="1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4"/>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26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20" w:type="dxa"/>
            <w:vAlign w:val="bottom"/>
          </w:tcPr>
          <w:p>
            <w:pPr>
              <w:spacing w:after="0"/>
              <w:rPr>
                <w:sz w:val="17"/>
                <w:szCs w:val="17"/>
                <w:color w:val="auto"/>
              </w:rPr>
            </w:pPr>
          </w:p>
        </w:tc>
      </w:tr>
      <w:tr>
        <w:trPr>
          <w:trHeight w:val="196"/>
        </w:trPr>
        <w:tc>
          <w:tcPr>
            <w:tcW w:w="26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2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U.S. Treasury bills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46,016</w:t>
            </w:r>
          </w:p>
        </w:tc>
        <w:tc>
          <w:tcPr>
            <w:tcW w:w="300" w:type="dxa"/>
            <w:vAlign w:val="bottom"/>
            <w:gridSpan w:val="2"/>
            <w:shd w:val="clear" w:color="auto" w:fill="CFF0FC"/>
          </w:tcPr>
          <w:p>
            <w:pPr>
              <w:spacing w:after="0"/>
              <w:rPr>
                <w:sz w:val="18"/>
                <w:szCs w:val="18"/>
                <w:color w:val="auto"/>
              </w:rPr>
            </w:pPr>
          </w:p>
        </w:tc>
        <w:tc>
          <w:tcPr>
            <w:tcW w:w="660" w:type="dxa"/>
            <w:vAlign w:val="bottom"/>
            <w:shd w:val="clear" w:color="auto" w:fill="CFF0FC"/>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46,016</w:t>
            </w:r>
          </w:p>
        </w:tc>
        <w:tc>
          <w:tcPr>
            <w:tcW w:w="720" w:type="dxa"/>
            <w:vAlign w:val="bottom"/>
            <w:gridSpan w:val="3"/>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26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30"/>
        </w:trPr>
        <w:tc>
          <w:tcPr>
            <w:tcW w:w="26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46,016</w:t>
            </w:r>
          </w:p>
        </w:tc>
        <w:tc>
          <w:tcPr>
            <w:tcW w:w="300" w:type="dxa"/>
            <w:vAlign w:val="bottom"/>
            <w:gridSpan w:val="2"/>
            <w:shd w:val="clear" w:color="auto" w:fill="CFF0FC"/>
          </w:tcPr>
          <w:p>
            <w:pPr>
              <w:spacing w:after="0"/>
              <w:rPr>
                <w:sz w:val="19"/>
                <w:szCs w:val="19"/>
                <w:color w:val="auto"/>
              </w:rPr>
            </w:pPr>
          </w:p>
        </w:tc>
        <w:tc>
          <w:tcPr>
            <w:tcW w:w="660" w:type="dxa"/>
            <w:vAlign w:val="bottom"/>
            <w:shd w:val="clear" w:color="auto" w:fill="CFF0FC"/>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46,016</w:t>
            </w:r>
          </w:p>
        </w:tc>
        <w:tc>
          <w:tcPr>
            <w:tcW w:w="720" w:type="dxa"/>
            <w:vAlign w:val="bottom"/>
            <w:gridSpan w:val="3"/>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26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-170815</wp:posOffset>
            </wp:positionV>
            <wp:extent cx="596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-170815</wp:posOffset>
            </wp:positionV>
            <wp:extent cx="596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-170815</wp:posOffset>
            </wp:positionV>
            <wp:extent cx="603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-170815</wp:posOffset>
            </wp:positionV>
            <wp:extent cx="603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-170815</wp:posOffset>
            </wp:positionV>
            <wp:extent cx="603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-24765</wp:posOffset>
            </wp:positionV>
            <wp:extent cx="596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-7620</wp:posOffset>
            </wp:positionV>
            <wp:extent cx="596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-24765</wp:posOffset>
            </wp:positionV>
            <wp:extent cx="596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-7620</wp:posOffset>
            </wp:positionV>
            <wp:extent cx="596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-24765</wp:posOffset>
            </wp:positionV>
            <wp:extent cx="603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-7620</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-24765</wp:posOffset>
            </wp:positionV>
            <wp:extent cx="603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03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holds investment grade marketable securities considered to be in an unrealized loss position. Although these marketable securities are held at an unrealized loss position at September 30, 2025, the Company does not intend to sell the marketable securities prior to the value of the securities being recovered and the Company has concluded that it is more likely than not that the marketable securities cost basis values will be recovered prior to sale of the securities and that there are no conditions or events that might require the Company to sell the securities before recovery of the cost basis occurs. Further, the Company did not record any impairments to marketable securities or reserves for credit losses related to its marketable debt securities during the periods then ended. Marketable securities include $0.7 million and $1.4 million in accrued interest at September 30, 2025 and December 31, 2024, respectively.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6" w:name="page17"/>
    <w:bookmarkEnd w:id="16"/>
    <w:p>
      <w:pPr>
        <w:ind w:left="520" w:right="7380" w:hanging="512"/>
        <w:spacing w:after="0" w:line="503" w:lineRule="auto"/>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Balance Sheet Information </w:t>
      </w:r>
      <w:r>
        <w:rPr>
          <w:rFonts w:ascii="Times New Roman" w:cs="Times New Roman" w:eastAsia="Times New Roman" w:hAnsi="Times New Roman"/>
          <w:sz w:val="18"/>
          <w:szCs w:val="18"/>
          <w:b w:val="1"/>
          <w:bCs w:val="1"/>
          <w:i w:val="1"/>
          <w:iCs w:val="1"/>
          <w:color w:val="auto"/>
        </w:rPr>
        <w:t>Property and Equipment</w:t>
      </w: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consists of the following:</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180" w:type="dxa"/>
            <w:vAlign w:val="bottom"/>
            <w:gridSpan w:val="2"/>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8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right"/>
              <w:ind w:right="9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4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80" w:type="dxa"/>
            <w:vAlign w:val="bottom"/>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860" w:type="dxa"/>
            <w:vAlign w:val="bottom"/>
            <w:gridSpan w:val="3"/>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8,936</w:t>
            </w:r>
          </w:p>
        </w:tc>
        <w:tc>
          <w:tcPr>
            <w:tcW w:w="2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8,936</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44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44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4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4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440" w:type="dxa"/>
            <w:vAlign w:val="bottom"/>
          </w:tcPr>
          <w:p>
            <w:pPr>
              <w:spacing w:after="0"/>
              <w:rPr>
                <w:sz w:val="18"/>
                <w:szCs w:val="18"/>
                <w:color w:val="auto"/>
              </w:rPr>
            </w:pPr>
          </w:p>
        </w:tc>
        <w:tc>
          <w:tcPr>
            <w:tcW w:w="21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8"/>
                <w:szCs w:val="18"/>
                <w:color w:val="auto"/>
              </w:rPr>
            </w:pPr>
          </w:p>
        </w:tc>
      </w:tr>
      <w:tr>
        <w:trPr>
          <w:trHeight w:val="210"/>
        </w:trPr>
        <w:tc>
          <w:tcPr>
            <w:tcW w:w="482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17,406</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16,465</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40" w:type="dxa"/>
            <w:vAlign w:val="bottom"/>
          </w:tcPr>
          <w:p>
            <w:pPr>
              <w:spacing w:after="0"/>
              <w:rPr>
                <w:sz w:val="18"/>
                <w:szCs w:val="18"/>
                <w:color w:val="auto"/>
              </w:rPr>
            </w:pPr>
          </w:p>
        </w:tc>
        <w:tc>
          <w:tcPr>
            <w:tcW w:w="21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(10,060)</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(8,363)</w:t>
            </w:r>
          </w:p>
        </w:tc>
      </w:tr>
      <w:tr>
        <w:trPr>
          <w:trHeight w:val="20"/>
        </w:trPr>
        <w:tc>
          <w:tcPr>
            <w:tcW w:w="48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7,346</w:t>
            </w:r>
          </w:p>
        </w:tc>
        <w:tc>
          <w:tcPr>
            <w:tcW w:w="2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100" w:type="dxa"/>
            <w:vAlign w:val="bottom"/>
            <w:shd w:val="clear" w:color="auto" w:fill="CFF0FC"/>
          </w:tcPr>
          <w:p>
            <w:pPr>
              <w:spacing w:after="0"/>
              <w:rPr>
                <w:sz w:val="19"/>
                <w:szCs w:val="19"/>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-25400</wp:posOffset>
            </wp:positionV>
            <wp:extent cx="603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was $1.8 million and $1.9 million for the nine months ended September 30, 2025 and 2024, respectively.</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include the following:</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6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right"/>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660" w:type="dxa"/>
            <w:vAlign w:val="bottom"/>
            <w:gridSpan w:val="3"/>
          </w:tcPr>
          <w:p>
            <w:pPr>
              <w:jc w:val="center"/>
              <w:ind w:right="1016"/>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00" w:type="dxa"/>
            <w:vAlign w:val="bottom"/>
          </w:tcPr>
          <w:p>
            <w:pPr>
              <w:spacing w:after="0"/>
              <w:rPr>
                <w:sz w:val="12"/>
                <w:szCs w:val="12"/>
                <w:color w:val="auto"/>
              </w:rPr>
            </w:pP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and employee-related costs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6,477</w:t>
            </w:r>
          </w:p>
        </w:tc>
        <w:tc>
          <w:tcPr>
            <w:tcW w:w="440" w:type="dxa"/>
            <w:vAlign w:val="bottom"/>
            <w:gridSpan w:val="2"/>
            <w:shd w:val="clear" w:color="auto" w:fill="CFF0FC"/>
          </w:tcPr>
          <w:p>
            <w:pPr>
              <w:jc w:val="center"/>
              <w:ind w:left="7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8,951</w:t>
            </w: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100" w:type="dxa"/>
            <w:vAlign w:val="bottom"/>
          </w:tcPr>
          <w:p>
            <w:pPr>
              <w:spacing w:after="0"/>
              <w:rPr>
                <w:sz w:val="18"/>
                <w:szCs w:val="18"/>
                <w:color w:val="auto"/>
              </w:rPr>
            </w:pPr>
          </w:p>
        </w:tc>
      </w:tr>
      <w:tr>
        <w:trPr>
          <w:trHeight w:val="216"/>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13,113</w:t>
            </w:r>
          </w:p>
        </w:tc>
        <w:tc>
          <w:tcPr>
            <w:tcW w:w="440" w:type="dxa"/>
            <w:vAlign w:val="bottom"/>
            <w:gridSpan w:val="2"/>
          </w:tcPr>
          <w:p>
            <w:pPr>
              <w:jc w:val="center"/>
              <w:ind w:left="7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16,497</w:t>
            </w:r>
          </w:p>
        </w:tc>
        <w:tc>
          <w:tcPr>
            <w:tcW w:w="100" w:type="dxa"/>
            <w:vAlign w:val="bottom"/>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-170815</wp:posOffset>
            </wp:positionV>
            <wp:extent cx="596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2025 and 2024, the Company maintained a restricted cash balance of $2.6 million and $2.6 million, respectively, all of which was related to a security deposit associated with the Company’s facility lease. The cash will remain restricted in accordance with the lease agreement absent the event of a lease termination or modification. The reconciliation of cash and cash equivalents and restricted cash to amounts presented in the condensed consolidated statements of cash flows are as follows:</w:t>
      </w:r>
    </w:p>
    <w:p>
      <w:pPr>
        <w:spacing w:after="0" w:line="16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76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3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ind w:right="9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3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820" w:type="dxa"/>
            <w:vAlign w:val="bottom"/>
            <w:tcBorders>
              <w:bottom w:val="single" w:sz="8" w:color="auto"/>
            </w:tcBorders>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1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720" w:type="dxa"/>
            <w:vAlign w:val="bottom"/>
            <w:gridSpan w:val="2"/>
            <w:shd w:val="clear" w:color="auto" w:fill="CFF0FC"/>
          </w:tcPr>
          <w:p>
            <w:pPr>
              <w:jc w:val="right"/>
              <w:ind w:right="158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58,338</w:t>
            </w:r>
          </w:p>
        </w:tc>
        <w:tc>
          <w:tcPr>
            <w:tcW w:w="66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53,148</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9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2,567</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2,567</w:t>
            </w:r>
          </w:p>
        </w:tc>
      </w:tr>
      <w:tr>
        <w:trPr>
          <w:trHeight w:val="20"/>
        </w:trPr>
        <w:tc>
          <w:tcPr>
            <w:tcW w:w="3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96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158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60,905</w:t>
            </w:r>
          </w:p>
        </w:tc>
        <w:tc>
          <w:tcPr>
            <w:tcW w:w="66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55,715</w:t>
            </w:r>
          </w:p>
        </w:tc>
      </w:tr>
      <w:tr>
        <w:trPr>
          <w:trHeight w:val="20"/>
        </w:trPr>
        <w:tc>
          <w:tcPr>
            <w:tcW w:w="39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-24765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0" w:lineRule="exact"/>
        <w:rPr>
          <w:sz w:val="20"/>
          <w:szCs w:val="20"/>
          <w:color w:val="auto"/>
        </w:rPr>
      </w:pPr>
    </w:p>
    <w:p>
      <w:pPr>
        <w:ind w:left="520" w:right="8000" w:hanging="512"/>
        <w:spacing w:after="0" w:line="531" w:lineRule="auto"/>
        <w:tabs>
          <w:tab w:leader="none" w:pos="52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License Agreements</w:t>
      </w:r>
    </w:p>
    <w:p>
      <w:pPr>
        <w:ind w:left="5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i w:val="1"/>
          <w:iCs w:val="1"/>
          <w:color w:val="auto"/>
        </w:rPr>
        <w:t>Sesame Therapeutics, Inc.</w:t>
      </w:r>
    </w:p>
    <w:p>
      <w:pPr>
        <w:spacing w:after="0" w:line="227"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In June 2024, the Company and Sesame Therapeutics, Inc. (Sesame) entered into a license agreement pursuant to which the Company granted Sesame a non-exclusive license to certain know-how associated with preclinical research (the Sesame</w:t>
      </w:r>
    </w:p>
    <w:p>
      <w:pPr>
        <w:spacing w:after="0" w:line="16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97" w:right="519" w:bottom="1440" w:gutter="0" w:footer="0" w:header="0"/>
        </w:sectPr>
      </w:pPr>
    </w:p>
    <w:bookmarkStart w:id="17" w:name="page18"/>
    <w:bookmarkEnd w:id="17"/>
    <w:p>
      <w:pPr>
        <w:ind w:right="160"/>
        <w:spacing w:after="0" w:line="266" w:lineRule="auto"/>
        <w:rPr>
          <w:sz w:val="20"/>
          <w:szCs w:val="20"/>
          <w:color w:val="auto"/>
        </w:rPr>
      </w:pPr>
      <w:r>
        <w:rPr>
          <w:rFonts w:ascii="Times New Roman" w:cs="Times New Roman" w:eastAsia="Times New Roman" w:hAnsi="Times New Roman"/>
          <w:sz w:val="18"/>
          <w:szCs w:val="18"/>
          <w:color w:val="auto"/>
        </w:rPr>
        <w:t>Agreement). Pursuant to the Sesame Agreement, the Company received a $0.1 million upfront, non-refundable payment in June 2024. Under the terms of the Sesame Agreement, the Company is eligible to receive up to $25.9 million in potential future clinical, regulatory, and commercial milestone event payments. The Company is also eligible to receive low single-digit tiered royalties on net sales of any product covered by a licensed patent.</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 evaluated the Sesame Agreement under ASC 606. The Company identified the following promises under the agreement: (1) the non-exclusive license and (2) the initial know-how transfer, and determined that the promises were immaterial as the upfront license payment at contract inception was an inconsequential payment amount. The initial upfront license payment was recorded as license revenue on the consolidated statements of operations and comprehensive loss during the period ended June 30, 2024.</w:t>
      </w:r>
    </w:p>
    <w:p>
      <w:pPr>
        <w:spacing w:after="0" w:line="1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All potential future milestone payments are considered to be variable consideration and have been excluded from the transaction price. Revenue for all potential clinical and regulatory milestone achievements will be recognized when the related milestones are achieved or when it becomes probable that a significant reversal in the amount of revenue recognized relating to the milestone event will not occur. Milestone payments that are not within the control of the Company or the licensee, such as regulatory approvals, are not considered probable of being achieved until those approvals are received. Additionally, revenue related to potential sales milestones and royalties from the sales of the licensed products will be recognized when the related sales occur.</w:t>
      </w:r>
    </w:p>
    <w:p>
      <w:pPr>
        <w:spacing w:after="0" w:line="18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August 2025, the Company and Sesame entered into a use and occupancy sub-lease of office and laboratory space at 201 Brookline Avenue in Boston, Massachusetts. The sub-lease has a term of 17-months with an option to extend for one additional six-month period. Total sub-lease payments from Sesame to Tango will approximate $0.4 million over the term of the sub-lease agreement.</w:t>
      </w:r>
    </w:p>
    <w:p>
      <w:pPr>
        <w:spacing w:after="0" w:line="176"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Due to common relationships amongst members of management and the boards of directors, the transactions above with Sesame are related party transactions.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Medivir AB</w:t>
      </w:r>
    </w:p>
    <w:p>
      <w:pPr>
        <w:spacing w:after="0" w:line="227" w:lineRule="exact"/>
        <w:rPr>
          <w:sz w:val="20"/>
          <w:szCs w:val="20"/>
          <w:color w:val="auto"/>
        </w:rPr>
      </w:pPr>
    </w:p>
    <w:p>
      <w:pPr>
        <w:ind w:right="560" w:firstLine="509"/>
        <w:spacing w:after="0" w:line="266" w:lineRule="auto"/>
        <w:rPr>
          <w:sz w:val="20"/>
          <w:szCs w:val="20"/>
          <w:color w:val="auto"/>
        </w:rPr>
      </w:pPr>
      <w:r>
        <w:rPr>
          <w:rFonts w:ascii="Times New Roman" w:cs="Times New Roman" w:eastAsia="Times New Roman" w:hAnsi="Times New Roman"/>
          <w:sz w:val="18"/>
          <w:szCs w:val="18"/>
          <w:color w:val="auto"/>
        </w:rPr>
        <w:t>In March 2020, the Company entered into a license agreement (the Medivir Agreement) with Medivir AB (Medivir), pursuant to which the Company obtained an exclusive license to all patents, know-how and other intellectual property associated with certain USP1 assets. Pursuant to the Medivir Agreement, the Company made an upfront payment of $0.4 million.</w:t>
      </w:r>
    </w:p>
    <w:p>
      <w:pPr>
        <w:spacing w:after="0" w:line="17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Under the terms of the Medivir Agreement, the Company is obligated to pay Medivir in connection with development, regulatory and commercial activities. The Company has agreed to make certain milestone payments of $1.4 million in the aggregate for the first licensed product that achieves specified clinical milestones, plus $25.0 million for the first licensed product that achieves specified regulatory approval and sales milestones, in each case, in either of the first two specified genetic contexts and $0.7 million in the aggregate if that first licensed product achieves specified clinical milestones, plus $5.0 million if that first licensed product achieves specified regulatory and sales milestones for a third genetic context or the second licensed product achieves such specified development, regulatory and sales milestones in either of the first two specified genetic contexts. The Company has the right to reduce these milestone payments by a specified amount in the event the licensed product is not covered by Medivir’s patents or if payments are due to a third party for a license under such third party’s intellectual property rights. The Company is also obligated to pay Medivir a low single-digit royalty on net sales of any product covered by a licensed patent. The Medivir Agreement expires on the date of expiration of all royalty obligations. Either party may terminate the Medivir Agreement earlier upon an uncured material breach of the other party.</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Upfront fees and subsequent milestone amounts paid pursuant to the Medivir Agreement were recorded to research and development expense.</w:t>
      </w:r>
    </w:p>
    <w:p>
      <w:pPr>
        <w:spacing w:after="0" w:line="225" w:lineRule="exact"/>
        <w:rPr>
          <w:sz w:val="20"/>
          <w:szCs w:val="20"/>
          <w:color w:val="auto"/>
        </w:rPr>
      </w:pPr>
    </w:p>
    <w:p>
      <w:pPr>
        <w:ind w:right="80" w:firstLine="584"/>
        <w:spacing w:after="0" w:line="266" w:lineRule="auto"/>
        <w:rPr>
          <w:sz w:val="20"/>
          <w:szCs w:val="20"/>
          <w:color w:val="auto"/>
        </w:rPr>
      </w:pPr>
      <w:r>
        <w:rPr>
          <w:rFonts w:ascii="Times New Roman" w:cs="Times New Roman" w:eastAsia="Times New Roman" w:hAnsi="Times New Roman"/>
          <w:sz w:val="18"/>
          <w:szCs w:val="18"/>
          <w:color w:val="auto"/>
        </w:rPr>
        <w:t>In May 2024, the Company made the decision to discontinue further development of TNG348, the basis of the USP1 program, due to liver toxicity experienced by patients in the dose escalation portion of the Phase1/2 clinical trial. As a result, the Company does not expect any on-going material obligations under the Medivir Agreement.</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Consulting Agreement</w:t>
      </w:r>
    </w:p>
    <w:p>
      <w:pPr>
        <w:spacing w:after="0" w:line="22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October 2025, the Company and Malte Peters, M.D. entered into a consulting agreement to support the Company's work on key initiatives related to the initiation of the planned pivotal study in second line pancreatic cancer, anticipated to start in 2026, and advancing our late-stage development capabilities. Dr. Peters, who also serves on the Tango Board of Directors, has significant late-stage clinical development expertise, having brought multiple oncology products to market. In exchange for his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ind w:right="20"/>
        <w:spacing w:after="0" w:line="266" w:lineRule="auto"/>
        <w:rPr>
          <w:sz w:val="20"/>
          <w:szCs w:val="20"/>
          <w:color w:val="auto"/>
        </w:rPr>
      </w:pPr>
      <w:r>
        <w:rPr>
          <w:rFonts w:ascii="Times New Roman" w:cs="Times New Roman" w:eastAsia="Times New Roman" w:hAnsi="Times New Roman"/>
          <w:sz w:val="18"/>
          <w:szCs w:val="18"/>
          <w:color w:val="auto"/>
        </w:rPr>
        <w:t>consulting services, Dr. Peters will receive compensation of (i) $36,000 per calendar month and (ii) an equity grant of 150,000 non-qualified stock options. Due to Dr. Peters maintaining a position on the Board of Directors, the compensation related to the agreed-upon consulting services is deemed a related party transaction.</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Clinical Trial Collaboration and Supply Agreement</w:t>
      </w:r>
    </w:p>
    <w:p>
      <w:pPr>
        <w:spacing w:after="0" w:line="22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November 2024, the Company and Revolution Medicines, Inc. (RevMed) entered into a Clinical Trial Collaboration and Supply Agreement. The agreement provides that RevMed will supply daraxonrasib (RMC-6236), a RAS(ON) multi-selective inhibitor, and zoldonrasib (RMC-9805), a RAS(ON) G12D-selective inhibitor, at no cost to the Company for use in trials that will include vopimetostat and each of these RAS(ON) inhibitors. The Company will be the sponsor of any combination trials and bear associated costs. Each company will retain commercial rights to its respective compounds, and the agreement is mutually non-exclusive. Due to common relationships amongst members of management and the boards of directors at the time of execution, this transaction is a related party transaction.</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Funding Commitments</w:t>
      </w:r>
    </w:p>
    <w:p>
      <w:pPr>
        <w:spacing w:after="0" w:line="22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2025, the Company had ongoing preclinical and clinical studies. The Company enters into contracts in the normal course of business with contract research organizations in connection with the preparation and operation of clinical trials, professional consultants for expert advice and other vendors for clinical supply manufacturing or other preclinical and clinical services. These contracts are generally cancellable, with notice, at the Company's option and do not have significant cancellation penalties.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2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 enters into certain agreements with other parties in the ordinary course of business that contain indemnification provisions. These typically include agreements with directors and officers, business partners, contractors, landlords, construction companies, contract research organizations, clinical trial sites, and other parties. Under these provisions, the Company generally indemnifies, defends and holds harmless the indemnified party for losses suffered or incurred by the indemnified party under the terms of the contract, including as a result of the Company’s activities. These indemnification provisions generally survive termination of the underlying agreement.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from time to time, may be party to litigation arising in the ordinary course of business. The Company was not subject to any material legal proceedings as of September 30, 2025, and no material legal proceedings are currently pending or threatened. Because of uncertainties related to claims, proceedings and litigation, assessments of potential liabilities are based on the Company's best estimates based on information available at the time of the assessment. On a periodic basis, as additional information becomes available, or based on specific events such as the outcome of litigation, court decisions or settlement of claims (and offers of settlement), the Company may reassess the potential liability related to these matters and may revise these estimates, which could result in a material adverse effect on the operating results of the Company. Costs associated with involvement in legal proceedings are expensed as incurred. The outcome of any such proceedings, regardless of the merits, is inherently uncertain. If the Company were to be unable to prevail in any such proceedings, the consolidated financial position, results of operations, and future cash flows of the Company may be materially impacted.</w:t>
      </w:r>
    </w:p>
    <w:p>
      <w:pPr>
        <w:spacing w:after="0" w:line="184" w:lineRule="exact"/>
        <w:rPr>
          <w:sz w:val="20"/>
          <w:szCs w:val="20"/>
          <w:color w:val="auto"/>
        </w:rPr>
      </w:pPr>
    </w:p>
    <w:p>
      <w:pPr>
        <w:ind w:left="520" w:right="9060" w:hanging="512"/>
        <w:spacing w:after="0" w:line="503" w:lineRule="auto"/>
        <w:tabs>
          <w:tab w:leader="none" w:pos="5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Stockholders' Equity </w:t>
      </w:r>
      <w:r>
        <w:rPr>
          <w:rFonts w:ascii="Times New Roman" w:cs="Times New Roman" w:eastAsia="Times New Roman" w:hAnsi="Times New Roman"/>
          <w:sz w:val="18"/>
          <w:szCs w:val="18"/>
          <w:b w:val="1"/>
          <w:bCs w:val="1"/>
          <w:i w:val="1"/>
          <w:iCs w:val="1"/>
          <w:color w:val="auto"/>
        </w:rPr>
        <w:t>Common Stock</w:t>
      </w: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On June 5, 2025, the Company’s stockholders approved an increase in the number of authorized shares of the Company's common stock from 200,000,000 to 400,000,000 and the Company filed a Certificate of Amendment to its Amended and Restated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Certificate of Incorporation with the Secretary of State of the State of Delaware to effect such increase, which became effective immediately upon filing.</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Company’s Certificate of Incorporation, as amended and restated, authorizes the Company to issue shares of preferred stock with a par value of $0.001 per share. The number of shares of preferred stock authorized to be issued is 10,000,000 shares as of September 30, 2025 and December 31, 2024. The shares of preferred stock are currently undesignated and no shares are issued or outstanding.</w:t>
      </w:r>
    </w:p>
    <w:p>
      <w:pPr>
        <w:spacing w:after="0" w:line="172" w:lineRule="exact"/>
        <w:rPr>
          <w:sz w:val="20"/>
          <w:szCs w:val="20"/>
          <w:color w:val="auto"/>
        </w:rPr>
      </w:pPr>
    </w:p>
    <w:p>
      <w:pPr>
        <w:ind w:left="520" w:right="8620" w:hanging="512"/>
        <w:spacing w:after="0" w:line="532" w:lineRule="auto"/>
        <w:tabs>
          <w:tab w:leader="none" w:pos="520" w:val="left"/>
        </w:tabs>
        <w:numPr>
          <w:ilvl w:val="0"/>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Stock-Based Compensation </w:t>
      </w:r>
      <w:r>
        <w:rPr>
          <w:rFonts w:ascii="Times New Roman" w:cs="Times New Roman" w:eastAsia="Times New Roman" w:hAnsi="Times New Roman"/>
          <w:sz w:val="17"/>
          <w:szCs w:val="17"/>
          <w:b w:val="1"/>
          <w:bCs w:val="1"/>
          <w:i w:val="1"/>
          <w:iCs w:val="1"/>
          <w:color w:val="auto"/>
        </w:rPr>
        <w:t>Stock Incentive Plan</w:t>
      </w:r>
    </w:p>
    <w:p>
      <w:pPr>
        <w:spacing w:after="0" w:line="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March 2017, the Company’s stockholders approved the 2017 Stock Option and Grant Plan (the 2017 Plan), under which stock options and restricted stock awards were granted to eligible employees, officers, directors, consultants, or other key persons who provide services to the Company. Such issuances under the 2017 Plan were subject to vesting, forfeiture and other restrictions as deemed appropriate by the board of directors at the time of issuance.</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Upon effectiveness of the 2021 Stock Option and Incentive Plan (the 2021 Plan) in August 2021, the remaining shares available under the 2017 Plan ceased to be available for issuance and no future issuances will be made under the 2017 Plan. The shares of common stock underlying outstanding awards under the 2017 Plan that are forfeited, cancelled, reacquired by the Company prior to vesting, expire or are otherwise terminated (other than by exercise) will be added to the shares of common stock available for issuance under the 2021 Plan.</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August 2021, the Company's board of directors and stockholders approved the 2021 Plan, under which stock options, restricted stock units (RSUs) and other equity-based awards or any combination of these may be granted to eligible employees, officers, directors, consultants, or other key persons who provide services to the Company. Such issuances are subject to vesting, forfeiture and other restrictions as deemed appropriate by the board of directors at the time of issuance. As of September 30, 2025, the Company had 8,058,954 shares available for future issuance under the 2021 Plan.</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February 2023, the Company's board of directors approved the 2023 Inducement Plan (the Inducement Plan), under which the Company reserved shares of common stock, to be used exclusively for grants of non-qualified stock options, restricted stock units and other equity-based awards, or any combination of these to individuals who were not previously employees or directors of the Company. As of September 30, 2025, the Company had 2,041,015 shares available for future issuance under the Inducement Plan.</w:t>
      </w:r>
    </w:p>
    <w:p>
      <w:pPr>
        <w:spacing w:after="0" w:line="180"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in the following expense categories in its accompanying condensed consolidated statements of operations: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2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5"/>
                <w:szCs w:val="15"/>
                <w:color w:val="auto"/>
              </w:rPr>
            </w:pPr>
          </w:p>
        </w:tc>
        <w:tc>
          <w:tcPr>
            <w:tcW w:w="296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2"/>
        </w:trPr>
        <w:tc>
          <w:tcPr>
            <w:tcW w:w="5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60" w:type="dxa"/>
            <w:vAlign w:val="bottom"/>
            <w:gridSpan w:val="2"/>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80" w:type="dxa"/>
            <w:vAlign w:val="bottom"/>
            <w:gridSpan w:val="2"/>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16"/>
        </w:trPr>
        <w:tc>
          <w:tcPr>
            <w:tcW w:w="580" w:type="dxa"/>
            <w:vAlign w:val="bottom"/>
          </w:tcPr>
          <w:p>
            <w:pPr>
              <w:spacing w:after="0"/>
              <w:rPr>
                <w:sz w:val="18"/>
                <w:szCs w:val="18"/>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0" w:type="dxa"/>
            <w:vAlign w:val="bottom"/>
            <w:gridSpan w:val="2"/>
            <w:shd w:val="clear" w:color="auto" w:fill="CFF0FC"/>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4,192</w:t>
            </w:r>
          </w:p>
        </w:tc>
        <w:tc>
          <w:tcPr>
            <w:tcW w:w="560" w:type="dxa"/>
            <w:vAlign w:val="bottom"/>
            <w:gridSpan w:val="2"/>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4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8,723</w:t>
            </w:r>
          </w:p>
        </w:tc>
        <w:tc>
          <w:tcPr>
            <w:tcW w:w="580" w:type="dxa"/>
            <w:vAlign w:val="bottom"/>
            <w:gridSpan w:val="2"/>
            <w:shd w:val="clear" w:color="auto" w:fill="CFF0FC"/>
          </w:tcPr>
          <w:p>
            <w:pPr>
              <w:jc w:val="center"/>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11,695</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11,727</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gridSpan w:val="2"/>
            <w:shd w:val="clear" w:color="auto" w:fill="CFF0FC"/>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560" w:type="dxa"/>
            <w:vAlign w:val="bottom"/>
            <w:gridSpan w:val="2"/>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7,178</w:t>
            </w:r>
          </w:p>
        </w:tc>
        <w:tc>
          <w:tcPr>
            <w:tcW w:w="4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20,450</w:t>
            </w:r>
          </w:p>
        </w:tc>
        <w:tc>
          <w:tcPr>
            <w:tcW w:w="580" w:type="dxa"/>
            <w:vAlign w:val="bottom"/>
            <w:gridSpan w:val="2"/>
            <w:shd w:val="clear" w:color="auto" w:fill="CFF0FC"/>
          </w:tcPr>
          <w:p>
            <w:pPr>
              <w:jc w:val="center"/>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21,435</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642"/>
        </w:trPr>
        <w:tc>
          <w:tcPr>
            <w:tcW w:w="580" w:type="dxa"/>
            <w:vAlign w:val="bottom"/>
          </w:tcPr>
          <w:p>
            <w:pPr>
              <w:spacing w:after="0"/>
              <w:rPr>
                <w:sz w:val="24"/>
                <w:szCs w:val="24"/>
                <w:color w:val="auto"/>
              </w:rPr>
            </w:pPr>
          </w:p>
        </w:tc>
        <w:tc>
          <w:tcPr>
            <w:tcW w:w="3440" w:type="dxa"/>
            <w:vAlign w:val="bottom"/>
            <w:tcBorders>
              <w:top w:val="single" w:sz="8" w:color="CFF0FC"/>
            </w:tcBorders>
          </w:tcPr>
          <w:p>
            <w:pPr>
              <w:spacing w:after="0"/>
              <w:rPr>
                <w:sz w:val="24"/>
                <w:szCs w:val="24"/>
                <w:color w:val="auto"/>
              </w:rPr>
            </w:pPr>
          </w:p>
        </w:tc>
        <w:tc>
          <w:tcPr>
            <w:tcW w:w="17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4321175</wp:posOffset>
            </wp:positionH>
            <wp:positionV relativeFrom="paragraph">
              <wp:posOffset>-1555115</wp:posOffset>
            </wp:positionV>
            <wp:extent cx="85725" cy="1365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 cy="136525"/>
                    </a:xfrm>
                    <a:prstGeom prst="rect">
                      <a:avLst/>
                    </a:prstGeom>
                    <a:noFill/>
                  </pic:spPr>
                </pic:pic>
              </a:graphicData>
            </a:graphic>
          </wp:anchor>
        </w:drawing>
        <w:drawing>
          <wp:anchor simplePos="0" relativeHeight="251657728" behindDoc="1" locked="0" layoutInCell="0" allowOverlap="1">
            <wp:simplePos x="0" y="0"/>
            <wp:positionH relativeFrom="column">
              <wp:posOffset>5109845</wp:posOffset>
            </wp:positionH>
            <wp:positionV relativeFrom="paragraph">
              <wp:posOffset>-1555115</wp:posOffset>
            </wp:positionV>
            <wp:extent cx="85725" cy="1365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136525"/>
                    </a:xfrm>
                    <a:prstGeom prst="rect">
                      <a:avLst/>
                    </a:prstGeom>
                    <a:noFill/>
                  </pic:spPr>
                </pic:pic>
              </a:graphicData>
            </a:graphic>
          </wp:anchor>
        </w:drawing>
        <w:drawing>
          <wp:anchor simplePos="0" relativeHeight="251657728" behindDoc="1" locked="0" layoutInCell="0" allowOverlap="1">
            <wp:simplePos x="0" y="0"/>
            <wp:positionH relativeFrom="column">
              <wp:posOffset>5898515</wp:posOffset>
            </wp:positionH>
            <wp:positionV relativeFrom="paragraph">
              <wp:posOffset>-1555115</wp:posOffset>
            </wp:positionV>
            <wp:extent cx="85725" cy="1365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5725" cy="136525"/>
                    </a:xfrm>
                    <a:prstGeom prst="rect">
                      <a:avLst/>
                    </a:prstGeom>
                    <a:noFill/>
                  </pic:spPr>
                </pic:pic>
              </a:graphicData>
            </a:graphic>
          </wp:anchor>
        </w:drawing>
        <w:drawing>
          <wp:anchor simplePos="0" relativeHeight="251657728" behindDoc="1" locked="0" layoutInCell="0" allowOverlap="1">
            <wp:simplePos x="0" y="0"/>
            <wp:positionH relativeFrom="column">
              <wp:posOffset>6696075</wp:posOffset>
            </wp:positionH>
            <wp:positionV relativeFrom="paragraph">
              <wp:posOffset>-1555115</wp:posOffset>
            </wp:positionV>
            <wp:extent cx="93980" cy="1365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-916940</wp:posOffset>
            </wp:positionV>
            <wp:extent cx="6032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-916940</wp:posOffset>
            </wp:positionV>
            <wp:extent cx="6032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-916940</wp:posOffset>
            </wp:positionV>
            <wp:extent cx="603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-916940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for the nine months ended September 30, 2025:</w:t>
      </w:r>
    </w:p>
    <w:p>
      <w:pPr>
        <w:spacing w:after="0" w:line="206"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6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02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16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10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Term</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Borders>
              <w:top w:val="single" w:sz="8" w:color="auto"/>
            </w:tcBorders>
          </w:tcPr>
          <w:p>
            <w:pPr>
              <w:jc w:val="center"/>
              <w:ind w:left="248"/>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3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Options outstanding as of December 31, 2024</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19,615,023</w:t>
            </w: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7.43</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2,157,177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5,013,723</w:t>
            </w:r>
          </w:p>
        </w:tc>
        <w:tc>
          <w:tcPr>
            <w:tcW w:w="160" w:type="dxa"/>
            <w:vAlign w:val="bottom"/>
          </w:tcPr>
          <w:p>
            <w:pPr>
              <w:spacing w:after="0"/>
              <w:rPr>
                <w:sz w:val="18"/>
                <w:szCs w:val="18"/>
                <w:color w:val="auto"/>
              </w:rPr>
            </w:pPr>
          </w:p>
        </w:tc>
        <w:tc>
          <w:tcPr>
            <w:tcW w:w="112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(757,519)</w:t>
            </w:r>
          </w:p>
        </w:tc>
        <w:tc>
          <w:tcPr>
            <w:tcW w:w="112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Cancelled</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(1,289,972)</w:t>
            </w:r>
          </w:p>
        </w:tc>
        <w:tc>
          <w:tcPr>
            <w:tcW w:w="112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Options outstanding as of September 30, 2025</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22,581,255</w:t>
            </w: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6.51</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59,816,512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Options exercisable as of September 30, 2025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14,748,104</w:t>
            </w:r>
          </w:p>
        </w:tc>
        <w:tc>
          <w:tcPr>
            <w:tcW w:w="160" w:type="dxa"/>
            <w:vAlign w:val="bottom"/>
          </w:tcPr>
          <w:p>
            <w:pPr>
              <w:spacing w:after="0"/>
              <w:rPr>
                <w:sz w:val="20"/>
                <w:szCs w:val="20"/>
                <w:color w:val="auto"/>
              </w:rPr>
            </w:pPr>
          </w:p>
        </w:tc>
        <w:tc>
          <w:tcPr>
            <w:tcW w:w="112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5.32</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32,287,994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2025, total unrecognized compensation expense related to stock options was $28.5 million, which the Company expects to recognize over a remaining weighted-average period of 2.5 years.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Activity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RSU activity for the nine months ended September 30, 2025:</w:t>
      </w:r>
    </w:p>
    <w:p>
      <w:pPr>
        <w:spacing w:after="0" w:line="206"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06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 Per</w:t>
            </w:r>
          </w:p>
        </w:tc>
        <w:tc>
          <w:tcPr>
            <w:tcW w:w="0" w:type="dxa"/>
            <w:vAlign w:val="bottom"/>
          </w:tcPr>
          <w:p>
            <w:pPr>
              <w:spacing w:after="0"/>
              <w:rPr>
                <w:sz w:val="1"/>
                <w:szCs w:val="1"/>
                <w:color w:val="auto"/>
              </w:rPr>
            </w:pPr>
          </w:p>
        </w:tc>
      </w:tr>
      <w:tr>
        <w:trPr>
          <w:trHeight w:val="173"/>
        </w:trPr>
        <w:tc>
          <w:tcPr>
            <w:tcW w:w="6020" w:type="dxa"/>
            <w:vAlign w:val="bottom"/>
          </w:tcPr>
          <w:p>
            <w:pPr>
              <w:spacing w:after="0"/>
              <w:rPr>
                <w:sz w:val="15"/>
                <w:szCs w:val="15"/>
                <w:color w:val="auto"/>
              </w:rPr>
            </w:pPr>
          </w:p>
        </w:tc>
        <w:tc>
          <w:tcPr>
            <w:tcW w:w="19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Unvested and outstanding as of December 31, 2024</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1,209,333</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820,155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2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(454,414)</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2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(297,237)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Unvested and outstanding as of September 30, 2025</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1,277,837</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2025, total unrecognized compensation expense related to RSUs was $5.1 million, which the Company expects to recognize over a remaining weighted-average period of 1.8 years.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22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2021 Employee Stock Purchase Plan (the 2021 ESPP) was adopted and approved by the Company’s board of directors and by the Company’s stockholders and became effective in August 2021. During the nine months ended September 30, 2025, the Company issued 286,300 shares of common stock under the 2021 ESPP.</w:t>
      </w:r>
    </w:p>
    <w:p>
      <w:pPr>
        <w:spacing w:after="0" w:line="172"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(Loss) Per Share</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net income (loss) per share attributable to common stockholders was calculated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0" w:type="dxa"/>
            <w:vAlign w:val="bottom"/>
            <w:gridSpan w:val="7"/>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20" w:type="dxa"/>
            <w:vAlign w:val="bottom"/>
            <w:gridSpan w:val="5"/>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 thousands, except share and per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0" w:type="dxa"/>
            <w:vAlign w:val="bottom"/>
            <w:gridSpan w:val="7"/>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(in thousands, except share and per</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3"/>
          </w:tcPr>
          <w:p>
            <w:pPr>
              <w:jc w:val="center"/>
              <w:ind w:left="716"/>
              <w:spacing w:after="0" w:line="149" w:lineRule="exact"/>
              <w:rPr>
                <w:sz w:val="20"/>
                <w:szCs w:val="20"/>
                <w:color w:val="auto"/>
              </w:rPr>
            </w:pPr>
            <w:r>
              <w:rPr>
                <w:rFonts w:ascii="Times New Roman" w:cs="Times New Roman" w:eastAsia="Times New Roman" w:hAnsi="Times New Roman"/>
                <w:sz w:val="14"/>
                <w:szCs w:val="14"/>
                <w:b w:val="1"/>
                <w:bCs w:val="1"/>
                <w:color w:val="auto"/>
              </w:rPr>
              <w:t>share data)</w:t>
            </w:r>
          </w:p>
        </w:tc>
        <w:tc>
          <w:tcPr>
            <w:tcW w:w="100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4"/>
          </w:tcPr>
          <w:p>
            <w:pPr>
              <w:jc w:val="center"/>
              <w:ind w:left="697"/>
              <w:spacing w:after="0" w:line="149" w:lineRule="exact"/>
              <w:rPr>
                <w:sz w:val="20"/>
                <w:szCs w:val="20"/>
                <w:color w:val="auto"/>
              </w:rPr>
            </w:pPr>
            <w:r>
              <w:rPr>
                <w:rFonts w:ascii="Times New Roman" w:cs="Times New Roman" w:eastAsia="Times New Roman" w:hAnsi="Times New Roman"/>
                <w:sz w:val="14"/>
                <w:szCs w:val="14"/>
                <w:b w:val="1"/>
                <w:bCs w:val="1"/>
                <w:color w:val="auto"/>
              </w:rPr>
              <w:t>share data)</w:t>
            </w:r>
          </w:p>
        </w:tc>
        <w:tc>
          <w:tcPr>
            <w:tcW w:w="98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(loss)</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15,884</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(29,167)</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(62,845)</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(92,632)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5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Weighted-average common stock outstanding – basic</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110,966,345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108,507,390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110,761,673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108,990,011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5,537,892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6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Restricted stock units</w:t>
            </w:r>
          </w:p>
        </w:tc>
        <w:tc>
          <w:tcPr>
            <w:tcW w:w="5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1,277,837</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Weighted-average common stock outstanding – diluted</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117,782,074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108,507,390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110,761,673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108,990,011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income (loss) per common share – basic</w:t>
            </w: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(0.27)</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(0.57)</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(loss) per common share – diluted</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(0.27)</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(0.57)</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1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-1327785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-1327785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-1327785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-1327785</wp:posOffset>
            </wp:positionV>
            <wp:extent cx="768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1" w:name="page22"/>
    <w:bookmarkEnd w:id="21"/>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August 2023, the Company completed a private placement, in which 13,196,671 shares of common stock were sold together with pre-funded warrants to purchase 2,340,579 shares of common stock with an exercise price of $0.0001 per share. The pre-funded warrants were classified as a component of permanent equity in the Company's condensed consolidated balance sheet as they are freestanding financial instruments that are immediately exercisable, do not embody an obligation for the Company to repurchase its own shares and permit the holders to receive a fixed number of shares of common stock upon exercise. In June 2025, all of the pre-funded warrants were exercised. Prior to the exercise of these pre-funded warrants, all of the shares underlying the pre-funded warrants had been included in the weighted-average number of shares of common stock used to calculate basic and diluted net loss per common share because the shares may be issued for little or no consideration, were fully vested and were exercisable after the original issuance date of the pre-funded warrants.</w:t>
      </w:r>
    </w:p>
    <w:p>
      <w:pPr>
        <w:spacing w:after="0" w:line="19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Company’s potential dilutive securities, which include common stock options and unvested restricted common stock units, have been excluded from the computation of diluted net loss per share in the periods in which a net loss is recorded, as the effect would be to reduce the net loss per share. Therefore, the weighted-average number of common shares outstanding used to calculate both basic and diluted net loss per share attributable to common stockholders is the same in periods that resulted in a net loss.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168" w:lineRule="exact"/>
        <w:rPr>
          <w:sz w:val="20"/>
          <w:szCs w:val="20"/>
          <w:color w:val="auto"/>
        </w:rPr>
      </w:pPr>
    </w:p>
    <w:tbl>
      <w:tblPr>
        <w:tblLayout w:type="fixed"/>
        <w:tblInd w:w="7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370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3"/>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80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6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22,581,255</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19,822,373</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1,277,837</w:t>
            </w:r>
          </w:p>
        </w:tc>
        <w:tc>
          <w:tcPr>
            <w:tcW w:w="20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1,199,252</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23,859,092</w:t>
            </w:r>
          </w:p>
        </w:tc>
        <w:tc>
          <w:tcPr>
            <w:tcW w:w="20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21,021,625</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-7620</wp:posOffset>
            </wp:positionV>
            <wp:extent cx="603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-7620</wp:posOffset>
            </wp:positionV>
            <wp:extent cx="596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82"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Company’s effective income tax rate was -0.1% and -0.2% for the three months ended September 30, 2025 and 2024, respectively, and -0.1% and -0.2% for the nine months ended September 30, 2025 and 2024, respectively. The income tax provision (benefit) was less than $0.1 million for both the three months ended September 30, 2025 and 2024, respectively, and $0.1 million and $0.2 million for the nine months ended September 30, 2025 and 2024, respectively. The Company is forecasting a taxable loss position in 2025 for which no tax benefit is recorded due to the valuation allowance maintained against the Company’s deferred tax assets.</w:t>
      </w:r>
    </w:p>
    <w:p>
      <w:pPr>
        <w:spacing w:after="0" w:line="183" w:lineRule="exact"/>
        <w:rPr>
          <w:sz w:val="20"/>
          <w:szCs w:val="20"/>
          <w:color w:val="auto"/>
        </w:rPr>
      </w:pPr>
    </w:p>
    <w:p>
      <w:pPr>
        <w:ind w:right="460" w:firstLine="509"/>
        <w:spacing w:after="0" w:line="261" w:lineRule="auto"/>
        <w:rPr>
          <w:sz w:val="20"/>
          <w:szCs w:val="20"/>
          <w:color w:val="auto"/>
        </w:rPr>
      </w:pPr>
      <w:r>
        <w:rPr>
          <w:rFonts w:ascii="Times New Roman" w:cs="Times New Roman" w:eastAsia="Times New Roman" w:hAnsi="Times New Roman"/>
          <w:sz w:val="18"/>
          <w:szCs w:val="18"/>
          <w:color w:val="auto"/>
        </w:rPr>
        <w:t>The effective income tax rate for the three and nine months ended September 30, 2025 and 2024 differed from the 21.0% federal statutory rate primarily due to the valuation allowance maintained against the Company’s deferred tax assets.</w:t>
      </w:r>
    </w:p>
    <w:p>
      <w:pPr>
        <w:ind w:right="40"/>
        <w:spacing w:after="0" w:line="253" w:lineRule="auto"/>
        <w:rPr>
          <w:sz w:val="20"/>
          <w:szCs w:val="20"/>
          <w:color w:val="auto"/>
        </w:rPr>
      </w:pPr>
      <w:r>
        <w:rPr>
          <w:rFonts w:ascii="Times New Roman" w:cs="Times New Roman" w:eastAsia="Times New Roman" w:hAnsi="Times New Roman"/>
          <w:sz w:val="18"/>
          <w:szCs w:val="18"/>
          <w:color w:val="auto"/>
        </w:rPr>
        <w:t>On July 4, 2025, new U.S. tax legislation referred to as the One Big Beautiful Bill (“OBBB”) was signed into law. The OBBB contains several changes to corporate taxation, including modifications to capitalization of research and development expenses, limitations on deductions for interest expense and accelerated fixed asset depreciation. The legislation has multiple effective dates. We do not expect the OBBB to have a material impact on our effective tax rate and net deferred tax asset balance in 2025.</w:t>
      </w:r>
    </w:p>
    <w:p>
      <w:pPr>
        <w:spacing w:after="0" w:line="117"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The Company operates in the U.S. and has one operating segment that is managed on a consolidated basis. The Company’s revenues are primarily generated through its license and collaboration agreement with Gilead. The accounting policies, as described in the summary of significant accounting policies, is applicable across all Company operations. The Company’s chief executive officer (CEO), as the chief operating decision maker (CODM), manages and allocates resources to the operations of our company on a consolidated basis. Managing and allocating resources on a total company basis enables the CODM to assess the overall level of resources available and how to best deploy these resources across departments and research and development programs that are in-line with our long-term company-wide strategic goals. Consistent with this decision-making process, the Company’s CODM uses consolidated, single-segment financial information for purposes of evaluating performance, forecasting future period financial results and allocating resources.</w:t>
      </w:r>
    </w:p>
    <w:p>
      <w:pPr>
        <w:spacing w:after="0" w:line="192"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CODM assesses performance and decides how to allocate resources based on segment net income (loss). This measure is used to monitor budget versus actual results to assess performance of the segment.</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Company’s segment expense for the three and nine months ended September 30, 2025 and 2024:</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Oncology Segment</w:t>
            </w: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Oncology Segment</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336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5"/>
                <w:szCs w:val="15"/>
                <w:color w:val="auto"/>
              </w:rPr>
            </w:pPr>
          </w:p>
        </w:tc>
        <w:tc>
          <w:tcPr>
            <w:tcW w:w="294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6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900" w:type="dxa"/>
            <w:vAlign w:val="bottom"/>
            <w:shd w:val="clear" w:color="auto" w:fill="CFF0FC"/>
          </w:tcPr>
          <w:p>
            <w:pPr>
              <w:jc w:val="right"/>
              <w:ind w:right="74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53,811</w:t>
            </w:r>
          </w:p>
        </w:tc>
        <w:tc>
          <w:tcPr>
            <w:tcW w:w="76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11,607</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62,384</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37,952</w:t>
            </w: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Less R&amp;D expenses:</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vopimetostat direct program expenses</w:t>
            </w: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6,070</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17,108</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12,162</w:t>
            </w: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TNG456 direct program expenses</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TNG260 direct program expenses</w:t>
            </w: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5,203</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7,946</w:t>
            </w: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TNG961 direct program expenses</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TNG908 direct program expenses*</w:t>
            </w: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10,776</w:t>
            </w: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TNG348 direct program expenses**</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Discovery direct program expenses</w:t>
            </w: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6,898</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8,890</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19,923</w:t>
            </w: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Personnel-related expenses</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12,376</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39,060</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Facilities and other related expenses</w:t>
            </w: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5,047</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15,791</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15,334</w:t>
            </w: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Less G&amp;A and other expenses:</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 segment expenses (a)</w:t>
            </w:r>
          </w:p>
        </w:tc>
        <w:tc>
          <w:tcPr>
            <w:tcW w:w="9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7,112</w:t>
            </w:r>
          </w:p>
        </w:tc>
        <w:tc>
          <w:tcPr>
            <w:tcW w:w="2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7,511</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25,165</w:t>
            </w:r>
          </w:p>
        </w:tc>
        <w:tc>
          <w:tcPr>
            <w:tcW w:w="2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20,603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Segment net income (loss)</w:t>
            </w:r>
          </w:p>
        </w:tc>
        <w:tc>
          <w:tcPr>
            <w:tcW w:w="900" w:type="dxa"/>
            <w:vAlign w:val="bottom"/>
          </w:tcPr>
          <w:p>
            <w:pPr>
              <w:jc w:val="right"/>
              <w:ind w:right="74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15,884</w:t>
            </w: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(29,167)</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(62,845)</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(92,632)</w:t>
            </w: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-170815</wp:posOffset>
            </wp:positionV>
            <wp:extent cx="596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-170815</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-170815</wp:posOffset>
            </wp:positionV>
            <wp:extent cx="603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-170815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20"/>
        <w:spacing w:after="0" w:line="266" w:lineRule="auto"/>
        <w:rPr>
          <w:sz w:val="20"/>
          <w:szCs w:val="20"/>
          <w:color w:val="auto"/>
        </w:rPr>
      </w:pPr>
      <w:r>
        <w:rPr>
          <w:rFonts w:ascii="Times New Roman" w:cs="Times New Roman" w:eastAsia="Times New Roman" w:hAnsi="Times New Roman"/>
          <w:sz w:val="18"/>
          <w:szCs w:val="18"/>
          <w:color w:val="auto"/>
        </w:rPr>
        <w:t>*In November 2024, we announced we stopped enrollment of the TNG908 Phase 1/2 clinical trial due to insufficient brain exposure for clinical activity in GBM patients and portfolio prioritization. Expenses beyond November 2024 related to previously enrolled patients and close-out clinical trial costs.</w:t>
      </w:r>
    </w:p>
    <w:p>
      <w:pPr>
        <w:spacing w:after="0" w:line="68" w:lineRule="exact"/>
        <w:rPr>
          <w:sz w:val="20"/>
          <w:szCs w:val="20"/>
          <w:color w:val="auto"/>
        </w:rPr>
      </w:pPr>
    </w:p>
    <w:p>
      <w:pPr>
        <w:ind w:left="520" w:right="380"/>
        <w:spacing w:after="0" w:line="282" w:lineRule="auto"/>
        <w:rPr>
          <w:sz w:val="20"/>
          <w:szCs w:val="20"/>
          <w:color w:val="auto"/>
        </w:rPr>
      </w:pPr>
      <w:r>
        <w:rPr>
          <w:rFonts w:ascii="Times New Roman" w:cs="Times New Roman" w:eastAsia="Times New Roman" w:hAnsi="Times New Roman"/>
          <w:sz w:val="18"/>
          <w:szCs w:val="18"/>
          <w:color w:val="auto"/>
        </w:rPr>
        <w:t>**In May 2024, we announced the discontinuation of TNG348, a USP1 inhibitor, due to toxicity observed in the dose escalation portion of our Phase 1/2 clinical trial. Expenses beyond May 2024 related to close-out clinical trial costs.</w:t>
      </w:r>
    </w:p>
    <w:p>
      <w:pPr>
        <w:spacing w:after="0" w:line="54" w:lineRule="exact"/>
        <w:rPr>
          <w:sz w:val="20"/>
          <w:szCs w:val="20"/>
          <w:color w:val="auto"/>
        </w:rPr>
      </w:pPr>
    </w:p>
    <w:p>
      <w:pPr>
        <w:ind w:left="520" w:right="80" w:hanging="3"/>
        <w:spacing w:after="0" w:line="282" w:lineRule="auto"/>
        <w:tabs>
          <w:tab w:leader="none" w:pos="76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expenses included in Segment net loss includes general and administrative expense, interest income, other income and provision for income taxes.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measure of segment assets is reported on the consolidated balance sheet as total consolidated assets. The CODM reviews cash, cash equivalents and marketable securities as a measure of segment assets. As of September 30, 2025, the Company’s cash, cash equivalents and marketable securities were $152.8 million. All long-lived assets of the Company reside in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66" w:right="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495"/>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unaudited condensed consolidated financial statements and related notes appearing elsewhere in this Quarterly Report on Form 10-Q and with our audited consolidated financial statements and related notes for the year ended December 31, 2024 included in our Annual Report on Form 10-K.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and our Annual Report on Form 10-K for the fiscal year ended December 31, 2024, our actual results could differ materially from the results described in, or implied by, the forward-looking statements contained in the following discussion and analysis.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Tango Therapeutics was founded with a clear mission: to discover the next wave of targeted therapies in oncology by addressing the specific genetic alterations that drive cancer. We develop new drugs directed at tumor suppressor gene loss in defined patient populations with high unmet medical need. Tumor suppressor gene loss remains a largely unaddressed target space specifically because these genetic events cannot be directly targeted. Our novel small molecules are designed to be selectively active in cancer cells with specific genetic alterations, killing those cancer cells while sparing normal cells. We also are extending this target space beyond the classic, cell-autonomous effects of tumor suppressor gene loss to include the discovery of novel targets that reverse tumor suppressor gene mediated immune evasion which prevents the immune system from recognizing and killing cancer cells. We believe our approach will provide the ability to deliver deep, durable target inhibition with favorable tolerability and safety profiles, thus potentially maximizing clinical benefit.</w:t>
      </w:r>
    </w:p>
    <w:p>
      <w:pPr>
        <w:spacing w:after="0" w:line="192"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We are currently developing two MTAP-deleted selective PRMT5 inhibitors: vopimetostat (TNG462) for non-CNS cancers, including pancreatic and lung cancer, and TNG456, our next-generation, brain-penetrant PRMT5 inhibitor, for CNS cancers, including GBM.</w:t>
      </w:r>
    </w:p>
    <w:p>
      <w:pPr>
        <w:spacing w:after="0" w:line="16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October 2025, we reported positive data from the ongoing Phase 1/2 clinical trial of vopimetostat in patients with MTAP-deleted selective cancers, demonstrating clinical activity across multiple cancer types with a favorable safety and tolerability profile to date. The cutoff date for the analysis was September 1, 2025 and included all evaluable patients at active doses (200 mg QD and above). Overall response rates were calculated in all tumor-evaluable patients enrolled more than 6 months prior to the efficacy analysis. Median progression free survival (mPFS) was calculated in all patients who received a first scan (~8 weeks).</w:t>
      </w:r>
    </w:p>
    <w:p>
      <w:pPr>
        <w:spacing w:after="0" w:line="18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Across all MTAP-deleted tumor types, there were 94 tumor evaluable patients. We observed an ORR (objective response rate) of 27% and mPFS of 6.4 months. In the 29 patients with second line (2L) MTAP-deleted pancreatic cancer, mPFS was 7.2 months. In patients with 2L pancreatic cancer that were enrolled more than 6 months prior to the data cutoff and were tumor evaluable (n=8), the ORR was 25%, more than double that observed in historical chemotherapy studies (~10%), supporting the planned initiation of a pivotal trial in this patient population in 2026. In the histology selective cohort with 37 evaluable late line patients, we observed a 49% ORR and mPFS of 9.1 months. The histology selective cohort excludes pancreatic and lung cancer patients, as those indications were enrolled in separate cohorts and are being developed independently. Sarcoma patients are also excluded from this analysis, as no activity was observed in this indication (ORR 0%), which will not be pursued in future development. As of September 1, 2025, 41 patients with 2L+ lung cancer were enrolled in the Phase 1/2 clinical trial at active doses, 12 of whom were enrolled more than 6 months prior to the analysis. Emerging data from the lung cohort are consistent with expectations, and we anticipate providing a safety and efficacy update in 2026.</w:t>
      </w:r>
    </w:p>
    <w:p>
      <w:pPr>
        <w:spacing w:after="0" w:line="188"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Additionally, vopimetostat demonstrated a favorable safety and tolerability profile with no drug-related dose discontinuations and ~8% dose reduction in patients dosed at 250 mg QD as of the data cutoff date. We have FDA agreement on 250 mg QD as the go-forward dose.</w:t>
      </w:r>
    </w:p>
    <w:p>
      <w:pPr>
        <w:spacing w:after="0" w:line="16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company has engaged Malte Peters, M.D., Mark Winderlich, Ph.D., and Philippe Serrano, Pharm.D., as consultants to support the company on key initiatives related to initiation of the planned pivotal study in second line pancreatic cancer, anticipated to start in 2026, and advancing our late-stage development capabilities. Dr. Peters, who also serves on the Tango Board of Directors, Dr. Winderlich and Mr. Serrano have significant late-stage clinical development, biostatistics and regulatory expertise, having brought multiple oncology products to market. They will aid the company in its upcoming engagement with the U.S. FDA and future regulatory strategy.</w:t>
      </w:r>
    </w:p>
    <w:p>
      <w:pPr>
        <w:spacing w:after="0" w:line="183" w:lineRule="exact"/>
        <w:rPr>
          <w:sz w:val="20"/>
          <w:szCs w:val="20"/>
          <w:color w:val="auto"/>
        </w:rPr>
      </w:pPr>
    </w:p>
    <w:p>
      <w:pPr>
        <w:ind w:right="700" w:firstLine="495"/>
        <w:spacing w:after="0" w:line="282" w:lineRule="auto"/>
        <w:rPr>
          <w:sz w:val="20"/>
          <w:szCs w:val="20"/>
          <w:color w:val="auto"/>
        </w:rPr>
      </w:pPr>
      <w:r>
        <w:rPr>
          <w:rFonts w:ascii="Times New Roman" w:cs="Times New Roman" w:eastAsia="Times New Roman" w:hAnsi="Times New Roman"/>
          <w:sz w:val="18"/>
          <w:szCs w:val="18"/>
          <w:color w:val="auto"/>
        </w:rPr>
        <w:t>In June 2025, the first patient was treated in the combination clinical trial that is evaluating vopimetostat with the RAS(ON) multi-selective inhibitor, daraxonrasib, and RAS(ON) G12D-selective inhibitor, zoldonrasib (Revolution Medicines). In the first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 w:name="page25"/>
    <w:bookmarkEnd w:id="24"/>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cohort in the trial (n=7), both combinations have been well-tolerated to date with exposures in the active range for all compounds and early signs of activity. We believe this ongoing clinical trial has the potential to support a first line pancreatic cancer pivotal study in MTAP-deleted/RAS mutated patients.</w:t>
      </w:r>
    </w:p>
    <w:p>
      <w:pPr>
        <w:spacing w:after="0" w:line="176"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In May 2025, the first patient was treated with TNG456 in the dose escalation portion of the Phase 1/2 clinical trial to evaluate the safety, pharmacokinetics, pharmacodynamics and antitumor activity of TNG456 as a monotherapy. The trial is currently enrolling patients with MTAP-deleted solid tumors, with a focus on GBM. Preclinical data for TNG456 showed favorable potency and MTAP selectivity and sufficient brain penetrance to potentially have meaningful efficacy in GBM.</w:t>
      </w:r>
    </w:p>
    <w:p>
      <w:pPr>
        <w:spacing w:after="0" w:line="1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TNG260 is a first-in-class CoREST inhibitor, which in preclinical studies reversed the immune evasion effect of STK11 loss-of-function mutations. TNG260 had a favorable safety, tolerability and pharmacokinetic profile in dose escalation. In November 2025, we announced that forty-one patients with STK11-mutant, locally advanced or metastatic solid tumors were enrolled in three dose escalation cohorts of the Phase 1/2 clinical trial. 21/41 patients were evaluable at active doses. The maximum tolerated dose (MTD) was 80 mg QD. Patients with checkpoint inhibitor resistant STK11 mutant/KRAS wild-type NSCLC receiving clinically active doses of TNG260 plus pembrolizumab had a mPFS of 27 weeks (n=5), more than double the standard of care PFS of ~10 weeks. There was no evidence of activity in other STK11 mutant cancers. 80 mg QD TNG260 was selected for dose optimization, which is ongoing for patients with advanced STK11 mutant/KRAS wild type NSCLC, representing ~10% of lung adenocarcinoma annually in the US (~10,000 patients).</w:t>
      </w:r>
    </w:p>
    <w:p>
      <w:pPr>
        <w:spacing w:after="0" w:line="189"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TNG961 is a development candidate targeting HBS1L in FOCAD-deleted solid tumors. FOCAD deletion occurs in 20-40% of all MTAP-deleted cancers. FOCAD deletion is common in NSCLC, occurring in ~5% of these patients. 20-40% of cancers with MTAP deletion have a coincident FOCAD deletion on chromosome 9, and cancers with FOCAD deletion are dependent on HBS1L for mRNA processing, thus protein synthesis. By degrading HBS1L and disrupting the HBS1L/PELO complex, TNG961 causes tumor regression in FOCAD-deleted preclinical models of multiple histologies.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Since the Company's inception, we have focused primarily on organizing and staffing our company, business planning, raising capital, discovering product candidates, securing related intellectual property, and conducting research and development activities for our programs. To date, we have funded our operations primarily through equity financings and from the proceeds received from our collaboration agreement with Gilead. Since inception, we have raised an aggregate of $166.9 million of gross proceeds from the sale of our preferred shares, $342.1 million in gross proceeds through the closing of the Business Combination and simultaneous financing transactions, $237.1 million through our collaboration with Gilead, and $348.0 million of gross proceeds through (i) $80.0 million from the private placement of common shares and pre-funded warrants to purchase common shares in August 2023, (ii) $43.0 million from our "at-the-market" stock offering program in January 2024 and (iii) $225.0 million in aggregate gross proceeds from the underwritten offering and concurrent private placement of common shares and pre-funded warrants to purchase common shares in October 2025.</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expect that our existing cash, cash equivalents and marketable securities on hand as of September 30, 2025 of $152.8 million, in addition to $212.0 million in aggregate net proceeds from our underwritten offering and concurrent private placement of common shares and pre-funded warrants to purchase common shares in October 2025, will enable us to fund our operating expenses and capital expenditure requirements into 2028. Since inception, we have incurred significant operating losses. For the nine months ended September 30, 2025 and 2024, our net losses were $62.8 million and $92.6 million, respectively. We had an accumulated deficit of $564.4 million as of September 30, 2025. We expect to continue to incur significant and increasing expenses and operating losses for the foreseeable future, as we advance our product candidates through preclinical and clinical development and seek regulatory approvals, manufacture drug product and drug supply, and maintain and expand our intellectual property portfolio. We also expect to hire additional personnel, pay for accounting, audit, legal, regulatory and consulting services, and pay costs associated with maintaining compliance with Nasdaq listing rules and the requirements of the U.S. Securities and Exchange Commission, director and officer liability insurance, investor and public relations activities and other expenses associated with operating as a public company. Our net losses may fluctuate significantly from quarter-to-quarter and year-to-year, depending on the timing of our preclinical studies, our clinical trials, and our expenditures on other research and development activities.</w:t>
      </w:r>
    </w:p>
    <w:p>
      <w:pPr>
        <w:spacing w:after="0" w:line="192" w:lineRule="exact"/>
        <w:rPr>
          <w:sz w:val="20"/>
          <w:szCs w:val="20"/>
          <w:color w:val="auto"/>
        </w:rPr>
      </w:pPr>
    </w:p>
    <w:p>
      <w:pPr>
        <w:ind w:right="160" w:firstLine="509"/>
        <w:spacing w:after="0" w:line="277" w:lineRule="auto"/>
        <w:rPr>
          <w:sz w:val="20"/>
          <w:szCs w:val="20"/>
          <w:color w:val="auto"/>
        </w:rPr>
      </w:pPr>
      <w:r>
        <w:rPr>
          <w:rFonts w:ascii="Times New Roman" w:cs="Times New Roman" w:eastAsia="Times New Roman" w:hAnsi="Times New Roman"/>
          <w:sz w:val="17"/>
          <w:szCs w:val="17"/>
          <w:color w:val="auto"/>
        </w:rPr>
        <w:t>We do not have any product candidates approved for sale and have not generated any revenue from product sales. We will not generate revenue from product sales unless and until we successfully complete clinical development and obtain regulatory approval for our product candidates, if ever. In addition, if we obtain regulatory approval for our product candidates and do not enter into a third-party commercialization partnership, we expect to incur significant expenses related to developing our commercialization capability to support product sales, marketing, manufacturing and distribution activities. As a result, we will need substantial additional funding to support our continuing operations and pursue our growth strategy. Until we can generate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5" w:name="page26"/>
    <w:bookmarkEnd w:id="25"/>
    <w:p>
      <w:pPr>
        <w:ind w:right="260"/>
        <w:spacing w:after="0" w:line="261" w:lineRule="auto"/>
        <w:rPr>
          <w:sz w:val="20"/>
          <w:szCs w:val="20"/>
          <w:color w:val="auto"/>
        </w:rPr>
      </w:pPr>
      <w:r>
        <w:rPr>
          <w:rFonts w:ascii="Times New Roman" w:cs="Times New Roman" w:eastAsia="Times New Roman" w:hAnsi="Times New Roman"/>
          <w:sz w:val="18"/>
          <w:szCs w:val="18"/>
          <w:color w:val="auto"/>
        </w:rPr>
        <w:t>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development, we are unable to predict the timing or amount of increased expenses or when or if we will be able to achieve or maintain profitability. Even if we are able to generate revenues from the sale of our therapies, we may not become profitable. If we fail to become profitable or are unable to sustain profitability on a continuing basis, then we may be unable to continue our operations at planned levels and be forced to reduce our operations.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At-the-Market Stock Offering</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September 2022, we entered into a sales agreement (the Sales Agreement) with Jefferies LLC (Jefferies), which permits us to sell from time to time, at our option, up to an aggregate of $100.0 million of shares of our common stock through Jefferies, as sales agent. Sales of the common stock, if any, will be made by methods deemed to be "at-the-market" stock offerings. The Sales Agreement will terminate upon the earliest of: (a) the sale of $100.0 million of shares of our common stock or (b) the termination of the Sales Agreement by us or Jefferies. To date, the Company has sold 4,001,200 shares of common stock under this program for gross proceeds of $43.0 million.</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To date, we have not recognized any revenue from product sales, and we do not expect to generate any revenue from the sale of products in the next several years.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Agreements with Gilead Sciences</w:t>
      </w:r>
    </w:p>
    <w:p>
      <w:pPr>
        <w:spacing w:after="0" w:line="22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October 2018, we entered into a collaboration agreement (the 2018 Gilead Agreement) with Gilead Sciences, Inc. (Gilead). Pursuant to the terms of the 2018 Gilead Agreement, we received an initial upfront payment of $50.0 million. The upfront payment was initially recorded as deferred revenue on our balance sheet and is recognized as revenue as or when the performance obligation under the contract is satisfied. In August 2020, the 2018 Gilead Agreement was expanded into a broader collaboration via an amended and restated research collaboration and license agreement (the Gilead Agreement). Pursuant to the terms of the Gilead Agreement, we received an upfront payment of $125.0 million. Consistent with the treatment of the previously received upfront payment, this upfront payment was recorded as deferred revenue on our balance sheet and is recognized as revenue as or when the performance obligation under the contract is satisfied. In 2020 and 2021, Gilead elected to extend two programs for research extension fees totaling $24.0 million, which was added to our estimate of the transaction price to total $199.0 million. In June 2024, Gilead licensed a program for a $12.0 million fee, which was recognized as license revenue in the second quarter of 2024.</w:t>
      </w:r>
    </w:p>
    <w:p>
      <w:pPr>
        <w:spacing w:after="0" w:line="18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August 2025, the Company and Gilead mutually agreed to truncate the research term of the collaboration and license agreement from seven to five years, concluding the research portion of the collaboration. There is no financial penalty to the Company as a result, no licensed programs are being returned to the Company, all ongoing work at Gilead on licensed programs will continue and agreements for all future milestones and royalties remain in effect. The Company has no future research obligations and the remaining unrecognized deferred revenue balance as of June 30, 2025 of $53.8 million has been recognized as revenue in the third quarter of 2025.</w:t>
      </w:r>
    </w:p>
    <w:p>
      <w:pPr>
        <w:spacing w:after="0" w:line="183"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2025, all $199.0 million has been recognized as collaboration revenue related to the upfront and research option-extension payments from the Gilead Agreements.</w:t>
      </w:r>
    </w:p>
    <w:p>
      <w:pPr>
        <w:spacing w:after="0" w:line="162"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and 2024, we recognized $53.8 million and $11.6 million, respectively, and during the nine months ended September 30, 2025 and 2024, we recognized $62.4 million and $25.9 million, respectively, of collaboration revenue associated with the Gilead agreements based on performance completed during each period.</w:t>
      </w:r>
    </w:p>
    <w:p>
      <w:pPr>
        <w:spacing w:after="0" w:line="176"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Refer to Note 2 and Note 3 to our unaudited condensed consolidated financial statements and related notes appearing elsewhere in this Quarterly Report on Form 10-Q and our audited consolidated financial statements and related notes for the year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6" w:name="page27"/>
    <w:bookmarkEnd w:id="26"/>
    <w:p>
      <w:pPr>
        <w:ind w:right="280"/>
        <w:spacing w:after="0" w:line="282" w:lineRule="auto"/>
        <w:rPr>
          <w:sz w:val="20"/>
          <w:szCs w:val="20"/>
          <w:color w:val="auto"/>
        </w:rPr>
      </w:pPr>
      <w:r>
        <w:rPr>
          <w:rFonts w:ascii="Times New Roman" w:cs="Times New Roman" w:eastAsia="Times New Roman" w:hAnsi="Times New Roman"/>
          <w:sz w:val="18"/>
          <w:szCs w:val="18"/>
          <w:color w:val="auto"/>
        </w:rPr>
        <w:t>ended December 31, 2024 included in our Annual Report on Form 10-K for additional information regarding our revenue recognition accounting policy and our collaboration agreement with Gilead.</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drug discovery efforts and the development of our product candidates. We expense research and development costs as incurred, which include:</w:t>
      </w:r>
    </w:p>
    <w:p>
      <w:pPr>
        <w:spacing w:after="0" w:line="54" w:lineRule="exact"/>
        <w:rPr>
          <w:sz w:val="20"/>
          <w:szCs w:val="20"/>
          <w:color w:val="auto"/>
        </w:rPr>
      </w:pPr>
    </w:p>
    <w:p>
      <w:pPr>
        <w:ind w:left="1020" w:right="4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stock-based compensation, other related costs for those employees involved in research and development efforts;</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contract research organizations, or CROs, as well as consultants that conduct our preclinical studies and development services;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material for our preclinical and 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research materials;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fulfill our obligations under the collaboration with Gilead through August 2025;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information technology systems, depreciation and other allocated expenses, which include direct and allocated expenses for rent, utilities and insurance.</w:t>
      </w:r>
    </w:p>
    <w:p>
      <w:pPr>
        <w:spacing w:after="0" w:line="162"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Costs for certain activities are recognized based on an evaluation of the progress to completion of specific tasks using data such as information provided to us by our vendors and analyzing the progress of our preclinical studies or other services performed. Significant judgment and estimates are made in determining the accrued expense balances at the end of any reporting period.</w:t>
      </w:r>
    </w:p>
    <w:p>
      <w:pPr>
        <w:spacing w:after="0" w:line="176" w:lineRule="exact"/>
        <w:rPr>
          <w:sz w:val="20"/>
          <w:szCs w:val="20"/>
          <w:color w:val="auto"/>
        </w:rPr>
      </w:pPr>
    </w:p>
    <w:p>
      <w:pPr>
        <w:ind w:right="120" w:firstLine="509"/>
        <w:spacing w:after="0" w:line="289" w:lineRule="auto"/>
        <w:rPr>
          <w:sz w:val="20"/>
          <w:szCs w:val="20"/>
          <w:color w:val="auto"/>
        </w:rPr>
      </w:pPr>
      <w:r>
        <w:rPr>
          <w:rFonts w:ascii="Times New Roman" w:cs="Times New Roman" w:eastAsia="Times New Roman" w:hAnsi="Times New Roman"/>
          <w:sz w:val="17"/>
          <w:szCs w:val="17"/>
          <w:color w:val="auto"/>
        </w:rPr>
        <w:t>Our direct external research and development expenses consist primarily of fees paid to CROs and outside consultants in connection with our preclinical and clinical development and manufacturing activities. Our direct external research and development expenses also include fees incurred under license agreements. We track these external research and development costs on a program-by-program basis once we have identified a product candidate.</w:t>
      </w:r>
    </w:p>
    <w:p>
      <w:pPr>
        <w:spacing w:after="0" w:line="15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do not allocate employee costs or costs associated with our target discovery efforts, laboratory supplies, and facilities, including depreciation or other indirect costs, to specific programs because these costs are deployed across multiple programs and, as such, are not separately classified. We characterize research and development costs incurred prior to the identification of a product candidate as discovery costs. We use internal resources primarily to conduct our research and discovery activities as well as for managing our preclinical, development and manufacturing activities.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gridSpan w:val="4"/>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34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42"/>
        </w:trPr>
        <w:tc>
          <w:tcPr>
            <w:tcW w:w="34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216"/>
        </w:trPr>
        <w:tc>
          <w:tcPr>
            <w:tcW w:w="340" w:type="dxa"/>
            <w:vAlign w:val="bottom"/>
          </w:tcPr>
          <w:p>
            <w:pPr>
              <w:spacing w:after="0"/>
              <w:rPr>
                <w:sz w:val="18"/>
                <w:szCs w:val="18"/>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vopimetostat direct program expenses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6,070</w:t>
            </w:r>
          </w:p>
        </w:tc>
        <w:tc>
          <w:tcPr>
            <w:tcW w:w="600" w:type="dxa"/>
            <w:vAlign w:val="bottom"/>
            <w:gridSpan w:val="2"/>
            <w:shd w:val="clear" w:color="auto" w:fill="CFF0FC"/>
          </w:tcPr>
          <w:p>
            <w:pPr>
              <w:jc w:val="center"/>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17,108</w:t>
            </w:r>
          </w:p>
        </w:tc>
        <w:tc>
          <w:tcPr>
            <w:tcW w:w="600" w:type="dxa"/>
            <w:vAlign w:val="bottom"/>
            <w:gridSpan w:val="2"/>
            <w:shd w:val="clear" w:color="auto" w:fill="CFF0FC"/>
          </w:tcPr>
          <w:p>
            <w:pPr>
              <w:jc w:val="center"/>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12,162</w:t>
            </w:r>
          </w:p>
        </w:tc>
        <w:tc>
          <w:tcPr>
            <w:tcW w:w="100" w:type="dxa"/>
            <w:vAlign w:val="bottom"/>
            <w:shd w:val="clear" w:color="auto" w:fill="CFF0FC"/>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TNG456 direct program expenses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TNG260 direct program expenses</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5,203</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7,946</w:t>
            </w:r>
          </w:p>
        </w:tc>
        <w:tc>
          <w:tcPr>
            <w:tcW w:w="100" w:type="dxa"/>
            <w:vAlign w:val="bottom"/>
            <w:shd w:val="clear" w:color="auto" w:fill="CFF0FC"/>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TNG961 direct program expenses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TNG908 direct program expenses*</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10,776</w:t>
            </w:r>
          </w:p>
        </w:tc>
        <w:tc>
          <w:tcPr>
            <w:tcW w:w="100" w:type="dxa"/>
            <w:vAlign w:val="bottom"/>
            <w:shd w:val="clear" w:color="auto" w:fill="CFF0FC"/>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TNG348 direct program expenses**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Discovery direct program expenses</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6,898</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8,890</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19,923</w:t>
            </w:r>
          </w:p>
        </w:tc>
        <w:tc>
          <w:tcPr>
            <w:tcW w:w="100" w:type="dxa"/>
            <w:vAlign w:val="bottom"/>
            <w:shd w:val="clear" w:color="auto" w:fill="CFF0FC"/>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Personnel-related expenses</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12,376</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39,060</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38,309</w:t>
            </w:r>
          </w:p>
        </w:tc>
        <w:tc>
          <w:tcPr>
            <w:tcW w:w="100" w:type="dxa"/>
            <w:vAlign w:val="bottom"/>
            <w:shd w:val="clear" w:color="auto" w:fill="CFF0FC"/>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Facilities and other related expenses</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5,047</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15,791</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49"/>
        </w:trPr>
        <w:tc>
          <w:tcPr>
            <w:tcW w:w="340" w:type="dxa"/>
            <w:vAlign w:val="bottom"/>
          </w:tcPr>
          <w:p>
            <w:pPr>
              <w:spacing w:after="0"/>
              <w:rPr>
                <w:sz w:val="21"/>
                <w:szCs w:val="21"/>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30,815</w:t>
            </w:r>
          </w:p>
        </w:tc>
        <w:tc>
          <w:tcPr>
            <w:tcW w:w="600" w:type="dxa"/>
            <w:vAlign w:val="bottom"/>
            <w:gridSpan w:val="2"/>
            <w:shd w:val="clear" w:color="auto" w:fill="CFF0FC"/>
          </w:tcPr>
          <w:p>
            <w:pPr>
              <w:jc w:val="center"/>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33,263</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100,064</w:t>
            </w:r>
          </w:p>
        </w:tc>
        <w:tc>
          <w:tcPr>
            <w:tcW w:w="600" w:type="dxa"/>
            <w:vAlign w:val="bottom"/>
            <w:gridSpan w:val="2"/>
            <w:shd w:val="clear" w:color="auto" w:fill="CFF0FC"/>
          </w:tcPr>
          <w:p>
            <w:pPr>
              <w:jc w:val="center"/>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109,981</w:t>
            </w:r>
          </w:p>
        </w:tc>
        <w:tc>
          <w:tcPr>
            <w:tcW w:w="100" w:type="dxa"/>
            <w:vAlign w:val="bottom"/>
            <w:shd w:val="clear" w:color="auto" w:fill="CFF0FC"/>
          </w:tcPr>
          <w:p>
            <w:pPr>
              <w:spacing w:after="0"/>
              <w:rPr>
                <w:sz w:val="21"/>
                <w:szCs w:val="21"/>
                <w:color w:val="auto"/>
              </w:rPr>
            </w:pPr>
          </w:p>
        </w:tc>
        <w:tc>
          <w:tcPr>
            <w:tcW w:w="340" w:type="dxa"/>
            <w:vAlign w:val="bottom"/>
          </w:tcPr>
          <w:p>
            <w:pPr>
              <w:spacing w:after="0"/>
              <w:rPr>
                <w:sz w:val="21"/>
                <w:szCs w:val="21"/>
                <w:color w:val="auto"/>
              </w:rPr>
            </w:pPr>
          </w:p>
        </w:tc>
      </w:tr>
      <w:tr>
        <w:trPr>
          <w:trHeight w:val="629"/>
        </w:trPr>
        <w:tc>
          <w:tcPr>
            <w:tcW w:w="340" w:type="dxa"/>
            <w:vAlign w:val="bottom"/>
          </w:tcPr>
          <w:p>
            <w:pPr>
              <w:spacing w:after="0"/>
              <w:rPr>
                <w:sz w:val="24"/>
                <w:szCs w:val="24"/>
                <w:color w:val="auto"/>
              </w:rPr>
            </w:pPr>
          </w:p>
        </w:tc>
        <w:tc>
          <w:tcPr>
            <w:tcW w:w="5140" w:type="dxa"/>
            <w:vAlign w:val="bottom"/>
            <w:tcBorders>
              <w:top w:val="single" w:sz="8" w:color="CFF0FC"/>
            </w:tcBorders>
          </w:tcPr>
          <w:p>
            <w:pPr>
              <w:spacing w:after="0"/>
              <w:rPr>
                <w:sz w:val="24"/>
                <w:szCs w:val="24"/>
                <w:color w:val="auto"/>
              </w:rPr>
            </w:pPr>
          </w:p>
        </w:tc>
        <w:tc>
          <w:tcPr>
            <w:tcW w:w="1160" w:type="dxa"/>
            <w:vAlign w:val="bottom"/>
            <w:tcBorders>
              <w:top w:val="single" w:sz="8" w:color="auto"/>
            </w:tcBorders>
            <w:gridSpan w:val="2"/>
          </w:tcPr>
          <w:p>
            <w:pPr>
              <w:jc w:val="right"/>
              <w:ind w:right="834"/>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40" w:type="dxa"/>
            <w:vAlign w:val="bottom"/>
          </w:tcPr>
          <w:p>
            <w:pPr>
              <w:spacing w:after="0"/>
              <w:rPr>
                <w:sz w:val="24"/>
                <w:szCs w:val="24"/>
                <w:color w:val="auto"/>
              </w:rPr>
            </w:pPr>
          </w:p>
        </w:tc>
      </w:tr>
      <w:tr>
        <w:trPr>
          <w:trHeight w:val="763"/>
        </w:trPr>
        <w:tc>
          <w:tcPr>
            <w:tcW w:w="34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-933450</wp:posOffset>
            </wp:positionV>
            <wp:extent cx="603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-916305</wp:posOffset>
            </wp:positionV>
            <wp:extent cx="603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-933450</wp:posOffset>
            </wp:positionV>
            <wp:extent cx="6032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-916305</wp:posOffset>
            </wp:positionV>
            <wp:extent cx="603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-933450</wp:posOffset>
            </wp:positionV>
            <wp:extent cx="603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-916305</wp:posOffset>
            </wp:positionV>
            <wp:extent cx="6032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-933450</wp:posOffset>
            </wp:positionV>
            <wp:extent cx="596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-916305</wp:posOffset>
            </wp:positionV>
            <wp:extent cx="596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jc w:val="both"/>
        <w:ind w:left="300" w:right="720"/>
        <w:spacing w:after="0" w:line="282" w:lineRule="auto"/>
        <w:rPr>
          <w:sz w:val="20"/>
          <w:szCs w:val="20"/>
          <w:color w:val="auto"/>
        </w:rPr>
      </w:pPr>
      <w:r>
        <w:rPr>
          <w:rFonts w:ascii="Times New Roman" w:cs="Times New Roman" w:eastAsia="Times New Roman" w:hAnsi="Times New Roman"/>
          <w:sz w:val="18"/>
          <w:szCs w:val="18"/>
          <w:color w:val="auto"/>
        </w:rPr>
        <w:t>*In November 2024, we announced we stopped enrollment in the TNG908 Phase 1/2 trial due to insufficient brain exposure for GBM clinical activity and portfolio prioritization. Expenses beyond November 2024 related to previously enrolled patients and close-out clinical trial costs.</w:t>
      </w:r>
    </w:p>
    <w:p>
      <w:pPr>
        <w:spacing w:after="0" w:line="54" w:lineRule="exact"/>
        <w:rPr>
          <w:sz w:val="20"/>
          <w:szCs w:val="20"/>
          <w:color w:val="auto"/>
        </w:rPr>
      </w:pPr>
    </w:p>
    <w:p>
      <w:pPr>
        <w:ind w:left="300" w:right="640"/>
        <w:spacing w:after="0" w:line="282" w:lineRule="auto"/>
        <w:rPr>
          <w:sz w:val="20"/>
          <w:szCs w:val="20"/>
          <w:color w:val="auto"/>
        </w:rPr>
      </w:pPr>
      <w:r>
        <w:rPr>
          <w:rFonts w:ascii="Times New Roman" w:cs="Times New Roman" w:eastAsia="Times New Roman" w:hAnsi="Times New Roman"/>
          <w:sz w:val="18"/>
          <w:szCs w:val="18"/>
          <w:color w:val="auto"/>
        </w:rPr>
        <w:t>**In May 2024, we announced the discontinuation of TNG348, a USP1 inhibitor, due to toxicity observed in the dose escalation portion of our Phase 1/2 clinical trial. Expenses beyond May 2024 related to close-out clinical trial costs.</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or the timing of regulatory filings in connection with clinical trials or regulatory approval,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Our clinical development costs have, and are expected to continue to increase significantly with the commencement and continuation of our current and planned clinical trials, including our planned combination clinical trials. We anticipate that our expenses will increase substantially, particularly due to the numerous risks and uncertainties associated with developing product candidates, including the uncertainty of:</w:t>
      </w:r>
    </w:p>
    <w:p>
      <w:pPr>
        <w:spacing w:after="0" w:line="84" w:lineRule="exact"/>
        <w:rPr>
          <w:sz w:val="20"/>
          <w:szCs w:val="20"/>
          <w:color w:val="auto"/>
        </w:rPr>
      </w:pPr>
    </w:p>
    <w:p>
      <w:pPr>
        <w:ind w:left="1140" w:right="580" w:hanging="383"/>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expenses of our ongoing research activities as well as any preclinical studies, clinical trials and other research and development activities;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with IND-enabling studies;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our clinical trials, including our combination clinical trials;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product candidates show safety and efficacy in our clinical trials;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and when approved, whether alone or in collaboration with others;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acceptable safety profile of products following any regulatory approval.</w:t>
      </w:r>
    </w:p>
    <w:p>
      <w:pPr>
        <w:spacing w:after="0" w:line="22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Any changes in the outcome of any of these variables with respect to the development of our product candidates in preclinical and clinical development could mean a significant change in the costs and timing associated with the development of these product candidates. We may never succeed in achieving regulatory approval for any of our product candidates. We may obtain unexpected results from our clinical trials. We may elect to discontinue, delay or modify clinical trials of some product candidates or focus on other product candidates.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 related costs, including salaries, bonuses, benefits, stock-based compensation and other related costs. General and administrative expense also includes professional services, including legal, accounting and audit services and other consulting fees as well as facility costs not otherwise included in research and development expenses, insurance and other general administrative expenses.</w:t>
      </w:r>
    </w:p>
    <w:p>
      <w:pPr>
        <w:spacing w:after="0" w:line="176" w:lineRule="exact"/>
        <w:rPr>
          <w:sz w:val="20"/>
          <w:szCs w:val="20"/>
          <w:color w:val="auto"/>
        </w:rPr>
      </w:pPr>
    </w:p>
    <w:p>
      <w:pPr>
        <w:ind w:right="560" w:firstLine="509"/>
        <w:spacing w:after="0" w:line="266"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to support our continued research activities and development of our product candidates. We also anticipate that we will incur increased accounting, audit, legal, regulatory, compliance and director and officer insurance costs as well as investor and public relations expenses associated with operating as a public company.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Interest income consists of income earned and losses incurred in connection with our investments in money market funds, U.S. Treasury bills and U.S. government agency bonds.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net consists of miscellaneous income and expense unrelated to our core operations.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Benefit from (provision for) Income Taxes</w:t>
      </w:r>
    </w:p>
    <w:p>
      <w:pPr>
        <w:spacing w:after="0" w:line="22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Our benefit from (provision for) income tax consists of an estimate for U.S. federal and state income taxes based on enacted rates, as adjusted for allowable credits, deductions, uncertain tax positions, changes in deferred tax assets and liabilities and changes in tax law. We recorded an insignificant benefit from (provision for) income taxes for each of the three and nine months ended September 30, 2025 and 2024.</w:t>
      </w:r>
    </w:p>
    <w:p>
      <w:pPr>
        <w:spacing w:after="0" w:line="17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97" w:right="5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2025 and 2024</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2025 and 2024:</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6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880" w:type="dxa"/>
            <w:vAlign w:val="bottom"/>
            <w:gridSpan w:val="2"/>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53,811</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11,607</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0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revenue</w:t>
            </w:r>
          </w:p>
        </w:tc>
        <w:tc>
          <w:tcPr>
            <w:tcW w:w="92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53,811</w:t>
            </w: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30,815</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33,263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(2,448)</w:t>
            </w:r>
          </w:p>
        </w:tc>
        <w:tc>
          <w:tcPr>
            <w:tcW w:w="0" w:type="dxa"/>
            <w:vAlign w:val="bottom"/>
          </w:tcPr>
          <w:p>
            <w:pPr>
              <w:spacing w:after="0"/>
              <w:rPr>
                <w:sz w:val="1"/>
                <w:szCs w:val="1"/>
                <w:color w:val="auto"/>
              </w:rPr>
            </w:pPr>
          </w:p>
        </w:tc>
      </w:tr>
      <w:tr>
        <w:trPr>
          <w:trHeight w:val="216"/>
        </w:trPr>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39,739</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44,485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(4,746)</w:t>
            </w:r>
          </w:p>
        </w:tc>
        <w:tc>
          <w:tcPr>
            <w:tcW w:w="0" w:type="dxa"/>
            <w:vAlign w:val="bottom"/>
          </w:tcPr>
          <w:p>
            <w:pPr>
              <w:spacing w:after="0"/>
              <w:rPr>
                <w:sz w:val="1"/>
                <w:szCs w:val="1"/>
                <w:color w:val="auto"/>
              </w:rPr>
            </w:pPr>
          </w:p>
        </w:tc>
      </w:tr>
      <w:tr>
        <w:trPr>
          <w:trHeight w:val="20"/>
        </w:trPr>
        <w:tc>
          <w:tcPr>
            <w:tcW w:w="400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(32,878)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9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income, net</w:t>
            </w:r>
          </w:p>
        </w:tc>
        <w:tc>
          <w:tcPr>
            <w:tcW w:w="9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(1,251)</w:t>
            </w:r>
          </w:p>
        </w:tc>
        <w:tc>
          <w:tcPr>
            <w:tcW w:w="0" w:type="dxa"/>
            <w:vAlign w:val="bottom"/>
          </w:tcPr>
          <w:p>
            <w:pPr>
              <w:spacing w:after="0"/>
              <w:rPr>
                <w:sz w:val="1"/>
                <w:szCs w:val="1"/>
                <w:color w:val="auto"/>
              </w:rPr>
            </w:pPr>
          </w:p>
        </w:tc>
      </w:tr>
      <w:tr>
        <w:trPr>
          <w:trHeight w:val="20"/>
        </w:trPr>
        <w:tc>
          <w:tcPr>
            <w:tcW w:w="400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Pretax income (loss)</w:t>
            </w:r>
          </w:p>
        </w:tc>
        <w:tc>
          <w:tcPr>
            <w:tcW w:w="9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(29,113)</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15,884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(29,167)</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-1139190</wp:posOffset>
            </wp:positionV>
            <wp:extent cx="603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-1139190</wp:posOffset>
            </wp:positionV>
            <wp:extent cx="603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-1139190</wp:posOffset>
            </wp:positionV>
            <wp:extent cx="603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-582295</wp:posOffset>
            </wp:positionV>
            <wp:extent cx="603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-582295</wp:posOffset>
            </wp:positionV>
            <wp:extent cx="603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-582295</wp:posOffset>
            </wp:positionV>
            <wp:extent cx="603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603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603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Collaboration revenue of $53.8 million and $11.6 million for the three months ended September 30, 2025 and 2024, respectively, was derived from the Gilead collaboration. All remaining deferred revenue from the upfront and research option-extension payments under the Gilead collaboration were recognized as collaboration revenue during the three months ended September 30, 2025 as a result of the truncation of the collaboration agreement, which concluded all research activities.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was $30.8 million for the three months ended September 30, 2025 compared to $33.3 million for the three months ended September 30, 2024. The decrease of $2.5 million was primarily driven by a $2.0 million decrease due to the discontinuation of the TNG908 clinical program and lower discovery program expenses. This decrease was partially offset by increased spend related to the advancement of the vopimetostat and TNG456 clinical programs.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52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was $8.9 million for the three months ended September 30, 2025 compared to $11.2 million for the three months ended September 30, 2024. The decrease of $2.3 million was primarily due to decreases in personnel-related costs, including share-based compensation expense, as well as a decrease in external legal and patent costs.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Interest income was $1.1 million for the three months ended September 30, 2025 compared to $1.8 million for the three months ended September 30, 2024, with the decrease primarily attributable to a decrease in our marketable securities balance in 2025 as compared to 2024.</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Other income, net was $0.7 million for the three months ended September 30, 2025 compared to other income, net of $2.0 million for the three months ended September 30, 2024, with the decrease attributed to lower accretion from investments purchased at a discount.</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30" w:name="page31"/>
    <w:bookmarkEnd w:id="30"/>
    <w:p>
      <w:pPr>
        <w:ind w:left="520"/>
        <w:spacing w:after="0"/>
        <w:rPr>
          <w:sz w:val="20"/>
          <w:szCs w:val="20"/>
          <w:color w:val="auto"/>
        </w:rPr>
      </w:pPr>
      <w:r>
        <w:rPr>
          <w:rFonts w:ascii="Times New Roman" w:cs="Times New Roman" w:eastAsia="Times New Roman" w:hAnsi="Times New Roman"/>
          <w:sz w:val="18"/>
          <w:szCs w:val="18"/>
          <w:i w:val="1"/>
          <w:iCs w:val="1"/>
          <w:color w:val="auto"/>
        </w:rPr>
        <w:t>Benefit from (provision for) Income Taxes</w:t>
      </w:r>
    </w:p>
    <w:p>
      <w:pPr>
        <w:spacing w:after="0" w:line="227"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Benefit from income taxes was less than $0.1 million for the three months ended September 30, 2025 compared to a provision for income taxes of less than $0.1 million for the three months ended September 30, 2024. The tax benefit and provision are insignificant in each of the periods ended September 30, 2025 and 2024.</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2025 and 2024</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2025 and 2024:</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4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460" w:type="dxa"/>
            <w:vAlign w:val="bottom"/>
            <w:gridSpan w:val="7"/>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340" w:type="dxa"/>
            <w:vAlign w:val="bottom"/>
            <w:gridSpan w:val="2"/>
            <w:shd w:val="clear" w:color="auto" w:fill="CFF0FC"/>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62,384</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25,852</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(12,100)</w:t>
            </w:r>
          </w:p>
        </w:tc>
        <w:tc>
          <w:tcPr>
            <w:tcW w:w="0" w:type="dxa"/>
            <w:vAlign w:val="bottom"/>
          </w:tcPr>
          <w:p>
            <w:pPr>
              <w:spacing w:after="0"/>
              <w:rPr>
                <w:sz w:val="1"/>
                <w:szCs w:val="1"/>
                <w:color w:val="auto"/>
              </w:rPr>
            </w:pPr>
          </w:p>
        </w:tc>
      </w:tr>
      <w:tr>
        <w:trPr>
          <w:trHeight w:val="209"/>
        </w:trPr>
        <w:tc>
          <w:tcPr>
            <w:tcW w:w="34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revenue</w:t>
            </w:r>
          </w:p>
        </w:tc>
        <w:tc>
          <w:tcPr>
            <w:tcW w:w="14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62,384</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37,952</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24,432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100,064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109,981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(9,917)</w:t>
            </w:r>
          </w:p>
        </w:tc>
        <w:tc>
          <w:tcPr>
            <w:tcW w:w="0" w:type="dxa"/>
            <w:vAlign w:val="bottom"/>
          </w:tcPr>
          <w:p>
            <w:pPr>
              <w:spacing w:after="0"/>
              <w:rPr>
                <w:sz w:val="1"/>
                <w:szCs w:val="1"/>
                <w:color w:val="auto"/>
              </w:rPr>
            </w:pPr>
          </w:p>
        </w:tc>
      </w:tr>
      <w:tr>
        <w:trPr>
          <w:trHeight w:val="216"/>
        </w:trPr>
        <w:tc>
          <w:tcPr>
            <w:tcW w:w="3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131,809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142,637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(10,828)</w:t>
            </w:r>
          </w:p>
        </w:tc>
        <w:tc>
          <w:tcPr>
            <w:tcW w:w="0" w:type="dxa"/>
            <w:vAlign w:val="bottom"/>
          </w:tcPr>
          <w:p>
            <w:pPr>
              <w:spacing w:after="0"/>
              <w:rPr>
                <w:sz w:val="1"/>
                <w:szCs w:val="1"/>
                <w:color w:val="auto"/>
              </w:rPr>
            </w:pPr>
          </w:p>
        </w:tc>
      </w:tr>
      <w:tr>
        <w:trPr>
          <w:trHeight w:val="20"/>
        </w:trPr>
        <w:tc>
          <w:tcPr>
            <w:tcW w:w="348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(104,685)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(2,127)</w:t>
            </w: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income, net</w:t>
            </w:r>
          </w:p>
        </w:tc>
        <w:tc>
          <w:tcPr>
            <w:tcW w:w="1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(3,446)</w:t>
            </w:r>
          </w:p>
        </w:tc>
        <w:tc>
          <w:tcPr>
            <w:tcW w:w="0" w:type="dxa"/>
            <w:vAlign w:val="bottom"/>
          </w:tcPr>
          <w:p>
            <w:pPr>
              <w:spacing w:after="0"/>
              <w:rPr>
                <w:sz w:val="1"/>
                <w:szCs w:val="1"/>
                <w:color w:val="auto"/>
              </w:rPr>
            </w:pPr>
          </w:p>
        </w:tc>
      </w:tr>
      <w:tr>
        <w:trPr>
          <w:trHeight w:val="20"/>
        </w:trPr>
        <w:tc>
          <w:tcPr>
            <w:tcW w:w="348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(5,573)</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(62,786)</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(92,473)</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4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(62,845)</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(92,632)</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-1705610</wp:posOffset>
            </wp:positionV>
            <wp:extent cx="6032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-1705610</wp:posOffset>
            </wp:positionV>
            <wp:extent cx="6032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-1705610</wp:posOffset>
            </wp:positionV>
            <wp:extent cx="6032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-1139190</wp:posOffset>
            </wp:positionV>
            <wp:extent cx="603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-1139190</wp:posOffset>
            </wp:positionV>
            <wp:extent cx="603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-1139190</wp:posOffset>
            </wp:positionV>
            <wp:extent cx="603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-582295</wp:posOffset>
            </wp:positionV>
            <wp:extent cx="6032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-582295</wp:posOffset>
            </wp:positionV>
            <wp:extent cx="603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-582295</wp:posOffset>
            </wp:positionV>
            <wp:extent cx="6032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603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603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Collaboration revenue of $62.4 million and $25.9 million for the nine months ended September 30, 2025 and 2024, respectively, was derived from the Gilead collaboration. All remaining deferred revenue from the upfront and research option-extension payments under the collaboration were recognized as collaboration revenue during the nine months ended September 30, 2025 as a result of the truncation of the collaboration agreement which concluded all research activities.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License Revenue</w:t>
      </w:r>
    </w:p>
    <w:p>
      <w:pPr>
        <w:spacing w:after="0" w:line="22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License revenue was $0 and $12.1 million for the nine months ended September 30, 2025 and 2024, respectively. The revenue recognized during the second quarter of 2024 was primarily due to licensing a program to Gilead for $12.0 million during the period.</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was $100.1 million for the nine months ended September 30, 2025 compared to $110.0 million for the nine months ended September 30, 2024. The decrease of $9.9 million was primarily driven by a $12.1 million decrease due to the discontinuation of the TNG908 and TNG348 clinical programs, a $2.7 million decrease in TNG260 clinical trial costs and lower discovery program expenses. This decrease was partially offset by increased spend related to the advancement of the vopimetostat, TNG456 and TNG961 clinical programs.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56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was $31.7 million for the nine months ended September 30, 2025 compared to $32.7 million for the nine months ended September 30, 2024. The decrease of $1.0 million was primarily due to a decrease in personnel-related costs, including share-based compensation expense.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31" w:name="page32"/>
    <w:bookmarkEnd w:id="31"/>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Interest income was $4.0 million for the nine months ended September 30, 2025 compared to $6.1 million for the nine months ended September 30, 2024, with the decrease primarily attributable to a decrease in our marketable securities balance in 2025 as compared to 2024.</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Other income, net was $2.7 million for the nine months ended September 30, 2025 compared to other income, net of $6.1 million for the nine months ended September 30, 2024, with the decrease attributed to lower accretion from investments purchased at a discount.</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Provision for income taxes was $0.1 million for the nine months ended September 30, 2025 compared to $0.2 million for the nine months ended September 30, 2024. The tax provision is insignificant in each of the periods ended September 30, 2025 and 2024.</w:t>
      </w:r>
    </w:p>
    <w:p>
      <w:pPr>
        <w:spacing w:after="0" w:line="158" w:lineRule="exact"/>
        <w:rPr>
          <w:sz w:val="20"/>
          <w:szCs w:val="20"/>
          <w:color w:val="auto"/>
        </w:rPr>
      </w:pPr>
    </w:p>
    <w:p>
      <w:pPr>
        <w:jc w:val="center"/>
        <w:ind w:right="86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Since our inception, we have generated recurring net losses. We have not yet commercialized any products and we do not expect to generate revenue from sales of any products for several years, if at all. To date, we have funded our operations primarily through equity financings and from the proceeds received from our collaboration agreement with Gilead. Since inception, we have raised an aggregate of $166.9 million of gross proceeds from the sale of our preferred shares, $342.1 million in gross proceeds from the Business Combination and simultaneous financing transactions, $237.1 million through our collaboration with Gilead, and $348.0 million of gross proceeds through (i) the $80.0 million private placement of common shares and pre-funded warrants to purchase common shares in August 2023, (ii) the $43.0 million from our "at-the-market" stock offering program in January 2024 and</w:t>
      </w:r>
    </w:p>
    <w:p>
      <w:pPr>
        <w:spacing w:after="0" w:line="5" w:lineRule="exact"/>
        <w:rPr>
          <w:sz w:val="20"/>
          <w:szCs w:val="20"/>
          <w:color w:val="auto"/>
        </w:rPr>
      </w:pPr>
    </w:p>
    <w:p>
      <w:pPr>
        <w:jc w:val="both"/>
        <w:ind w:right="440" w:firstLine="8"/>
        <w:spacing w:after="0" w:line="290" w:lineRule="auto"/>
        <w:tabs>
          <w:tab w:leader="none" w:pos="31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$225.0 million in gross proceeds from the underwritten offering and concurrent private placement of common shares and pre-funded warrants to purchase common shares in October 2025. As of September 30, 2025, we had cash and cash equivalents and marketable securities of $152.8 million.</w:t>
      </w:r>
    </w:p>
    <w:p>
      <w:pPr>
        <w:spacing w:after="0" w:line="15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On October 23, 2025, we announced the pricing of an underwritten offering and a concurrent private placement with a select group of institutional and accredited healthcare specialist investors for the issuance of a total of 22,755,438 shares of common stock at a price of $8.66 per share and pre-funded warrants to purchase 3,226,458 shares of common stock at a purchase price of $8.659 per pre-funded warrant, resulting in aggregate gross proceeds of $225.0 million. The pre-funded warrants have an exercise price of $0.001 per share of common stock, are immediately exercisable and will remain exercisable until exercised in full. After deducting expenses related to the offering and private placement of $13.0 million, net proceeds were $212.0 million. Both transactions closed on October 24, 2025. Net proceeds will be used to advance our pipeline and for working capital and other general corporate purposes.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expect that our existing cash, cash equivalents and marketable securities on hand as of September 30, 2025 of $152.8 million, in addition to $212.0 million in aggregate net proceeds from our underwritten offering and concurrent private placement of common shares and pre-funded warrants to purchase common shares in October 2025, will enable us to fund our operating expenses and capital expenditure requirements into 2028. We have based this estimate on assumptions that may prove to be wrong, and we could expend our capital resources sooner than we expect.</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99" w:right="4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2025 and 2024</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nine month periods presented:</w:t>
      </w:r>
    </w:p>
    <w:p>
      <w:pPr>
        <w:spacing w:after="0" w:line="219" w:lineRule="exact"/>
        <w:rPr>
          <w:sz w:val="20"/>
          <w:szCs w:val="20"/>
          <w:color w:val="auto"/>
        </w:rPr>
      </w:pPr>
    </w:p>
    <w:tbl>
      <w:tblPr>
        <w:tblLayout w:type="fixed"/>
        <w:tblInd w:w="1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60" w:type="dxa"/>
            <w:vAlign w:val="bottom"/>
            <w:gridSpan w:val="3"/>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(109,168)</w:t>
            </w:r>
          </w:p>
        </w:tc>
        <w:tc>
          <w:tcPr>
            <w:tcW w:w="52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(94,854)</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46,695</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(43,571)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(11,192)</w:t>
            </w:r>
          </w:p>
        </w:tc>
        <w:tc>
          <w:tcPr>
            <w:tcW w:w="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(14,093)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-170815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-170815</wp:posOffset>
            </wp:positionV>
            <wp:extent cx="7747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$109.2 million for the nine months ended September 30, 2025 compared to net cash used in operating activities of $94.9 million for the nine months ended September 30, 2024. The increase in net cash used in operating activities for the nine months ended September 30, 2025 was primarily due to a decrease in operating assets and liabilities, including a deferred revenue decrease driven by the truncation of the Gilead collaboration in August of 2025, which was partially offset by a decrease in net loss.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was $94.9 million for the nine months ended September 30, 2025 compared to net cash provided by investing activities of $34.1 million for the nine months ended September 30, 2024. The change was primarily due to a decrease in purchases of marketable securities as compared to the nine months ended September 30, 2024, which was partially offset by a decrease in sales and maturities of marketable securities as compared to the nine months ended September 30, 2024.</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$3.1 million for the nine months ended September 30, 2025 compared to net cash provided by financing activities of $46.7 million for the nine months ended September 30, 2024. The cash provided by financing activities for the nine months ended September 30, 2025 consisted of $3.1 million in net proceeds received from the exercises of stock options and ESPP purchases. The cash provided by financing activities for the nine months ended September 30, 2024 consisted of the $41.7 million in net proceeds received from our "at-the-market" stock offering program in January 2024, as well as the cash provided from the exercises of stock options and ESPP purchases.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at September 30, 2025 and the effects that such obligations are expected to have on our liquidity and cash flows in future periods: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140" w:type="dxa"/>
            <w:vAlign w:val="bottom"/>
          </w:tcPr>
          <w:p>
            <w:pPr>
              <w:spacing w:after="0"/>
              <w:rPr>
                <w:sz w:val="10"/>
                <w:szCs w:val="10"/>
                <w:color w:val="auto"/>
              </w:rPr>
            </w:pPr>
          </w:p>
        </w:tc>
        <w:tc>
          <w:tcPr>
            <w:tcW w:w="11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160" w:type="dxa"/>
            <w:vAlign w:val="bottom"/>
          </w:tcPr>
          <w:p>
            <w:pPr>
              <w:spacing w:after="0"/>
              <w:rPr>
                <w:sz w:val="10"/>
                <w:szCs w:val="10"/>
                <w:color w:val="auto"/>
              </w:rPr>
            </w:pPr>
          </w:p>
        </w:tc>
        <w:tc>
          <w:tcPr>
            <w:tcW w:w="940" w:type="dxa"/>
            <w:vAlign w:val="bottom"/>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Borders>
              <w:top w:val="single" w:sz="8" w:color="auto"/>
            </w:tcBorders>
            <w:gridSpan w:val="2"/>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commitments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46,240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40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11,989</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12,719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15,798</w:t>
            </w:r>
          </w:p>
        </w:tc>
        <w:tc>
          <w:tcPr>
            <w:tcW w:w="0" w:type="dxa"/>
            <w:vAlign w:val="bottom"/>
          </w:tcPr>
          <w:p>
            <w:pPr>
              <w:spacing w:after="0"/>
              <w:rPr>
                <w:sz w:val="1"/>
                <w:szCs w:val="1"/>
                <w:color w:val="auto"/>
              </w:rPr>
            </w:pPr>
          </w:p>
        </w:tc>
      </w:tr>
      <w:tr>
        <w:trPr>
          <w:trHeight w:val="20"/>
        </w:trPr>
        <w:tc>
          <w:tcPr>
            <w:tcW w:w="35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46,240</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11,989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12,719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15,798</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-153670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-153670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-153670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-153670</wp:posOffset>
            </wp:positionV>
            <wp:extent cx="603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-153670</wp:posOffset>
            </wp:positionV>
            <wp:extent cx="603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commitment amounts in the table above primarily reflect the minimum payments due under our amended operating lease for office and laboratory space at our 201 Brookline Avenue, Boston, Massachusetts location. These commitments are also recognized as operating lease liabilities in our balance sheet at September 30, 2025. Refer to Note 7 to our audited consolidated financial statements and related notes included in our Annual Report on Form 10-K for the year ended December 31, 2024 for additional discussion of the lease.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33" w:name="page34"/>
    <w:bookmarkEnd w:id="33"/>
    <w:p>
      <w:pPr>
        <w:ind w:left="520"/>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227"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enter into contracts with third parties for preclinical studies, clinical operations, manufacturing and research and development supplies. These contracts generally do not contain minimum purchase commitments and generally provide for termination with limited notice, and therefore are cancellable contracts. These payments are not included in the table above as the amount and timing of such payments are not known as of September 30, 2025.</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License Agreement Obligations</w:t>
      </w:r>
    </w:p>
    <w:p>
      <w:pPr>
        <w:spacing w:after="0" w:line="22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also entered into a license agreement under which we may be obligated to make milestone and royalty payments. We have not included future milestone or royalty payments under the agreement in the table above since the payment obligations are contingent upon future events, such as achieving certain development, regulatory, and commercial milestones or generating product sales. As of September 30, 2025 and December 31, 2024, we were unable to estimate the timing or likelihood of achieving these milestones or generating future product sales. Refer to Note 8 of our audited consolidated financial statements and related notes included in our Annual Report on Form 10-K for the year ended December 31, 2024 for a description of our license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U.S. GAAP.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and at the time these estimates are made, the results of which form the basis for making judgments about the carrying values of assets and liabilities that are not readily apparent from other sources. We evaluate our estimates and assumptions on an ongoing basis. Some of the judgments and estimates we make can be subjective and complex. Our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188"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audited consolidated financial statements and related notes included in our Annual Report on Form 10-K for the year ended December 31, 2024, we believe that the following accounting policies are those most critical to the judgments and estimates used in the preparation of our financial statements.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terms of our collaboration agreements may include consideration such as non-refundable up-front payments, license fees, research extension fees, and clinical, regulatory and sales-based milestones and royalties on product sales.</w:t>
      </w:r>
    </w:p>
    <w:p>
      <w:pPr>
        <w:spacing w:after="0" w:line="160" w:lineRule="exact"/>
        <w:rPr>
          <w:sz w:val="20"/>
          <w:szCs w:val="20"/>
          <w:color w:val="auto"/>
        </w:rPr>
      </w:pPr>
    </w:p>
    <w:p>
      <w:pPr>
        <w:ind w:right="100" w:firstLine="509"/>
        <w:spacing w:after="0" w:line="252" w:lineRule="auto"/>
        <w:rPr>
          <w:sz w:val="20"/>
          <w:szCs w:val="20"/>
          <w:color w:val="auto"/>
        </w:rPr>
      </w:pPr>
      <w:r>
        <w:rPr>
          <w:rFonts w:ascii="Times New Roman" w:cs="Times New Roman" w:eastAsia="Times New Roman" w:hAnsi="Times New Roman"/>
          <w:sz w:val="18"/>
          <w:szCs w:val="18"/>
          <w:color w:val="auto"/>
        </w:rPr>
        <w:t xml:space="preserve">We recognize revenue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which applies to all contracts with customers, except for contracts that are within the scope of other standards, such as leases, insurance, collaboration arrangements and financial instruments. ASC 606 provides a five-step framework whereby revenue is recognized when control of promised goods or services is transferred to a customer at an amount that reflects the consideration to which the entity expects to be entitled in exchange for those goods or services. To determine revenue recognition for arrangements that we determine are within the scope of the revenue standard, we perform the following five steps: (i) identify the promised goods or services in the contract; (ii) determine whether the promised goods or services are performance obligations including whether they are distinct in the context of the contract; (iii) measure the transaction price, including the constraint on variable consideration; (iv) allocate the transaction price to the performance obligations; and (v) recognize revenue when (or as) we satisfy each performance obligation. We only apply the five-step model to contracts when collectability of the consideration to which we are entitled in exchange for the goods or services we transfer to the customer is determined to be likely. At contract inception, once the contract is determined to be within the scope of ASC 606, we assess whether the goods or services promised within each contract are distinct and, therefore, represent a separate performance obligation. Goods and services that are determined not to be distinct are combined with other promised goods and services until a distinct bundle is identified. We then allocate the transaction price (the amount of consideration we expect to be entitled to from a customer in exchange for the promised goods or services) to each performance obligation and recognize the associated revenue when (or as) each performance obligation is satisfied. Our estimate of the transaction price for each contract includes all variable consideration to which we expect to be entitled.</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9" w:right="379" w:bottom="1440" w:gutter="0" w:footer="0" w:header="0"/>
        </w:sectPr>
      </w:pPr>
    </w:p>
    <w:bookmarkStart w:id="34" w:name="page35"/>
    <w:bookmarkEnd w:id="34"/>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recognize the transaction price allocated to license payments as revenue upon delivery of the license to the customer and resulting ability of the customer to use and benefit from the license, if the license is determined to be distinct from the other performance obligations identified in the contract. If the license is considered to not be distinct from other performance obligations, we utilize judgment to assess the nature of the combined performance obligation to determine whether the combined performance obligation is satisfied (i) at a point in time, but only for licenses determined to be distinct from other performance obligations in the contract, or (ii) over time; and, if over time, the appropriate method of measuring progress for purposes of recognizing revenue from license payments. We evaluate the measure of progress each reporting period and, if necessary, adjust the measure of performance and related revenue recognition.</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evaluate whether it is probable that the consideration associated with each milestone payment will not be subject to a significant reversal in the cumulative amount of revenue recognized. Amounts that meet this threshold are included in the transaction price using the most likely amount method, whereas amounts that do not meet this threshold are considered constrained and excluded from the transaction price until they meet this threshold. Milestones tied to regulatory approval, and therefore not within our control, are considered constrained until such approval is received. Upfront and ongoing development milestones under our collaboration agreements are not subject to refund if the development activities are not successful. At the end of each subsequent reporting period, we re-evaluate the probability of a significant reversal of the cumulative revenue recognized for the milestones, and, if necessary, adjust the estimate of the overall transaction price. Any such adjustments are recorded on a cumulative catch-up basis, which would affect revenues from collaborators in the period of adjustment. We exclude sales-based milestone payments and royalties from the transaction price until the sale occurs (or, if later, until the underlying performance obligation to which some or all of the royalty has been allocated has been satisfied or partially satisfied), because the license to our intellectual property is deemed to be the predominant item to which the royalties relate as it is the primary driver of value.</w:t>
      </w:r>
    </w:p>
    <w:p>
      <w:pPr>
        <w:spacing w:after="0" w:line="192" w:lineRule="exact"/>
        <w:rPr>
          <w:sz w:val="20"/>
          <w:szCs w:val="20"/>
          <w:color w:val="auto"/>
        </w:rPr>
      </w:pPr>
    </w:p>
    <w:p>
      <w:pPr>
        <w:ind w:right="320" w:firstLine="509"/>
        <w:spacing w:after="0" w:line="256" w:lineRule="auto"/>
        <w:rPr>
          <w:sz w:val="20"/>
          <w:szCs w:val="20"/>
          <w:color w:val="auto"/>
        </w:rPr>
      </w:pPr>
      <w:r>
        <w:rPr>
          <w:rFonts w:ascii="Times New Roman" w:cs="Times New Roman" w:eastAsia="Times New Roman" w:hAnsi="Times New Roman"/>
          <w:sz w:val="18"/>
          <w:szCs w:val="18"/>
          <w:color w:val="auto"/>
        </w:rPr>
        <w:t>ASC 606 requires us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ASC 606 as the price at which an entity would sell a promised good or service separately to a customer. If other observable transactions in which we have sold the same performance obligation separately are not available, we are required to estimate the standalone selling price of each performance obligation. Key assumptions to determine the standalone selling price may include forecasted revenues, development timelines, reimbursement rates for personnel costs, discount rates and probabilities of technical and regulatory success.</w:t>
      </w:r>
    </w:p>
    <w:p>
      <w:pPr>
        <w:spacing w:after="0" w:line="18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Whenever we determine that multiple promises to a customer are not distinct and comprise a combined performance obligation that includes services, we recognize revenue over time using the cost-to-cost input method, based on the total estimated cost to fulfill the obligation. Significant management judgment is required in determining the level of effort required under an arrangement and the period over which we are expected to complete our performance obligations under an arrangement.</w:t>
      </w:r>
    </w:p>
    <w:p>
      <w:pPr>
        <w:spacing w:after="0" w:line="180"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Consideration that does not meet the requirements to satisfy the above revenue recognition criteria is a contract liability and is recorded as deferred revenue in the consolidated balance sheets. We have recorded short-term and long-term deferred revenue on our consolidated balance sheets based on our best estimate of when such revenue will be recognized. Short-term deferred revenue consists of amounts that are expected to be recognized as revenue in the next 12 months. Amounts that we expect will not be recognized within the next 12 months are classified as long-term deferred revenue.</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certain instances, the timing of and total costs of satisfying these obligations under our collaboration agreement can be difficult to estimate. Accordingly, our estimates may change in the future. If these estimates and judgments change over the course of these agreements, it may affect the timing and amount of revenue that we will recognize and record in future periods.</w:t>
      </w:r>
    </w:p>
    <w:p>
      <w:pPr>
        <w:spacing w:after="0" w:line="176"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Under ASC 606, we will recognize revenue when we fulfill our performance obligations under the agreements with customers. As the required performance obligation is satisfied, we will recognize revenue for the portion satisfied and record a receivable for any fees that have not been received. Amounts are recorded as short-term collaboration receivables when our right to consideration is unconditional. A contract liability is recognized when a customer prepays consideration or owes payment to an entity in advance of our performance according to a contract. We do not assess whether a contract has a significant financing component if the expectation at contract inception is that the period between payment by the customer and the transfer of the promised goods or services to the customer will be one year or less. We expense incremental costs of obtaining a contract as and when incurred if the expected amortization period of the asset that we would have recognized is one year or less or the amount is immaterial.</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229"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This process involves estimating the level of service performed and the associated cost incurred for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5" w:name="page36"/>
    <w:bookmarkEnd w:id="35"/>
    <w:p>
      <w:pPr>
        <w:ind w:right="40"/>
        <w:spacing w:after="0" w:line="258" w:lineRule="auto"/>
        <w:rPr>
          <w:sz w:val="20"/>
          <w:szCs w:val="20"/>
          <w:color w:val="auto"/>
        </w:rPr>
      </w:pPr>
      <w:r>
        <w:rPr>
          <w:rFonts w:ascii="Times New Roman" w:cs="Times New Roman" w:eastAsia="Times New Roman" w:hAnsi="Times New Roman"/>
          <w:sz w:val="18"/>
          <w:szCs w:val="18"/>
          <w:color w:val="auto"/>
        </w:rPr>
        <w:t>service when we have not yet been invoiced or otherwise notified of actual costs. The majority of our service providers invoice us in arrears for services performed, on a pre-determined schedule or when contractual milestones are met; however, some require advance payments, which would be recorded as a prepaid expense in other assets, or if there is the right of offset, offset against our liability balance with the counterparty. We make estimates of our accrued expenses as of each balance sheet date in the consolidated financial statements based on facts and circumstances known to us at that time. At each period end, we corroborate the accuracy of these estimates with the service providers and make adjustments, if necessary.</w:t>
      </w:r>
    </w:p>
    <w:p>
      <w:pPr>
        <w:spacing w:after="0" w:line="183"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record the expense and accrual related to research and development activities performed by our vendors based on our estimates of the services received and efforts expended considering a number of factors, including our knowledge of the progress towards completion of the research and development activities; invoicing to date under the contracts; communication from the vendors of any actual costs incurred during the period that have not yet been invoiced; and the costs included in the contracts and purchase orders.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A description of recently issued and adopted accounting pronouncements that may potentially impact our financial position, results of operations or cash flows is disclosed within Note 2 of our unaudited condensed consolidated financial statements and related notes appearing elsewhere in this Quarterly Report on Form 10-Q and also in Note 2 to our audited consolidated financial statements and related notes in our Annual Report on Form 10-K for the year ended December 31,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market risks from those described in Part II, Item 7A, "Quantitative and Qualitative Disclosures About Market Risk," in our Annual Report on Form 10-K for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 The term “disclosure controls and procedures,” as defined in Rules 13a-15(e) and 15d-15(e) under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disclosure controls and procedures, no matter how well designed and operated, can provide only reasonable assurance of achieving their objectives. Our disclosure controls and procedures have been designed to provide reasonable assurance of achieving their objectives. Based on such evaluation, our Chief Executive Officer and Chief Financial Officer concluded that our disclosure controls and procedures were effective at the reasonable assurance level as of September 30,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identified in connection with the evaluation required by paragraph</w:t>
      </w:r>
    </w:p>
    <w:p>
      <w:pPr>
        <w:spacing w:after="0" w:line="27" w:lineRule="exact"/>
        <w:rPr>
          <w:sz w:val="20"/>
          <w:szCs w:val="20"/>
          <w:color w:val="auto"/>
        </w:rPr>
      </w:pPr>
    </w:p>
    <w:p>
      <w:pPr>
        <w:ind w:right="340" w:firstLine="8"/>
        <w:spacing w:after="0" w:line="260" w:lineRule="auto"/>
        <w:tabs>
          <w:tab w:leader="none" w:pos="2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Rules 13a-15 and 15d-15(d) under the Exchange Act that occurred during the quarter ended September 30, 2025 that materially affected, or were reasonably likely to materially affect, the Company’s internal control over financial reporting.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Regardless of outcome, litigation can have an adverse impact on our business, financial condition, results of operations and prospects because of defense and settlement costs, diversion of management resources and other factors.</w:t>
      </w:r>
    </w:p>
    <w:p>
      <w:pPr>
        <w:spacing w:after="0" w:line="17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are not currently a party to any litigation or legal proceedings that, in the opinion of our management, are probable to have a material adverse effect on our business.</w:t>
      </w:r>
    </w:p>
    <w:p>
      <w:pPr>
        <w:spacing w:after="0" w:line="1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81" w:right="5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In addition to the other information set forth in this Quarterly Report on Form 10-Q, careful consideration should be given to the risk factors discussed in Item 1A, “Risk Factors” in our Annual Report on Form 10-K for the year ended December 31, 2024, which could materially affect our business, financial condition, and/or future results. The risks described in our Annual Report on Form 10-K are not the only risks we face. Additional risks and uncertainties not currently known to us or that we currently deem to be immaterial also may materially adversely affect our business, financial condition, and/or operating results. Other than as set forth below, there have been no material changes to the risk factors set forth in our Annual Report on Form 10-K for the year ended December 31, 2024 as filed with the SEC on February 27, 2025 and in Part II, Item 1A, “Risk Factors” of the Quarterly Report on Form 10-Q for the fiscal quarter ended March 31, 2025.</w:t>
      </w:r>
    </w:p>
    <w:p>
      <w:pPr>
        <w:spacing w:after="0" w:line="185"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U.S. government agencies or the EMA or comparable foreign regulatory authorities, including from government shut downs, or other disruptions to these agencies’ staffing and operations, including significant leadership, personnel, and policy changes, could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ability of the FDA, the EMA or comparable foreign regulatory authorities to review and approve new products can be affected by a variety of factors, including government priorities and funding levels, ability to hire and retain key personnel and accept the payment of user fees, and enact statutory, regulatory and policy changes. Average review times at the FDA or other regulatory authorities have fluctuated in recent years as a result. Disruptions at the FDA and other agencies may also slow the time necessary for new product candidates to be reviewed and/or approved by necessary government agencies, which would adversely affect our business.</w:t>
      </w:r>
    </w:p>
    <w:p>
      <w:pPr>
        <w:spacing w:after="0" w:line="183"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In addition, government funding of the SEC and other government agencies on which our operations may rely, and those that fund research and development activities that is required by third parties we enter into agreements with, is subject to the political process, which is inherently fluid and unpredictable.</w:t>
      </w:r>
    </w:p>
    <w:p>
      <w:pPr>
        <w:spacing w:after="0" w:line="176"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Disruptions at the FDA and other federal agencies, including substantial leadership departures, personnel cuts, and policy changes, may also slow the time necessary for new drugs to be reviewed and/or approved, which would harm our business. Changes and cuts in FDA staffing have been reported by some within the pharmaceutical industry as creating instances of delays in the FDA’s responsiveness or in its ability to review IND submissions or applications, issue regulations or guidance, or implement or enforce regulatory requirements in a timely fashion or at all.</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Currently, federal agencies in the U.S. are operating under a federal government shutdown due to the expiration of the continuing resolution on September 30, 2025. The duration of the current government shutdown is unknown. For example, in prior years the U.S. government has shut down several times and certain regulatory agencies, such as the FDA and the SEC, have had to furlough critical FDA, SEC and other government employees and stop critical activities. A prolonged government shutdown, significant leadership, personnel, and/or policy changes, or other substantial modification in agency activities (including due to global health concerns, the aims of the current administration, or geopolitical factors) could significantly impact the ability of the FDA to timely review and process our regulatory submissions, which could have a material adverse effect on our business.</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With the change in the U.S. presidential administration in 2025, there is substantial uncertainty as to whether and how this administration will seek to modify or revise the requirements and policies of the FDA and other regulatory agencies with jurisdiction over our product candidates and any products for which we obtain approval. This uncertainty could present new challenges and/or opportunities as we navigate development and approval of our product candidates. Additionally, the new administration could issue or promulgate executive orders, regulations, policies or guidance that adversely affect us or create a more challenging or costly environment to pursue the development of new therapeutic candidates.</w:t>
      </w:r>
    </w:p>
    <w:p>
      <w:pPr>
        <w:spacing w:after="0" w:line="183"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Further, in our operations as a public company, future government shutdowns could impact our ability to access the public markets and obtain necessary capital in order to properly capitalize and continue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8" w:name="page39"/>
    <w:bookmarkEnd w:id="38"/>
    <w:p>
      <w:pPr>
        <w:spacing w:after="0" w:line="253" w:lineRule="auto"/>
        <w:rPr>
          <w:sz w:val="20"/>
          <w:szCs w:val="20"/>
          <w:color w:val="auto"/>
        </w:rPr>
      </w:pPr>
      <w:r>
        <w:rPr>
          <w:rFonts w:ascii="Times New Roman" w:cs="Times New Roman" w:eastAsia="Times New Roman" w:hAnsi="Times New Roman"/>
          <w:sz w:val="18"/>
          <w:szCs w:val="18"/>
          <w:color w:val="auto"/>
        </w:rPr>
        <w:t>financial markets. For example, the United States and other countries recently experienced increased inflation and interest rates increased in response to this inflation. These conditions in the U.S. and global economy have caused significant volatility and uncertainty in U.S. and international markets. A severe or prolonged economic downturn, a marked increase in interest rates and inflation could result in a variety of risks to our business, including, weakened demand for our product candidates (if and when approved by regulatory authorities) and our inability to raise additional capital when needed on acceptable terms, if at all. Changes in U.S. government and other nations’ administrations and their associated shifts in policy and priorities could also impact our operations and market conditions. Our business is sensitive to geopolitical issues, including foreign policy actions taken by governments such as tariffs, sanctions, embargoes, export and import controls, and other trade restrictions, which can affect our operations, cause disruptions to our supply chain, and, ultimately, could adversely affect our business. For example, this presidential administration has initiated or is considering imposing tariffs on certain foreign goods (and we do import certain goods from foreign countries and certain services are performed for our benefit in foreign countries). In response to this action, certain foreign governments, including China’s, have instituted or are considering imposing tariffs on certain U.S. goods, which could impact inflation rate, increase the costs of goods, and adversely affect our business. It remains unclear what the administration or foreign governments will or will not do with respect to tariffs or other international trade agreements and policies.</w:t>
      </w:r>
    </w:p>
    <w:p>
      <w:pPr>
        <w:spacing w:after="0" w:line="19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our business may be generally exposed to the impact of political or civil unrest or military action, including the current conflict between Russia and Ukraine (where a vendor that performs chemistry related work on our pre-clinical product candidates is located). Other global conflicts, including conflicts in the Middle East, and heightened tensions in the Pacific region, have significantly elevated global geopolitical tensions and security concerns. While we do not otherwise have direct exposure to Ukraine, our business and results of operations may be impacted based upon the events taking place there and economic sanctions, export controls, and other trade restrictions, for instance those that the U.S. Government and other nations implemented against Russia in light of its invasion of Ukraine or those relating to the conflict in the Middle East, could directly and indirectly result in the disruption of our business and supply chain. A weak or declining economy could also strain our suppliers and the global supply chain, possibly resulting in supply disruption. Any of the foregoing could harm our business and we cannot anticipate all of the ways in which the current economic climate and financial market conditions could adversely impact our business.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and results of operations.</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Changes in regulations, statutes or the interpretation of existing regulations and statutes could impact our business in the future by requiring, for example: (i) changes to our manufacturing arrangements; (ii) changes to the method in which drug prices are determined for Medicare and Medicaid participants or other potential patients in the U.S. (or by which drug prices are determined in other countries and regions); (iii) additions or modifications to product labeling (if, and when, a product is approved for sale); (iv) the recall or discontinuation of our products (if any products are approved by applicable regulatory authorities); or (v) additional record-keeping requirements. If any such changes were to be imposed, they could adversely affect the operation of our business. For additional information, see the section entitled “Business - Current and future healthcare reform legislation” included in our Annual Report on Form 10-K for the fiscal year ended December 31, 2024.</w:t>
      </w:r>
    </w:p>
    <w:p>
      <w:pPr>
        <w:spacing w:after="0" w:line="189"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pharmacy benefit managers, managed care organizations and other payers of healthcare services to contain or reduce costs of healthcare may adversely affect:</w:t>
      </w:r>
    </w:p>
    <w:p>
      <w:pPr>
        <w:spacing w:after="0" w:line="54"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set a price that we believe is fair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August 16, 2022, President Biden signed into law the Inflation Reduction Act of 2022, or IRA, which, among other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39" w:name="page40"/>
    <w:bookmarkEnd w:id="39"/>
    <w:p>
      <w:pPr>
        <w:spacing w:after="0" w:line="256" w:lineRule="auto"/>
        <w:rPr>
          <w:sz w:val="20"/>
          <w:szCs w:val="20"/>
          <w:color w:val="auto"/>
        </w:rPr>
      </w:pPr>
      <w:r>
        <w:rPr>
          <w:rFonts w:ascii="Times New Roman" w:cs="Times New Roman" w:eastAsia="Times New Roman" w:hAnsi="Times New Roman"/>
          <w:sz w:val="18"/>
          <w:szCs w:val="18"/>
          <w:color w:val="auto"/>
        </w:rPr>
        <w:t>provisions, included several measures intended to lower the cost of prescription drugs and related healthcare reforms. This includes a provision that small molecule drugs can be chosen for price setting seven years after first approved by the FDA with the set price taking effect two years later, only nine years after the medicine was initially approved. This is far earlier than the time before small molecule medicines typically face generic competition. As a result, if we were to have one or more of our small molecule drugs approved by the FDA, under the IRA, we could be forced to sell our products at a lower price for CMS programs for several years earlier than would otherwise be the case. In addition, because this could result in lower future cash flows in those years, the valuation of the company could be negatively impacted.</w:t>
      </w:r>
    </w:p>
    <w:p>
      <w:pPr>
        <w:spacing w:after="0" w:line="187"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Further, under the IRA, orphan drugs were previously exempted from the Medicare drug price negotiation program; however, this exemption was restricted to drugs with only one orphan designation and for which the only approved indication is for that disease or condition. If a product received multiple orphan designations or had multiple approved indications, it would not qualify for the orphan drug exemption. Under the One Big Beautiful Bill Act of 2025, or OBBB, this restriction was eliminated; and effective for the 2028 initial price applicability year, all orphan drugs, regardless of the number of orphan designations or indications, are exempt from the Medicare drug price negotiation program. On April 15, 2025, the administration published Executive Order 14273, “Lowering Drug Prices by Once Again Putting Americans First,” which generally directs the federal government to take measures to reduce drug prices, including eliminating the so-called “pill penalty” under the Inflation Reduction Act that creates a distinction between small molecule and large molecule products for purposes of determining when a drug may be eligible for drug price negotiation. On May 12, 2025, the federal administration published Executive Order 14297, “Delivering Most-Favored-Nation Prescription Drug Pricing to American Patients” which generally, among other things, directs the federal government to establish and communicate most-favored-nation price targets to pharmaceutical manufacturers to bring prices for American patients in line with comparably developed nations. Further, the Executive Order directs the federal government to support regulatory paths to allow direct-to-patient sales for companies that meet these targets. It also states that the Administration will take additional aggressive action (for example, examining whether marketing approvals should be modified or rescinded or opening the door for individual drug importation waivers) should manufacturers fail to offer American consumers the most-favored-nation lowest price. It also directs the Secretary of Commerce and the U.S. Trade Representative to “take all necessary and appropriate action to ensure foreign countries are not engaged in any act, policy, or practice that may be unreasonable or discriminatory or that may impair United States national security . . . including by suppressing the price of pharmaceutical products below fair market value in foreign countries.” Notably, a similar “Most Favored Nation” pricing rule previously enacted was subject to an injunction resulting from judicial challenges to the rule, and ultimately formally rescinded by the former Biden Administration in August 2021.</w:t>
      </w:r>
    </w:p>
    <w:p>
      <w:pPr>
        <w:spacing w:after="0" w:line="19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Further, reductions in reimbursement from Medicare and other government programs may also result in reductions in payments from private payers. In addition, 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implemented regulations designed to encourage importation of drugs from other countries and bulk purchasing.</w:t>
      </w:r>
    </w:p>
    <w:p>
      <w:pPr>
        <w:spacing w:after="0" w:line="18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8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expect that additional healthcare reform measures may be adopted in the future, any of which may result in additional reductions in Medicare and other healthcare funding and otherwise affect the prices we may obtain for any of our product candidates for which we may obtain regulatory approval or the frequency with which any such product candidate is prescribed or used. Additionally, we expect to experience pricing pressures in connection with the sale of any future approved product candidates due to the trend toward managed healthcare, including pharmacy benefit managers, the increasing influence of health maintenance organizations, cost containment initiatives and additional legislative changes.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tax reform legislation could adversely affect our business and financial condition.</w:t>
      </w:r>
    </w:p>
    <w:p>
      <w:pPr>
        <w:spacing w:after="0" w:line="22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tax regimes we are subject to or operate under are unsettled and may be subject to significant change. Changes in tax laws or tax rulings, or changes in interpretations of existing laws, could cause us to be subject to additional income-based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0" w:name="page41"/>
    <w:bookmarkEnd w:id="40"/>
    <w:p>
      <w:pPr>
        <w:spacing w:after="0" w:line="252" w:lineRule="auto"/>
        <w:rPr>
          <w:sz w:val="20"/>
          <w:szCs w:val="20"/>
          <w:color w:val="auto"/>
        </w:rPr>
      </w:pPr>
      <w:r>
        <w:rPr>
          <w:rFonts w:ascii="Times New Roman" w:cs="Times New Roman" w:eastAsia="Times New Roman" w:hAnsi="Times New Roman"/>
          <w:sz w:val="18"/>
          <w:szCs w:val="18"/>
          <w:color w:val="auto"/>
        </w:rPr>
        <w:t>taxes and non- income taxes (such as payroll, sales, use, value-added, digital tax, net worth, property, and goods and services taxes), which in turn could materially affect our cash and financial position and results of operations. For example, the OBBB was signed into law on July 4, 2025 and made significant changes to U.S. federal tax law. Additionally, new, changed, modified, or newly interpreted or applied tax laws could increase our potential future customers’ and our compliance, operating and other costs, as well as the costs of our products, if approved. For example, under Section 174 of the Internal Revenue Code of 1986, as amended (the “IRC”), in taxable years beginning after December 31, 2021, expenses that are incurred for research and development performed outside the U.S. will be capitalized and amortized, which may have an adverse effect on our cash flow. The OBBB provides that for taxable years beginning after December 31, 2024, expenses that are incurred for research and development performed in the U.S. may, at the taxpayer’s election, be immediately deducted or capitalized and amortized. In addition, the OBBB provides that for taxable years beginning after December 31, 2021 and 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As we expand the scale of our business activities, any changes in the U.S. taxation of such activities may increase our effective tax rate and harm our business, financial condition, and results of operations. Complying with these tax laws is complex and the statutes and regulations can be subject to varying interpretation which can make compliance challenging.</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9" w:right="3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jc w:val="center"/>
        <w:ind w:right="9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Adoption or Termination of Trading Arrangements</w:t>
      </w:r>
    </w:p>
    <w:p>
      <w:pPr>
        <w:spacing w:after="0" w:line="227"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During the fiscal quarter ended September 30, 2025, none of our directors or officers informed us of the adoption, modification or termination of a “Rule 10b5-1 trading arrangement” or “non-Rule 10b5-1 trading arrangement,” as those terms are defined in Regulation S-K, Item 408.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560" w:type="dxa"/>
            <w:vAlign w:val="bottom"/>
            <w:gridSpan w:val="9"/>
            <w:vMerge w:val="restart"/>
          </w:tcPr>
          <w:p>
            <w:pPr>
              <w:ind w:left="32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1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8560" w:type="dxa"/>
            <w:vAlign w:val="bottom"/>
            <w:tcBorders>
              <w:bottom w:val="single" w:sz="8" w:color="auto"/>
            </w:tcBorders>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4"/>
                <w:szCs w:val="14"/>
                <w:color w:val="auto"/>
              </w:rPr>
            </w:pPr>
          </w:p>
        </w:tc>
        <w:tc>
          <w:tcPr>
            <w:tcW w:w="9940" w:type="dxa"/>
            <w:vAlign w:val="bottom"/>
            <w:tcBorders>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269">
              <w:r>
                <w:rPr>
                  <w:rFonts w:ascii="Times New Roman" w:cs="Times New Roman" w:eastAsia="Times New Roman" w:hAnsi="Times New Roman"/>
                  <w:sz w:val="18"/>
                  <w:szCs w:val="18"/>
                  <w:color w:val="0000FF"/>
                  <w:w w:val="99"/>
                </w:rPr>
                <w:t>Second Amended and Restated Certificate of Incorporation of Tango Therapeutics, Inc., as amended (incorporated by reference to Exhibit</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10"/>
          </w:tcPr>
          <w:p>
            <w:pPr>
              <w:spacing w:after="0" w:line="196" w:lineRule="exact"/>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Registrant's Current Report on Form 10-Q filed with the SEC on August 7, 2024).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6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7"/>
                <w:szCs w:val="17"/>
                <w:color w:val="auto"/>
              </w:rPr>
            </w:pPr>
          </w:p>
        </w:tc>
        <w:tc>
          <w:tcPr>
            <w:tcW w:w="9960" w:type="dxa"/>
            <w:vAlign w:val="bottom"/>
            <w:gridSpan w:val="10"/>
          </w:tcPr>
          <w:p>
            <w:pPr>
              <w:spacing w:after="0" w:line="196" w:lineRule="exact"/>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Amended and Restated Bylaws of Tango Therapeutics, Inc. (incorporated by reference to Exhibit 4.2 to the Registrant’s registration</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10"/>
          </w:tcPr>
          <w:p>
            <w:pPr>
              <w:spacing w:after="0" w:line="196" w:lineRule="exact"/>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statement on Form S-8 filed with the SEC on October 14, 2021).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7"/>
                <w:szCs w:val="17"/>
                <w:color w:val="auto"/>
              </w:rPr>
            </w:pPr>
          </w:p>
        </w:tc>
        <w:tc>
          <w:tcPr>
            <w:tcW w:w="9960" w:type="dxa"/>
            <w:vAlign w:val="bottom"/>
            <w:gridSpan w:val="10"/>
          </w:tcPr>
          <w:p>
            <w:pPr>
              <w:spacing w:after="0" w:line="196" w:lineRule="exact"/>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Certificate of Amendment to the Second Amended and Restated Certificate of Incorporation of the Registrant (incorporated by reference</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3560" w:type="dxa"/>
            <w:vAlign w:val="bottom"/>
            <w:gridSpan w:val="2"/>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10"/>
          </w:tcPr>
          <w:p>
            <w:pPr>
              <w:spacing w:after="0" w:line="196" w:lineRule="exact"/>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to Exhibit 3.1 to the Registrant's Current Report on Form 8-K filed with the SEC on June 6, 2025).</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3560" w:type="dxa"/>
            <w:vAlign w:val="bottom"/>
            <w:gridSpan w:val="2"/>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7"/>
                <w:szCs w:val="17"/>
                <w:color w:val="auto"/>
              </w:rPr>
            </w:pPr>
          </w:p>
        </w:tc>
        <w:tc>
          <w:tcPr>
            <w:tcW w:w="99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3560" w:type="dxa"/>
            <w:vAlign w:val="bottom"/>
            <w:gridSpan w:val="2"/>
            <w:shd w:val="clear" w:color="auto" w:fill="0000FF"/>
          </w:tcPr>
          <w:p>
            <w:pPr>
              <w:spacing w:after="0" w:line="20" w:lineRule="exact"/>
              <w:rPr>
                <w:sz w:val="1"/>
                <w:szCs w:val="1"/>
                <w:color w:val="auto"/>
              </w:rPr>
            </w:pPr>
          </w:p>
        </w:tc>
        <w:tc>
          <w:tcPr>
            <w:tcW w:w="458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3560" w:type="dxa"/>
            <w:vAlign w:val="bottom"/>
            <w:gridSpan w:val="2"/>
            <w:shd w:val="clear" w:color="auto" w:fill="0000FF"/>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7"/>
                <w:szCs w:val="17"/>
                <w:color w:val="auto"/>
              </w:rPr>
            </w:pPr>
          </w:p>
        </w:tc>
        <w:tc>
          <w:tcPr>
            <w:tcW w:w="99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814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3560" w:type="dxa"/>
            <w:vAlign w:val="bottom"/>
            <w:gridSpan w:val="2"/>
            <w:shd w:val="clear" w:color="auto" w:fill="0000FF"/>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7"/>
                <w:szCs w:val="17"/>
                <w:color w:val="auto"/>
              </w:rPr>
            </w:pPr>
          </w:p>
        </w:tc>
        <w:tc>
          <w:tcPr>
            <w:tcW w:w="99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8140" w:type="dxa"/>
            <w:vAlign w:val="bottom"/>
            <w:gridSpan w:val="5"/>
            <w:shd w:val="clear" w:color="auto" w:fill="0000FF"/>
          </w:tcPr>
          <w:p>
            <w:pPr>
              <w:spacing w:after="0" w:line="20" w:lineRule="exact"/>
              <w:rPr>
                <w:sz w:val="1"/>
                <w:szCs w:val="1"/>
                <w:color w:val="auto"/>
              </w:rPr>
            </w:pPr>
          </w:p>
        </w:tc>
        <w:tc>
          <w:tcPr>
            <w:tcW w:w="420" w:type="dxa"/>
            <w:vAlign w:val="bottom"/>
            <w:tcBorders>
              <w:left w:val="single" w:sz="8" w:color="0000FF"/>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8140" w:type="dxa"/>
            <w:vAlign w:val="bottom"/>
            <w:gridSpan w:val="5"/>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17"/>
                <w:szCs w:val="17"/>
                <w:color w:val="auto"/>
              </w:rPr>
            </w:pPr>
          </w:p>
        </w:tc>
        <w:tc>
          <w:tcPr>
            <w:tcW w:w="99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540" w:type="dxa"/>
            <w:vAlign w:val="bottom"/>
            <w:gridSpan w:val="6"/>
            <w:shd w:val="clear" w:color="auto" w:fill="0000FF"/>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85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18"/>
                <w:szCs w:val="18"/>
                <w:color w:val="auto"/>
              </w:rPr>
            </w:pPr>
          </w:p>
        </w:tc>
        <w:tc>
          <w:tcPr>
            <w:tcW w:w="99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9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18"/>
                <w:szCs w:val="18"/>
                <w:color w:val="auto"/>
              </w:rPr>
            </w:pPr>
          </w:p>
        </w:tc>
        <w:tc>
          <w:tcPr>
            <w:tcW w:w="99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8"/>
                <w:szCs w:val="18"/>
                <w:color w:val="auto"/>
              </w:rPr>
            </w:pPr>
          </w:p>
        </w:tc>
        <w:tc>
          <w:tcPr>
            <w:tcW w:w="99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as Inline XBRL with applicable taxonomy extension information contained in Exhibits</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3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18" w:lineRule="exact"/>
        <w:rPr>
          <w:sz w:val="20"/>
          <w:szCs w:val="20"/>
          <w:color w:val="auto"/>
        </w:rPr>
      </w:pPr>
    </w:p>
    <w:p>
      <w:pPr>
        <w:ind w:left="460" w:hanging="452"/>
        <w:spacing w:after="0"/>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63" w:lineRule="exact"/>
        <w:rPr>
          <w:sz w:val="20"/>
          <w:szCs w:val="20"/>
          <w:color w:val="auto"/>
        </w:rPr>
      </w:pPr>
    </w:p>
    <w:p>
      <w:pPr>
        <w:ind w:left="520" w:right="20" w:hanging="512"/>
        <w:spacing w:after="0" w:line="266" w:lineRule="auto"/>
        <w:tabs>
          <w:tab w:leader="none" w:pos="46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and Exhibit 32.2 hereto are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2" w:name="page43"/>
    <w:bookmarkEnd w:id="42"/>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225" w:lineRule="exact"/>
        <w:rPr>
          <w:sz w:val="20"/>
          <w:szCs w:val="20"/>
          <w:color w:val="auto"/>
        </w:rPr>
      </w:pPr>
    </w:p>
    <w:p>
      <w:pPr>
        <w:spacing w:after="0"/>
        <w:tabs>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Dated: November 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Barbara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Barbara Weber, MD</w:t>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225" w:lineRule="exact"/>
        <w:rPr>
          <w:sz w:val="20"/>
          <w:szCs w:val="20"/>
          <w:color w:val="auto"/>
        </w:rPr>
      </w:pPr>
    </w:p>
    <w:p>
      <w:pPr>
        <w:ind w:left="5660"/>
        <w:spacing w:after="0"/>
        <w:tabs>
          <w:tab w:leader="none" w:pos="6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Daniella Beckman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Daniella Beckman</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2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81" w:right="779" w:bottom="1440" w:gutter="0" w:footer="0" w:header="0"/>
        </w:sectPr>
      </w:pPr>
    </w:p>
    <w:bookmarkStart w:id="43" w:name="page44"/>
    <w:bookmarkEnd w:id="43"/>
    <w:p>
      <w:pPr>
        <w:ind w:left="10260"/>
        <w:spacing w:after="0"/>
        <w:rPr>
          <w:sz w:val="20"/>
          <w:szCs w:val="20"/>
          <w:color w:val="auto"/>
        </w:rPr>
      </w:pPr>
      <w:r>
        <w:rPr>
          <w:rFonts w:ascii="Times New Roman" w:cs="Times New Roman" w:eastAsia="Times New Roman" w:hAnsi="Times New Roman"/>
          <w:sz w:val="19"/>
          <w:szCs w:val="19"/>
          <w:color w:val="auto"/>
        </w:rPr>
        <w:t>Exhibit 31.1</w:t>
      </w:r>
    </w:p>
    <w:p>
      <w:pPr>
        <w:spacing w:after="0" w:line="237" w:lineRule="exact"/>
        <w:rPr>
          <w:sz w:val="20"/>
          <w:szCs w:val="20"/>
          <w:color w:val="auto"/>
        </w:rPr>
      </w:pPr>
    </w:p>
    <w:p>
      <w:pPr>
        <w:jc w:val="center"/>
        <w:ind w:right="40"/>
        <w:spacing w:after="0" w:line="273" w:lineRule="auto"/>
        <w:rPr>
          <w:sz w:val="20"/>
          <w:szCs w:val="20"/>
          <w:color w:val="auto"/>
        </w:rPr>
      </w:pPr>
      <w:r>
        <w:rPr>
          <w:rFonts w:ascii="Times New Roman" w:cs="Times New Roman" w:eastAsia="Times New Roman" w:hAnsi="Times New Roman"/>
          <w:sz w:val="20"/>
          <w:szCs w:val="20"/>
          <w:b w:val="1"/>
          <w:bCs w:val="1"/>
          <w:color w:val="auto"/>
        </w:rPr>
        <w:t>CERTIFICATION OF PRINCIPAL EXECUTIVE OFFICER PURSUANT TO RULE 13a-14(a) / RULE 15d-14(a) OF THE SECURITIES EXCHANGE ACT OF 1934, AS AMENDED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Barbara Weber, M.D., certify that:</w:t>
      </w:r>
    </w:p>
    <w:p>
      <w:pPr>
        <w:spacing w:after="0" w:line="229" w:lineRule="exact"/>
        <w:rPr>
          <w:sz w:val="20"/>
          <w:szCs w:val="20"/>
          <w:color w:val="auto"/>
        </w:rPr>
      </w:pPr>
    </w:p>
    <w:p>
      <w:pPr>
        <w:ind w:left="380" w:hanging="372"/>
        <w:spacing w:after="0"/>
        <w:tabs>
          <w:tab w:leader="none" w:pos="3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Tango Therapeutics, Inc.;</w:t>
      </w:r>
    </w:p>
    <w:p>
      <w:pPr>
        <w:spacing w:after="0" w:line="215" w:lineRule="exact"/>
        <w:rPr>
          <w:rFonts w:ascii="Times New Roman" w:cs="Times New Roman" w:eastAsia="Times New Roman" w:hAnsi="Times New Roman"/>
          <w:sz w:val="20"/>
          <w:szCs w:val="20"/>
          <w:color w:val="auto"/>
        </w:rPr>
      </w:pPr>
    </w:p>
    <w:p>
      <w:pPr>
        <w:jc w:val="both"/>
        <w:ind w:left="380" w:hanging="372"/>
        <w:spacing w:after="0" w:line="254" w:lineRule="auto"/>
        <w:tabs>
          <w:tab w:leader="none" w:pos="3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Times New Roman" w:cs="Times New Roman" w:eastAsia="Times New Roman" w:hAnsi="Times New Roman"/>
          <w:sz w:val="20"/>
          <w:szCs w:val="20"/>
          <w:color w:val="auto"/>
        </w:rPr>
      </w:pPr>
    </w:p>
    <w:p>
      <w:pPr>
        <w:ind w:left="380" w:hanging="372"/>
        <w:spacing w:after="0" w:line="269" w:lineRule="auto"/>
        <w:tabs>
          <w:tab w:leader="none" w:pos="3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07" w:lineRule="exact"/>
        <w:rPr>
          <w:rFonts w:ascii="Times New Roman" w:cs="Times New Roman" w:eastAsia="Times New Roman" w:hAnsi="Times New Roman"/>
          <w:sz w:val="20"/>
          <w:szCs w:val="20"/>
          <w:color w:val="auto"/>
        </w:rPr>
      </w:pPr>
    </w:p>
    <w:p>
      <w:pPr>
        <w:jc w:val="both"/>
        <w:ind w:left="380" w:hanging="372"/>
        <w:spacing w:after="0" w:line="264" w:lineRule="auto"/>
        <w:tabs>
          <w:tab w:leader="none" w:pos="38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spacing w:after="0" w:line="207" w:lineRule="exact"/>
        <w:rPr>
          <w:rFonts w:ascii="Times New Roman" w:cs="Times New Roman" w:eastAsia="Times New Roman" w:hAnsi="Times New Roman"/>
          <w:sz w:val="19"/>
          <w:szCs w:val="19"/>
          <w:color w:val="auto"/>
        </w:rPr>
      </w:pPr>
    </w:p>
    <w:p>
      <w:pPr>
        <w:jc w:val="both"/>
        <w:ind w:left="1020" w:hanging="368"/>
        <w:spacing w:after="0" w:line="254" w:lineRule="auto"/>
        <w:tabs>
          <w:tab w:leader="none" w:pos="102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4" w:name="page45"/>
    <w:bookmarkEnd w:id="44"/>
    <w:p>
      <w:pPr>
        <w:jc w:val="both"/>
        <w:ind w:left="380" w:hanging="372"/>
        <w:spacing w:after="0" w:line="254" w:lineRule="auto"/>
        <w:tabs>
          <w:tab w:leader="none" w:pos="3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Times New Roman" w:cs="Times New Roman" w:eastAsia="Times New Roman" w:hAnsi="Times New Roman"/>
          <w:sz w:val="20"/>
          <w:szCs w:val="20"/>
          <w:color w:val="auto"/>
        </w:rPr>
      </w:pPr>
    </w:p>
    <w:p>
      <w:pPr>
        <w:ind w:left="1020" w:right="20" w:hanging="368"/>
        <w:spacing w:after="0" w:line="269" w:lineRule="auto"/>
        <w:tabs>
          <w:tab w:leader="none" w:pos="102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spacing w:after="0"/>
        <w:tabs>
          <w:tab w:leader="none" w:pos="3160" w:val="left"/>
        </w:tabs>
        <w:rPr>
          <w:sz w:val="20"/>
          <w:szCs w:val="20"/>
          <w:color w:val="auto"/>
        </w:rPr>
      </w:pPr>
      <w:r>
        <w:rPr>
          <w:rFonts w:ascii="Times New Roman" w:cs="Times New Roman" w:eastAsia="Times New Roman" w:hAnsi="Times New Roman"/>
          <w:sz w:val="20"/>
          <w:szCs w:val="20"/>
          <w:color w:val="auto"/>
        </w:rPr>
        <w:t>Dated: November 4, 2025</w:t>
      </w:r>
      <w:r>
        <w:rPr>
          <w:sz w:val="20"/>
          <w:szCs w:val="20"/>
          <w:color w:val="auto"/>
        </w:rPr>
        <w:tab/>
      </w:r>
      <w:r>
        <w:rPr>
          <w:rFonts w:ascii="Times New Roman" w:cs="Times New Roman" w:eastAsia="Times New Roman" w:hAnsi="Times New Roman"/>
          <w:sz w:val="19"/>
          <w:szCs w:val="19"/>
          <w:u w:val="single" w:color="auto"/>
          <w:color w:val="auto"/>
        </w:rPr>
        <w:t>/s/ Barbara Weber, M.D.</w:t>
      </w:r>
    </w:p>
    <w:p>
      <w:pPr>
        <w:spacing w:after="0" w:line="13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0"/>
          <w:szCs w:val="20"/>
          <w:color w:val="auto"/>
        </w:rPr>
        <w:t>Barbara Weber, M.D.</w:t>
      </w:r>
    </w:p>
    <w:p>
      <w:pPr>
        <w:spacing w:after="0" w:line="2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0"/>
          <w:szCs w:val="20"/>
          <w:color w:val="auto"/>
        </w:rPr>
        <w:t>Chief Executive Officer</w:t>
      </w:r>
    </w:p>
    <w:p>
      <w:pPr>
        <w:ind w:left="182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1110615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5" w:name="page46"/>
    <w:bookmarkEnd w:id="45"/>
    <w:p>
      <w:pPr>
        <w:ind w:left="10260"/>
        <w:spacing w:after="0"/>
        <w:rPr>
          <w:sz w:val="20"/>
          <w:szCs w:val="20"/>
          <w:color w:val="auto"/>
        </w:rPr>
      </w:pPr>
      <w:r>
        <w:rPr>
          <w:rFonts w:ascii="Times New Roman" w:cs="Times New Roman" w:eastAsia="Times New Roman" w:hAnsi="Times New Roman"/>
          <w:sz w:val="19"/>
          <w:szCs w:val="19"/>
          <w:color w:val="auto"/>
        </w:rPr>
        <w:t>Exhibit 31.2</w:t>
      </w:r>
    </w:p>
    <w:p>
      <w:pPr>
        <w:spacing w:after="0" w:line="237" w:lineRule="exact"/>
        <w:rPr>
          <w:sz w:val="20"/>
          <w:szCs w:val="20"/>
          <w:color w:val="auto"/>
        </w:rPr>
      </w:pPr>
    </w:p>
    <w:p>
      <w:pPr>
        <w:jc w:val="center"/>
        <w:ind w:right="40"/>
        <w:spacing w:after="0" w:line="273" w:lineRule="auto"/>
        <w:rPr>
          <w:sz w:val="20"/>
          <w:szCs w:val="20"/>
          <w:color w:val="auto"/>
        </w:rPr>
      </w:pPr>
      <w:r>
        <w:rPr>
          <w:rFonts w:ascii="Times New Roman" w:cs="Times New Roman" w:eastAsia="Times New Roman" w:hAnsi="Times New Roman"/>
          <w:sz w:val="20"/>
          <w:szCs w:val="20"/>
          <w:b w:val="1"/>
          <w:bCs w:val="1"/>
          <w:color w:val="auto"/>
        </w:rPr>
        <w:t>CERTIFICATION OF PRINCIPAL FINANCIAL OFFICER PURSUANT TO RULE 13a-14(a) / RULE 15d-14(a) OF THE SECURITIES EXCHANGE ACT OF 1934, AS AMENDED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Daniella Beckman, certify that:</w:t>
      </w:r>
    </w:p>
    <w:p>
      <w:pPr>
        <w:spacing w:after="0" w:line="229" w:lineRule="exact"/>
        <w:rPr>
          <w:sz w:val="20"/>
          <w:szCs w:val="20"/>
          <w:color w:val="auto"/>
        </w:rPr>
      </w:pPr>
    </w:p>
    <w:p>
      <w:pPr>
        <w:ind w:left="380" w:hanging="372"/>
        <w:spacing w:after="0"/>
        <w:tabs>
          <w:tab w:leader="none" w:pos="3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Tango Therapeutics, Inc.;</w:t>
      </w:r>
    </w:p>
    <w:p>
      <w:pPr>
        <w:spacing w:after="0" w:line="215" w:lineRule="exact"/>
        <w:rPr>
          <w:rFonts w:ascii="Times New Roman" w:cs="Times New Roman" w:eastAsia="Times New Roman" w:hAnsi="Times New Roman"/>
          <w:sz w:val="20"/>
          <w:szCs w:val="20"/>
          <w:color w:val="auto"/>
        </w:rPr>
      </w:pPr>
    </w:p>
    <w:p>
      <w:pPr>
        <w:jc w:val="both"/>
        <w:ind w:left="380" w:hanging="372"/>
        <w:spacing w:after="0" w:line="254" w:lineRule="auto"/>
        <w:tabs>
          <w:tab w:leader="none" w:pos="3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Times New Roman" w:cs="Times New Roman" w:eastAsia="Times New Roman" w:hAnsi="Times New Roman"/>
          <w:sz w:val="20"/>
          <w:szCs w:val="20"/>
          <w:color w:val="auto"/>
        </w:rPr>
      </w:pPr>
    </w:p>
    <w:p>
      <w:pPr>
        <w:ind w:left="380" w:hanging="372"/>
        <w:spacing w:after="0" w:line="269" w:lineRule="auto"/>
        <w:tabs>
          <w:tab w:leader="none" w:pos="3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Times New Roman" w:cs="Times New Roman" w:eastAsia="Times New Roman" w:hAnsi="Times New Roman"/>
          <w:sz w:val="20"/>
          <w:szCs w:val="20"/>
          <w:color w:val="auto"/>
        </w:rPr>
      </w:pPr>
    </w:p>
    <w:p>
      <w:pPr>
        <w:jc w:val="both"/>
        <w:ind w:left="380" w:hanging="372"/>
        <w:spacing w:after="0" w:line="264" w:lineRule="auto"/>
        <w:tabs>
          <w:tab w:leader="none" w:pos="38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spacing w:after="0" w:line="207" w:lineRule="exact"/>
        <w:rPr>
          <w:rFonts w:ascii="Times New Roman" w:cs="Times New Roman" w:eastAsia="Times New Roman" w:hAnsi="Times New Roman"/>
          <w:sz w:val="19"/>
          <w:szCs w:val="19"/>
          <w:color w:val="auto"/>
        </w:rPr>
      </w:pPr>
    </w:p>
    <w:p>
      <w:pPr>
        <w:jc w:val="both"/>
        <w:ind w:left="1020" w:hanging="368"/>
        <w:spacing w:after="0" w:line="254" w:lineRule="auto"/>
        <w:tabs>
          <w:tab w:leader="none" w:pos="102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6" w:name="page47"/>
    <w:bookmarkEnd w:id="46"/>
    <w:p>
      <w:pPr>
        <w:jc w:val="both"/>
        <w:ind w:left="380" w:hanging="372"/>
        <w:spacing w:after="0" w:line="254" w:lineRule="auto"/>
        <w:tabs>
          <w:tab w:leader="none" w:pos="3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Times New Roman" w:cs="Times New Roman" w:eastAsia="Times New Roman" w:hAnsi="Times New Roman"/>
          <w:sz w:val="20"/>
          <w:szCs w:val="20"/>
          <w:color w:val="auto"/>
        </w:rPr>
      </w:pPr>
    </w:p>
    <w:p>
      <w:pPr>
        <w:ind w:left="1020" w:right="20" w:hanging="368"/>
        <w:spacing w:after="0" w:line="269" w:lineRule="auto"/>
        <w:tabs>
          <w:tab w:leader="none" w:pos="102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spacing w:after="0"/>
        <w:tabs>
          <w:tab w:leader="none" w:pos="3540" w:val="left"/>
        </w:tabs>
        <w:rPr>
          <w:sz w:val="20"/>
          <w:szCs w:val="20"/>
          <w:color w:val="auto"/>
        </w:rPr>
      </w:pPr>
      <w:r>
        <w:rPr>
          <w:rFonts w:ascii="Times New Roman" w:cs="Times New Roman" w:eastAsia="Times New Roman" w:hAnsi="Times New Roman"/>
          <w:sz w:val="20"/>
          <w:szCs w:val="20"/>
          <w:color w:val="auto"/>
        </w:rPr>
        <w:t>Dated: November 4, 2025</w:t>
      </w:r>
      <w:r>
        <w:rPr>
          <w:sz w:val="20"/>
          <w:szCs w:val="20"/>
          <w:color w:val="auto"/>
        </w:rPr>
        <w:tab/>
      </w:r>
      <w:r>
        <w:rPr>
          <w:rFonts w:ascii="Times New Roman" w:cs="Times New Roman" w:eastAsia="Times New Roman" w:hAnsi="Times New Roman"/>
          <w:sz w:val="19"/>
          <w:szCs w:val="19"/>
          <w:u w:val="single" w:color="auto"/>
          <w:color w:val="auto"/>
        </w:rPr>
        <w:t>/s/ Daniella Beckman</w:t>
      </w:r>
    </w:p>
    <w:p>
      <w:pPr>
        <w:spacing w:after="0" w:line="13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color w:val="auto"/>
        </w:rPr>
        <w:t>Daniella Beckman</w:t>
      </w:r>
    </w:p>
    <w:p>
      <w:pPr>
        <w:spacing w:after="0" w:line="2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color w:val="auto"/>
        </w:rPr>
        <w:t>Chief Financial Officer</w:t>
      </w:r>
    </w:p>
    <w:p>
      <w:pPr>
        <w:ind w:left="2900"/>
        <w:spacing w:after="0"/>
        <w:rPr>
          <w:sz w:val="20"/>
          <w:szCs w:val="20"/>
          <w:color w:val="auto"/>
        </w:rPr>
      </w:pPr>
      <w:r>
        <w:rPr>
          <w:rFonts w:ascii="Times New Roman" w:cs="Times New Roman" w:eastAsia="Times New Roman" w:hAnsi="Times New Roman"/>
          <w:sz w:val="20"/>
          <w:szCs w:val="20"/>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0"/>
          <w:szCs w:val="20"/>
          <w:color w:val="auto"/>
        </w:rPr>
        <w:t>Exhibit 32.1</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07" w:lineRule="exact"/>
        <w:rPr>
          <w:sz w:val="20"/>
          <w:szCs w:val="20"/>
          <w:color w:val="auto"/>
        </w:rPr>
      </w:pPr>
    </w:p>
    <w:p>
      <w:pPr>
        <w:ind w:right="120" w:firstLine="749"/>
        <w:spacing w:after="0" w:line="249" w:lineRule="auto"/>
        <w:rPr>
          <w:sz w:val="20"/>
          <w:szCs w:val="20"/>
          <w:color w:val="auto"/>
        </w:rPr>
      </w:pPr>
      <w:r>
        <w:rPr>
          <w:rFonts w:ascii="Times New Roman" w:cs="Times New Roman" w:eastAsia="Times New Roman" w:hAnsi="Times New Roman"/>
          <w:sz w:val="20"/>
          <w:szCs w:val="20"/>
          <w:color w:val="auto"/>
        </w:rPr>
        <w:t>In connection with the Quarterly Report on Form 10-Q of Tango Therapeutics, Inc. (the “Company”) for the fiscal quarter ended September 30, 2025 as filed with the Securities and Exchange Commission (the “Report”), I, Barbara Weber, M.D., Chief Executive Officer of the Company, certify, pursuant to 18 U.S.C. § 1350, as adopted pursuant to § 906 of the Sarbanes-Oxley Act of 2002, to my knowledge, that:</w:t>
      </w:r>
    </w:p>
    <w:p>
      <w:pPr>
        <w:spacing w:after="0" w:line="193" w:lineRule="exact"/>
        <w:rPr>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15" w:lineRule="exact"/>
        <w:rPr>
          <w:rFonts w:ascii="Times New Roman" w:cs="Times New Roman" w:eastAsia="Times New Roman" w:hAnsi="Times New Roman"/>
          <w:sz w:val="20"/>
          <w:szCs w:val="20"/>
          <w:color w:val="auto"/>
        </w:rPr>
      </w:pPr>
    </w:p>
    <w:p>
      <w:pPr>
        <w:ind w:left="760" w:right="220" w:hanging="378"/>
        <w:spacing w:after="0" w:line="269" w:lineRule="auto"/>
        <w:tabs>
          <w:tab w:leader="none" w:pos="7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73" w:lineRule="exact"/>
        <w:rPr>
          <w:sz w:val="20"/>
          <w:szCs w:val="20"/>
          <w:color w:val="auto"/>
        </w:rPr>
      </w:pPr>
    </w:p>
    <w:p>
      <w:pPr>
        <w:spacing w:after="0"/>
        <w:tabs>
          <w:tab w:leader="none" w:pos="3400" w:val="left"/>
        </w:tabs>
        <w:rPr>
          <w:sz w:val="20"/>
          <w:szCs w:val="20"/>
          <w:color w:val="auto"/>
        </w:rPr>
      </w:pPr>
      <w:r>
        <w:rPr>
          <w:rFonts w:ascii="Times New Roman" w:cs="Times New Roman" w:eastAsia="Times New Roman" w:hAnsi="Times New Roman"/>
          <w:sz w:val="20"/>
          <w:szCs w:val="20"/>
          <w:color w:val="auto"/>
        </w:rPr>
        <w:t>Dated:  November 4, 2025</w:t>
      </w:r>
      <w:r>
        <w:rPr>
          <w:sz w:val="20"/>
          <w:szCs w:val="20"/>
          <w:color w:val="auto"/>
        </w:rPr>
        <w:tab/>
      </w:r>
      <w:r>
        <w:rPr>
          <w:rFonts w:ascii="Times New Roman" w:cs="Times New Roman" w:eastAsia="Times New Roman" w:hAnsi="Times New Roman"/>
          <w:sz w:val="19"/>
          <w:szCs w:val="19"/>
          <w:u w:val="single" w:color="auto"/>
          <w:color w:val="auto"/>
        </w:rPr>
        <w:t>/s/ Barbara Weber, M.D.</w:t>
      </w:r>
    </w:p>
    <w:p>
      <w:pPr>
        <w:spacing w:after="0" w:line="10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Barbara Weber, M.D.</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Chief Executive Officer</w:t>
      </w:r>
    </w:p>
    <w:p>
      <w:pPr>
        <w:ind w:left="150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00" w:lineRule="exact"/>
        <w:rPr>
          <w:sz w:val="20"/>
          <w:szCs w:val="20"/>
          <w:color w:val="auto"/>
        </w:rPr>
      </w:pPr>
    </w:p>
    <w:p>
      <w:pPr>
        <w:spacing w:after="0" w:line="237"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1089025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0"/>
          <w:szCs w:val="20"/>
          <w:color w:val="auto"/>
        </w:rPr>
        <w:t>Exhibit 32.2</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07" w:lineRule="exact"/>
        <w:rPr>
          <w:sz w:val="20"/>
          <w:szCs w:val="20"/>
          <w:color w:val="auto"/>
        </w:rPr>
      </w:pPr>
    </w:p>
    <w:p>
      <w:pPr>
        <w:ind w:right="40" w:firstLine="749"/>
        <w:spacing w:after="0" w:line="274" w:lineRule="auto"/>
        <w:rPr>
          <w:sz w:val="20"/>
          <w:szCs w:val="20"/>
          <w:color w:val="auto"/>
        </w:rPr>
      </w:pPr>
      <w:r>
        <w:rPr>
          <w:rFonts w:ascii="Times New Roman" w:cs="Times New Roman" w:eastAsia="Times New Roman" w:hAnsi="Times New Roman"/>
          <w:sz w:val="19"/>
          <w:szCs w:val="19"/>
          <w:color w:val="auto"/>
        </w:rPr>
        <w:t>In connection with the Quarterly Report on Form 10-Q of Tango Therapeutics, Inc. (the “Company”) for the fiscal quarter ended September 30, 2025 as filed with the Securities and Exchange Commission (the “Report”), I, Daniella Beckman, Chief Financial Officer of the Company, certify, pursuant to 18 U.S.C. § 1350, as adopted pursuant to § 906 of the Sarbanes-Oxley Act of 2002, to my knowledge, that:</w:t>
      </w:r>
    </w:p>
    <w:p>
      <w:pPr>
        <w:spacing w:after="0" w:line="170" w:lineRule="exact"/>
        <w:rPr>
          <w:sz w:val="20"/>
          <w:szCs w:val="20"/>
          <w:color w:val="auto"/>
        </w:rPr>
      </w:pPr>
    </w:p>
    <w:p>
      <w:pPr>
        <w:ind w:left="760" w:hanging="378"/>
        <w:spacing w:after="0"/>
        <w:tabs>
          <w:tab w:leader="none" w:pos="7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15" w:lineRule="exact"/>
        <w:rPr>
          <w:rFonts w:ascii="Times New Roman" w:cs="Times New Roman" w:eastAsia="Times New Roman" w:hAnsi="Times New Roman"/>
          <w:sz w:val="20"/>
          <w:szCs w:val="20"/>
          <w:color w:val="auto"/>
        </w:rPr>
      </w:pPr>
    </w:p>
    <w:p>
      <w:pPr>
        <w:ind w:left="760" w:right="220" w:hanging="378"/>
        <w:spacing w:after="0" w:line="269" w:lineRule="auto"/>
        <w:tabs>
          <w:tab w:leader="none" w:pos="7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73" w:lineRule="exact"/>
        <w:rPr>
          <w:sz w:val="20"/>
          <w:szCs w:val="20"/>
          <w:color w:val="auto"/>
        </w:rPr>
      </w:pPr>
    </w:p>
    <w:p>
      <w:pPr>
        <w:spacing w:after="0"/>
        <w:tabs>
          <w:tab w:leader="none" w:pos="3400" w:val="left"/>
        </w:tabs>
        <w:rPr>
          <w:sz w:val="20"/>
          <w:szCs w:val="20"/>
          <w:color w:val="auto"/>
        </w:rPr>
      </w:pPr>
      <w:r>
        <w:rPr>
          <w:rFonts w:ascii="Times New Roman" w:cs="Times New Roman" w:eastAsia="Times New Roman" w:hAnsi="Times New Roman"/>
          <w:sz w:val="20"/>
          <w:szCs w:val="20"/>
          <w:color w:val="auto"/>
        </w:rPr>
        <w:t>Dated:  November 4, 2025</w:t>
      </w:r>
      <w:r>
        <w:rPr>
          <w:sz w:val="20"/>
          <w:szCs w:val="20"/>
          <w:color w:val="auto"/>
        </w:rPr>
        <w:tab/>
      </w:r>
      <w:r>
        <w:rPr>
          <w:rFonts w:ascii="Times New Roman" w:cs="Times New Roman" w:eastAsia="Times New Roman" w:hAnsi="Times New Roman"/>
          <w:sz w:val="19"/>
          <w:szCs w:val="19"/>
          <w:u w:val="single" w:color="auto"/>
          <w:color w:val="auto"/>
        </w:rPr>
        <w:t>/s/ Daniella Beckman</w:t>
      </w:r>
    </w:p>
    <w:p>
      <w:pPr>
        <w:spacing w:after="0" w:line="10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Daniella Beckman</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Chief Financial Officer</w:t>
      </w:r>
    </w:p>
    <w:p>
      <w:pPr>
        <w:ind w:left="1500"/>
        <w:spacing w:after="0"/>
        <w:rPr>
          <w:sz w:val="20"/>
          <w:szCs w:val="20"/>
          <w:color w:val="auto"/>
        </w:rPr>
      </w:pPr>
      <w:r>
        <w:rPr>
          <w:rFonts w:ascii="Times New Roman" w:cs="Times New Roman" w:eastAsia="Times New Roman" w:hAnsi="Times New Roman"/>
          <w:sz w:val="20"/>
          <w:szCs w:val="20"/>
          <w:color w:val="auto"/>
        </w:rPr>
        <w:t>(Principal Financial Officer)</w:t>
      </w:r>
    </w:p>
    <w:p>
      <w:pPr>
        <w:spacing w:after="0" w:line="200" w:lineRule="exact"/>
        <w:rPr>
          <w:sz w:val="20"/>
          <w:szCs w:val="20"/>
          <w:color w:val="auto"/>
        </w:rPr>
      </w:pPr>
    </w:p>
    <w:p>
      <w:pPr>
        <w:spacing w:after="0" w:line="237"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1089025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9" w:name="page50"/>
    <w:bookmarkEnd w:id="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lvl w:ilvl="1">
      <w:lvlJc w:val="left"/>
      <w:lvlText w:val="•"/>
      <w:numFmt w:val="bullet"/>
      <w:start w:val="1"/>
    </w:lvl>
  </w:abstractNum>
  <w:abstractNum w:abstractNumId="3">
    <w:nsid w:val="436C6125"/>
    <w:multiLevelType w:val="hybridMultilevel"/>
    <w:lvl w:ilvl="0">
      <w:lvlJc w:val="left"/>
      <w:lvlText w:val="•"/>
      <w:numFmt w:val="bullet"/>
      <w:start w:val="1"/>
    </w:lvl>
    <w:lvl w:ilvl="1">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1."/>
      <w:numFmt w:val="lowerRoman"/>
      <w:start w:val="1"/>
    </w:lvl>
  </w:abstractNum>
  <w:abstractNum w:abstractNumId="8">
    <w:nsid w:val="2D1D5AE9"/>
    <w:multiLevelType w:val="hybridMultilevel"/>
    <w:lvl w:ilvl="0">
      <w:lvlJc w:val="left"/>
      <w:lvlText w:val="%1."/>
      <w:numFmt w:val="lowerRoman"/>
      <w:start w:val="8"/>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2"/>
    </w:lvl>
  </w:abstractNum>
  <w:abstractNum w:abstractNumId="11">
    <w:nsid w:val="8EDBDAB"/>
    <w:multiLevelType w:val="hybridMultilevel"/>
    <w:lvl w:ilvl="0">
      <w:lvlJc w:val="left"/>
      <w:lvlText w:val="%1."/>
      <w:numFmt w:val="decimal"/>
      <w:start w:val="3"/>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1."/>
      <w:numFmt w:val="decimal"/>
      <w:start w:val="4"/>
    </w:lvl>
  </w:abstractNum>
  <w:abstractNum w:abstractNumId="15">
    <w:nsid w:val="189A769B"/>
    <w:multiLevelType w:val="hybridMultilevel"/>
    <w:lvl w:ilvl="0">
      <w:lvlJc w:val="left"/>
      <w:lvlText w:val="%1."/>
      <w:numFmt w:val="decimal"/>
      <w:start w:val="5"/>
    </w:lvl>
  </w:abstractNum>
  <w:abstractNum w:abstractNumId="16">
    <w:nsid w:val="54E49EB4"/>
    <w:multiLevelType w:val="hybridMultilevel"/>
    <w:lvl w:ilvl="0">
      <w:lvlJc w:val="left"/>
      <w:lvlText w:val="%1."/>
      <w:numFmt w:val="decimal"/>
      <w:start w:val="6"/>
    </w:lvl>
  </w:abstractNum>
  <w:abstractNum w:abstractNumId="17">
    <w:nsid w:val="71F32454"/>
    <w:multiLevelType w:val="hybridMultilevel"/>
    <w:lvl w:ilvl="0">
      <w:lvlJc w:val="left"/>
      <w:lvlText w:val="%1."/>
      <w:numFmt w:val="decimal"/>
      <w:start w:val="7"/>
    </w:lvl>
  </w:abstractNum>
  <w:abstractNum w:abstractNumId="18">
    <w:nsid w:val="2CA88611"/>
    <w:multiLevelType w:val="hybridMultilevel"/>
    <w:lvl w:ilvl="0">
      <w:lvlJc w:val="left"/>
      <w:lvlText w:val="%1."/>
      <w:numFmt w:val="decimal"/>
      <w:start w:val="8"/>
    </w:lvl>
  </w:abstractNum>
  <w:abstractNum w:abstractNumId="19">
    <w:nsid w:val="836C40E"/>
    <w:multiLevelType w:val="hybridMultilevel"/>
    <w:lvl w:ilvl="0">
      <w:lvlJc w:val="left"/>
      <w:lvlText w:val="%1."/>
      <w:numFmt w:val="decimal"/>
      <w:start w:val="9"/>
    </w:lvl>
  </w:abstractNum>
  <w:abstractNum w:abstractNumId="20">
    <w:nsid w:val="2901D82"/>
    <w:multiLevelType w:val="hybridMultilevel"/>
    <w:lvl w:ilvl="0">
      <w:lvlJc w:val="left"/>
      <w:lvlText w:val="%1."/>
      <w:numFmt w:val="decimal"/>
      <w:start w:val="10"/>
    </w:lvl>
  </w:abstractNum>
  <w:abstractNum w:abstractNumId="21">
    <w:nsid w:val="3A95F874"/>
    <w:multiLevelType w:val="hybridMultilevel"/>
    <w:lvl w:ilvl="0">
      <w:lvlJc w:val="left"/>
      <w:lvlText w:val="%1."/>
      <w:numFmt w:val="decimal"/>
      <w:start w:val="11"/>
    </w:lvl>
  </w:abstractNum>
  <w:abstractNum w:abstractNumId="22">
    <w:nsid w:val="8138641"/>
    <w:multiLevelType w:val="hybridMultilevel"/>
    <w:lvl w:ilvl="0">
      <w:lvlJc w:val="left"/>
      <w:lvlText w:val="%1."/>
      <w:numFmt w:val="decimal"/>
      <w:start w:val="12"/>
    </w:lvl>
  </w:abstractNum>
  <w:abstractNum w:abstractNumId="23">
    <w:nsid w:val="1E7FF521"/>
    <w:multiLevelType w:val="hybridMultilevel"/>
    <w:lvl w:ilvl="0">
      <w:lvlJc w:val="left"/>
      <w:lvlText w:val="(%1)"/>
      <w:numFmt w:val="lowerLetter"/>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1)"/>
      <w:numFmt w:val="lowerRoman"/>
      <w:start w:val="3"/>
    </w:lvl>
  </w:abstractNum>
  <w:abstractNum w:abstractNumId="27">
    <w:nsid w:val="22221A70"/>
    <w:multiLevelType w:val="hybridMultilevel"/>
    <w:lvl w:ilvl="0">
      <w:lvlJc w:val="left"/>
      <w:lvlText w:val="(%1)"/>
      <w:numFmt w:val="lowerLetter"/>
      <w:start w:val="4"/>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decimal"/>
      <w:start w:val="1"/>
    </w:lvl>
    <w:lvl w:ilvl="1">
      <w:lvlJc w:val="left"/>
      <w:lvlText w:val="(%2)"/>
      <w:numFmt w:val="lowerLetter"/>
      <w:start w:val="1"/>
    </w:lvl>
  </w:abstractNum>
  <w:abstractNum w:abstractNumId="32">
    <w:nsid w:val="5577F8E1"/>
    <w:multiLevelType w:val="hybridMultilevel"/>
    <w:lvl w:ilvl="0">
      <w:lvlJc w:val="left"/>
      <w:lvlText w:val="%1."/>
      <w:numFmt w:val="decimal"/>
      <w:start w:val="5"/>
    </w:lvl>
    <w:lvl w:ilvl="1">
      <w:lvlJc w:val="left"/>
      <w:lvlText w:val="(%2)"/>
      <w:numFmt w:val="lowerLetter"/>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5"/>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282" Type="http://schemas.openxmlformats.org/officeDocument/2006/relationships/image" Target="media/image272.png"/><Relationship Id="rId269" Type="http://schemas.openxmlformats.org/officeDocument/2006/relationships/hyperlink" Target="https://www.sec.gov/Archives/edgar/data/1819133/000095017024092274/tngx-ex3_1.htm" TargetMode="External"/><Relationship Id="rId270" Type="http://schemas.openxmlformats.org/officeDocument/2006/relationships/hyperlink" Target="https://www.sec.gov/Archives/edgar/data/1819133/000119312521298942/d211731dex42.htm" TargetMode="External"/><Relationship Id="rId271" Type="http://schemas.openxmlformats.org/officeDocument/2006/relationships/hyperlink" Target="https://www.sec.gov/Archives/edgar/data/1819133/000119312525137032/d926935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2025-11-04T08:16:46Z</dcterms:created>
  <dcterms:modified xsi:type="dcterms:W3CDTF">2025-11-04T08:16:46Z</dcterms:modified>
</cp:coreProperties>
</file>