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6"/>
              </w:rPr>
              <w:t>Form 8-K</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2"/>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4"/>
              </w:rPr>
              <w:t>Current Report</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9"/>
              </w:rPr>
              <w:t>Pursuant to Section 13 or 15(d) of the</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8"/>
              </w:rPr>
              <w:t>Securities Exchange Act of 1934</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0"/>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3"/>
              </w:rPr>
              <w:t>April 13, 2021</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color w:val="auto"/>
                <w:w w:val="90"/>
              </w:rPr>
              <w:t>Date of Report (Date of earliest event reported)</w:t>
            </w: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6"/>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2"/>
              </w:rPr>
              <w:t>BCTG Acquisition Corp.</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40" w:type="dxa"/>
            <w:vAlign w:val="bottom"/>
            <w:gridSpan w:val="5"/>
          </w:tcPr>
          <w:p>
            <w:pPr>
              <w:jc w:val="center"/>
              <w:ind w:right="60"/>
              <w:spacing w:after="0"/>
              <w:rPr>
                <w:sz w:val="20"/>
                <w:szCs w:val="20"/>
                <w:color w:val="auto"/>
              </w:rPr>
            </w:pPr>
            <w:r>
              <w:rPr>
                <w:rFonts w:ascii="Arial" w:cs="Arial" w:eastAsia="Arial" w:hAnsi="Arial"/>
                <w:sz w:val="16"/>
                <w:szCs w:val="16"/>
                <w:color w:val="auto"/>
                <w:w w:val="90"/>
              </w:rPr>
              <w:t>(Exact Name of Registrant as Specified in its Charter)</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38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Delaware</w:t>
            </w:r>
          </w:p>
        </w:tc>
        <w:tc>
          <w:tcPr>
            <w:tcW w:w="2600" w:type="dxa"/>
            <w:vAlign w:val="bottom"/>
            <w:gridSpan w:val="4"/>
          </w:tcPr>
          <w:p>
            <w:pPr>
              <w:jc w:val="center"/>
              <w:ind w:left="840"/>
              <w:spacing w:after="0"/>
              <w:rPr>
                <w:sz w:val="20"/>
                <w:szCs w:val="20"/>
                <w:color w:val="auto"/>
              </w:rPr>
            </w:pPr>
            <w:r>
              <w:rPr>
                <w:rFonts w:ascii="Arial" w:cs="Arial" w:eastAsia="Arial" w:hAnsi="Arial"/>
                <w:sz w:val="16"/>
                <w:szCs w:val="16"/>
                <w:b w:val="1"/>
                <w:bCs w:val="1"/>
                <w:color w:val="auto"/>
                <w:w w:val="88"/>
              </w:rPr>
              <w:t>001-39485</w:t>
            </w:r>
          </w:p>
        </w:tc>
        <w:tc>
          <w:tcPr>
            <w:tcW w:w="940" w:type="dxa"/>
            <w:vAlign w:val="bottom"/>
          </w:tcPr>
          <w:p>
            <w:pPr>
              <w:spacing w:after="0"/>
              <w:rPr>
                <w:sz w:val="24"/>
                <w:szCs w:val="24"/>
                <w:color w:val="auto"/>
              </w:rPr>
            </w:pPr>
          </w:p>
        </w:tc>
        <w:tc>
          <w:tcPr>
            <w:tcW w:w="3820" w:type="dxa"/>
            <w:vAlign w:val="bottom"/>
            <w:gridSpan w:val="2"/>
          </w:tcPr>
          <w:p>
            <w:pPr>
              <w:jc w:val="center"/>
              <w:ind w:left="180"/>
              <w:spacing w:after="0"/>
              <w:rPr>
                <w:sz w:val="20"/>
                <w:szCs w:val="20"/>
                <w:color w:val="auto"/>
              </w:rPr>
            </w:pPr>
            <w:r>
              <w:rPr>
                <w:rFonts w:ascii="Arial" w:cs="Arial" w:eastAsia="Arial" w:hAnsi="Arial"/>
                <w:sz w:val="16"/>
                <w:szCs w:val="16"/>
                <w:b w:val="1"/>
                <w:bCs w:val="1"/>
                <w:color w:val="auto"/>
                <w:w w:val="88"/>
              </w:rPr>
              <w:t>85-1195036</w:t>
            </w:r>
          </w:p>
        </w:tc>
        <w:tc>
          <w:tcPr>
            <w:tcW w:w="20" w:type="dxa"/>
            <w:vAlign w:val="bottom"/>
          </w:tcPr>
          <w:p>
            <w:pPr>
              <w:spacing w:after="0"/>
              <w:rPr>
                <w:sz w:val="24"/>
                <w:szCs w:val="24"/>
                <w:color w:val="auto"/>
              </w:rPr>
            </w:pPr>
          </w:p>
        </w:tc>
      </w:tr>
      <w:tr>
        <w:trPr>
          <w:trHeight w:val="191"/>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(State or other jurisdiction</w:t>
            </w:r>
          </w:p>
        </w:tc>
        <w:tc>
          <w:tcPr>
            <w:tcW w:w="2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6"/>
                <w:szCs w:val="16"/>
                <w:color w:val="auto"/>
                <w:w w:val="92"/>
              </w:rPr>
              <w:t>(Commission File Number)</w:t>
            </w:r>
          </w:p>
        </w:tc>
        <w:tc>
          <w:tcPr>
            <w:tcW w:w="2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(I.R.S. Employer</w:t>
            </w:r>
          </w:p>
        </w:tc>
        <w:tc>
          <w:tcPr>
            <w:tcW w:w="20" w:type="dxa"/>
            <w:vAlign w:val="bottom"/>
          </w:tcPr>
          <w:p>
            <w:pPr>
              <w:spacing w:after="0"/>
              <w:rPr>
                <w:sz w:val="16"/>
                <w:szCs w:val="16"/>
                <w:color w:val="auto"/>
              </w:rPr>
            </w:pPr>
          </w:p>
        </w:tc>
      </w:tr>
      <w:tr>
        <w:trPr>
          <w:trHeight w:val="204"/>
        </w:trPr>
        <w:tc>
          <w:tcPr>
            <w:tcW w:w="3880" w:type="dxa"/>
            <w:vAlign w:val="bottom"/>
            <w:gridSpan w:val="3"/>
          </w:tcPr>
          <w:p>
            <w:pPr>
              <w:jc w:val="center"/>
              <w:ind w:right="280"/>
              <w:spacing w:after="0"/>
              <w:rPr>
                <w:sz w:val="20"/>
                <w:szCs w:val="20"/>
                <w:color w:val="auto"/>
              </w:rPr>
            </w:pPr>
            <w:r>
              <w:rPr>
                <w:rFonts w:ascii="Arial" w:cs="Arial" w:eastAsia="Arial" w:hAnsi="Arial"/>
                <w:sz w:val="16"/>
                <w:szCs w:val="16"/>
                <w:color w:val="auto"/>
                <w:w w:val="93"/>
              </w:rPr>
              <w:t>of incorporation)</w:t>
            </w: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Identification No.)</w:t>
            </w:r>
          </w:p>
        </w:tc>
        <w:tc>
          <w:tcPr>
            <w:tcW w:w="20" w:type="dxa"/>
            <w:vAlign w:val="bottom"/>
          </w:tcPr>
          <w:p>
            <w:pPr>
              <w:spacing w:after="0"/>
              <w:rPr>
                <w:sz w:val="17"/>
                <w:szCs w:val="17"/>
                <w:color w:val="auto"/>
              </w:rPr>
            </w:pPr>
          </w:p>
        </w:tc>
      </w:tr>
      <w:tr>
        <w:trPr>
          <w:trHeight w:val="378"/>
        </w:trPr>
        <w:tc>
          <w:tcPr>
            <w:tcW w:w="3880" w:type="dxa"/>
            <w:vAlign w:val="bottom"/>
            <w:gridSpan w:val="3"/>
          </w:tcPr>
          <w:p>
            <w:pPr>
              <w:jc w:val="center"/>
              <w:ind w:left="1540"/>
              <w:spacing w:after="0"/>
              <w:rPr>
                <w:sz w:val="20"/>
                <w:szCs w:val="20"/>
                <w:color w:val="auto"/>
              </w:rPr>
            </w:pPr>
            <w:r>
              <w:rPr>
                <w:rFonts w:ascii="Arial" w:cs="Arial" w:eastAsia="Arial" w:hAnsi="Arial"/>
                <w:sz w:val="16"/>
                <w:szCs w:val="16"/>
                <w:b w:val="1"/>
                <w:bCs w:val="1"/>
                <w:color w:val="auto"/>
                <w:w w:val="90"/>
              </w:rPr>
              <w:t>12860 El Camino Real, Suite 300</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3880" w:type="dxa"/>
            <w:vAlign w:val="bottom"/>
            <w:tcBorders>
              <w:bottom w:val="single" w:sz="8" w:color="auto"/>
            </w:tcBorders>
            <w:gridSpan w:val="3"/>
          </w:tcPr>
          <w:p>
            <w:pPr>
              <w:jc w:val="center"/>
              <w:ind w:left="1560"/>
              <w:spacing w:after="0"/>
              <w:rPr>
                <w:sz w:val="20"/>
                <w:szCs w:val="20"/>
                <w:color w:val="auto"/>
              </w:rPr>
            </w:pPr>
            <w:r>
              <w:rPr>
                <w:rFonts w:ascii="Arial" w:cs="Arial" w:eastAsia="Arial" w:hAnsi="Arial"/>
                <w:sz w:val="16"/>
                <w:szCs w:val="16"/>
                <w:b w:val="1"/>
                <w:bCs w:val="1"/>
                <w:color w:val="auto"/>
                <w:w w:val="90"/>
              </w:rPr>
              <w:t>San Diego, CA</w:t>
            </w:r>
          </w:p>
        </w:tc>
        <w:tc>
          <w:tcPr>
            <w:tcW w:w="9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60"/>
              <w:spacing w:after="0"/>
              <w:rPr>
                <w:sz w:val="20"/>
                <w:szCs w:val="20"/>
                <w:color w:val="auto"/>
              </w:rPr>
            </w:pPr>
            <w:r>
              <w:rPr>
                <w:rFonts w:ascii="Arial" w:cs="Arial" w:eastAsia="Arial" w:hAnsi="Arial"/>
                <w:sz w:val="16"/>
                <w:szCs w:val="16"/>
                <w:b w:val="1"/>
                <w:bCs w:val="1"/>
                <w:color w:val="auto"/>
              </w:rPr>
              <w:t>92130</w:t>
            </w:r>
          </w:p>
        </w:tc>
        <w:tc>
          <w:tcPr>
            <w:tcW w:w="20" w:type="dxa"/>
            <w:vAlign w:val="bottom"/>
            <w:tcBorders>
              <w:bottom w:val="single" w:sz="8" w:color="auto"/>
            </w:tcBorders>
          </w:tcPr>
          <w:p>
            <w:pPr>
              <w:spacing w:after="0"/>
              <w:rPr>
                <w:sz w:val="18"/>
                <w:szCs w:val="18"/>
                <w:color w:val="auto"/>
              </w:rPr>
            </w:pPr>
          </w:p>
        </w:tc>
      </w:tr>
      <w:tr>
        <w:trPr>
          <w:trHeight w:val="204"/>
        </w:trPr>
        <w:tc>
          <w:tcPr>
            <w:tcW w:w="5520" w:type="dxa"/>
            <w:vAlign w:val="bottom"/>
            <w:gridSpan w:val="5"/>
          </w:tcPr>
          <w:p>
            <w:pPr>
              <w:jc w:val="center"/>
              <w:spacing w:after="0"/>
              <w:rPr>
                <w:sz w:val="20"/>
                <w:szCs w:val="20"/>
                <w:color w:val="auto"/>
              </w:rPr>
            </w:pPr>
            <w:r>
              <w:rPr>
                <w:rFonts w:ascii="Arial" w:cs="Arial" w:eastAsia="Arial" w:hAnsi="Arial"/>
                <w:sz w:val="16"/>
                <w:szCs w:val="16"/>
                <w:color w:val="auto"/>
                <w:w w:val="92"/>
              </w:rPr>
              <w:t>(Address of Principal Executive Offices)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jc w:val="center"/>
              <w:ind w:right="1880"/>
              <w:spacing w:after="0"/>
              <w:rPr>
                <w:sz w:val="20"/>
                <w:szCs w:val="20"/>
                <w:color w:val="auto"/>
              </w:rPr>
            </w:pPr>
            <w:r>
              <w:rPr>
                <w:rFonts w:ascii="Arial" w:cs="Arial" w:eastAsia="Arial" w:hAnsi="Arial"/>
                <w:sz w:val="16"/>
                <w:szCs w:val="16"/>
                <w:color w:val="auto"/>
                <w:w w:val="92"/>
              </w:rPr>
              <w:t>(Zip Code)</w:t>
            </w:r>
          </w:p>
        </w:tc>
        <w:tc>
          <w:tcPr>
            <w:tcW w:w="20" w:type="dxa"/>
            <w:vAlign w:val="bottom"/>
          </w:tcPr>
          <w:p>
            <w:pPr>
              <w:spacing w:after="0"/>
              <w:rPr>
                <w:sz w:val="17"/>
                <w:szCs w:val="17"/>
                <w:color w:val="auto"/>
              </w:rPr>
            </w:pPr>
          </w:p>
        </w:tc>
      </w:tr>
    </w:tbl>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(858) 400-3120</w:t>
      </w:r>
    </w:p>
    <w:p>
      <w:pPr>
        <w:spacing w:after="0" w:line="202" w:lineRule="exact"/>
        <w:rPr>
          <w:sz w:val="24"/>
          <w:szCs w:val="24"/>
          <w:color w:val="auto"/>
        </w:rPr>
      </w:pPr>
    </w:p>
    <w:p>
      <w:pPr>
        <w:jc w:val="center"/>
        <w:ind w:right="36"/>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w:t>
      </w:r>
    </w:p>
    <w:p>
      <w:pPr>
        <w:spacing w:after="0" w:line="198" w:lineRule="exact"/>
        <w:rPr>
          <w:sz w:val="24"/>
          <w:szCs w:val="24"/>
          <w:color w:val="auto"/>
        </w:rPr>
      </w:pPr>
    </w:p>
    <w:p>
      <w:pPr>
        <w:ind w:left="4" w:right="2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3" w:lineRule="exact"/>
        <w:rPr>
          <w:sz w:val="24"/>
          <w:szCs w:val="24"/>
          <w:color w:val="auto"/>
        </w:rPr>
      </w:pPr>
    </w:p>
    <w:tbl>
      <w:tblPr>
        <w:tblLayout w:type="fixed"/>
        <w:tblInd w:w="4" w:type="dxa"/>
        <w:tblCellMar>
          <w:top w:w="0" w:type="dxa"/>
          <w:left w:w="0" w:type="dxa"/>
          <w:bottom w:w="0" w:type="dxa"/>
          <w:right w:w="0" w:type="dxa"/>
        </w:tblCellMar>
      </w:tblPr>
      <w:tr>
        <w:trPr>
          <w:trHeight w:val="204"/>
        </w:trPr>
        <w:tc>
          <w:tcPr>
            <w:tcW w:w="3840" w:type="dxa"/>
            <w:vAlign w:val="bottom"/>
            <w:gridSpan w:val="2"/>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8"/>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w:t>
            </w:r>
          </w:p>
        </w:tc>
        <w:tc>
          <w:tcPr>
            <w:tcW w:w="20" w:type="dxa"/>
            <w:vAlign w:val="bottom"/>
          </w:tcPr>
          <w:p>
            <w:pPr>
              <w:spacing w:after="0"/>
              <w:rPr>
                <w:sz w:val="24"/>
                <w:szCs w:val="24"/>
                <w:color w:val="auto"/>
              </w:rPr>
            </w:pPr>
          </w:p>
        </w:tc>
      </w:tr>
      <w:tr>
        <w:trPr>
          <w:trHeight w:val="212"/>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Title of each class</w:t>
            </w:r>
          </w:p>
        </w:tc>
        <w:tc>
          <w:tcPr>
            <w:tcW w:w="3580" w:type="dxa"/>
            <w:vAlign w:val="bottom"/>
          </w:tcPr>
          <w:p>
            <w:pPr>
              <w:ind w:left="1200"/>
              <w:spacing w:after="0"/>
              <w:rPr>
                <w:sz w:val="20"/>
                <w:szCs w:val="20"/>
                <w:color w:val="auto"/>
              </w:rPr>
            </w:pPr>
            <w:r>
              <w:rPr>
                <w:rFonts w:ascii="Arial" w:cs="Arial" w:eastAsia="Arial" w:hAnsi="Arial"/>
                <w:sz w:val="16"/>
                <w:szCs w:val="16"/>
                <w:b w:val="1"/>
                <w:bCs w:val="1"/>
                <w:color w:val="auto"/>
              </w:rPr>
              <w:t>Trading Symbol(s)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20" w:type="dxa"/>
            <w:vAlign w:val="bottom"/>
          </w:tcPr>
          <w:p>
            <w:pPr>
              <w:spacing w:after="0"/>
              <w:rPr>
                <w:sz w:val="18"/>
                <w:szCs w:val="18"/>
                <w:color w:val="auto"/>
              </w:rPr>
            </w:pPr>
          </w:p>
        </w:tc>
      </w:tr>
      <w:tr>
        <w:trPr>
          <w:trHeight w:val="203"/>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40" w:type="dxa"/>
            <w:vAlign w:val="bottom"/>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BCTG</w:t>
            </w:r>
          </w:p>
        </w:tc>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The Nadsaq Stock Market LLC</w:t>
            </w:r>
          </w:p>
        </w:tc>
        <w:tc>
          <w:tcPr>
            <w:tcW w:w="20" w:type="dxa"/>
            <w:vAlign w:val="bottom"/>
          </w:tcPr>
          <w:p>
            <w:pPr>
              <w:spacing w:after="0"/>
              <w:rPr>
                <w:sz w:val="17"/>
                <w:szCs w:val="17"/>
                <w:color w:val="auto"/>
              </w:rPr>
            </w:pPr>
          </w:p>
        </w:tc>
      </w:tr>
      <w:tr>
        <w:trPr>
          <w:trHeight w:val="203"/>
        </w:trPr>
        <w:tc>
          <w:tcPr>
            <w:tcW w:w="3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1"/>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47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On April 13, 2021, BCTG Acquisition Corp., a Delaware corporation (“BCTG”), entered into an agreement and plan of merger (as it may be amended and/or restated from time to time, the “Merger Agreement”), by and among BCTG, BCTG Merger Sub Inc., a Delaware corporation and a wholly-owned subsidiary of BCTG (“Merger Sub”), and Tango Therapeutics, Inc. (“Tango”).</w:t>
      </w:r>
    </w:p>
    <w:p>
      <w:pPr>
        <w:spacing w:after="0" w:line="16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The Merger Agreement was unanimously approved by all of BCTG’s directors on April 13, 2021. Pursuant to the Merger Agreement, at the closing of the transactions contemplated thereby, Merger Sub will merge with and into Tango (the “Merger”) with Tango surviving the merger as a wholly-owned subsidiary of BCTG (the “Business Combination”). In addition, in connection with the consummation of the Business Combination, BCTG will be renamed “Tango Therapeutics, Inc.”</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Consideration</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At the effective time of the Merger (the “Effective Time”), by virtue of the Merger and without any further action on the part of BCTG, Merger Sub or Tango (after Tango causes each share of Tango preferred stock that is issued and outstanding immediately prior to the consummation of the Business Combination to be automatically converted immediately prior to the consummation of the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Merger. Stock certificates evidencing the Merger Consideration shall bear restrictive legends as required by any securities laws at the time of the Merger.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BCTG Post-Closing Board of Directors and Executive Officers</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Immediately following the closing, BCTG’s board of directors will consist of nine directors, consisting of Barbara Weber, Reid Huber, Alexis Borisy, Malte Peters, Aaron Davis, Mace Rothenberg and Lesley Calhoun. At the closing, all of the executive officers of BCTG shall resign and the individuals serving as executive officers of BCTG immediately after the closing will be the same individuals (in the same offices) as those of Tango immediately prior to the closing.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i w:val="1"/>
          <w:iCs w:val="1"/>
          <w:color w:val="auto"/>
        </w:rPr>
        <w:t>Stockholder Approval</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BCTG will prepare and file with the Securities and Exchange Commission (the “SEC”) a Registration Statement on Form S-4, that will include a preliminary proxy statement/prospectus, and when available, a definitive proxy statement and final prospectus (the “Proxy Statement”), and call a special meeting of its holders of BCTG common stock to vote at the meeting (the “Special Meeting”). The holders of the majority of the voting power of BCTG’s common stock present in person or represented by proxy at the Special Meeting of BCTG’s stockholders must approve the Merger Agreement, the Business Combination and certain other actions related thereto as provided in the Delaware General Corporation Law, BCTG’s certificate of incorporation and applicable listing rules of The Nasdaq Stock Market LLC.</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Representations and Warranties; Covenants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BCTG, Merger Sub and Tango have made customary representations, warranties and covenants in the Merger Agreement, including, among other things, covenants with respect to the conduct of BCTG and Tango prior to the closing of the Business Combination. The parties have also agreed to customary “no shop” obligations. The representations and warranties of BCTG, Merger Sub and Tango will not survive the closing of the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Closing Conditions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closing of the Business Combination is subject to certain customary conditions of the respective parties, including, among other things, that: (i) applicable stockholder approval shall have been received; (ii) there shall have been no Material Adverse Effect (as defined in the Merger Agreement) with respect to Tango since the date of the Merger Agreement; (iii) the waiting period (or any extension thereof) applicable under the Hart-Scott-Rodino Antitrust Improvements Act of 1976 shall have expired or terminated; (iv) BCTG shall have at least $5,000,001 of net tangible assets immediately following the closing (after giving effect to the redemption of public shares by BCTG’s public stockholders); (v) BCTG shall have proceeds at the closing of the Business Combination, comprised of amounts held in trust and amounts raised pursuant to the Subscription Agreements (as defined below), net of any amount required to satisfy the redemptions and net of BCTG’s expenses (the “Closing Cash”) of at least $300 million (subject to the Closing Cash Shortfall provision described below); (vi) BCTG’s initial listing application in connection with the Transactions (as defined in the Merger Agreement) shall have been approved by The Nasdaq Capital Market (“Nasdaq”) so that immediately following the Merger, BCTG satisfies any applicable initial and continuing listing requirements of Nasdaq; (vii) certain Tango stockholders shall have delivered a lock-up agreement; and (viii) BCTG and certain Tango stockholders shall have entered into the BCTG Amended and Restated Registration Rights Agreement (as defined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w:t>
      </w:r>
    </w:p>
    <w:p>
      <w:pPr>
        <w:spacing w:after="0" w:line="198"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The Merger Agreement may be terminated by BCTG or Tango under certain circumstances, including, among others; (i) by mutual written consent of BCTG and Tango; (ii) by either BCTG or Tango if the closing of the Business Combination has not occurred on or before September 30, 2021; (iii) by BCTG or Tango if BCTG has not obtained the necessary stockholder approvals; or (iv) by BCTG if Tango has not timely delivered written consent of the Tango stockholders to the Merger Agreement.</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foregoing summary of the Merger Agreement does not purport to be complete and is qualified in its entirety by reference to the actual Merger Agreement, which is filed as Exhibit 2.1 hereto, and which is incorporated by reference herein.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3" w:name="page4"/>
    <w:bookmarkEnd w:id="3"/>
    <w:p>
      <w:pPr>
        <w:ind w:left="4"/>
        <w:spacing w:after="0"/>
        <w:rPr>
          <w:sz w:val="20"/>
          <w:szCs w:val="20"/>
          <w:color w:val="auto"/>
        </w:rPr>
      </w:pPr>
      <w:r>
        <w:rPr>
          <w:rFonts w:ascii="Arial" w:cs="Arial" w:eastAsia="Arial" w:hAnsi="Arial"/>
          <w:sz w:val="16"/>
          <w:szCs w:val="16"/>
          <w:b w:val="1"/>
          <w:bCs w:val="1"/>
          <w:color w:val="auto"/>
        </w:rPr>
        <w:t>Additional Agreements to be Executed at the Signing of the Merger Agreement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PIPE Subscription Agreements</w:t>
      </w:r>
    </w:p>
    <w:p>
      <w:pPr>
        <w:spacing w:after="0" w:line="198"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BCTG entered into subscription agreements (the “Subscription Agreements”) dated as of April 13 , 2021, with certain institutional and accredited investors, pursuant to which, among other things, BCTG agreed to issue and sell, in a private placement to close immediately prior to the closing of the Business Combination, an aggregate of 18,610,000 shares of BCTG common stock for $10.00 per share (the “PIPE Shares”) for a total of $186,100,000.00.</w:t>
      </w:r>
    </w:p>
    <w:p>
      <w:pPr>
        <w:spacing w:after="0" w:line="16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Pursuant to the Subscription Agreements, BCTG agreed that, within 30 calendar days after the closing of the Business Combination, BCTG will file with the SEC (at BCTG’s sole cost and expense) a registration statement registering the resale of the PIPE Shares (the “PIPE Resale Registration Statement”), and BCTG shall use its commercially reasonable efforts to have the PIPE Resale Registration Statement declared effective as soon as practicable after the filing thereof, but no later than the earlier of</w:t>
      </w:r>
    </w:p>
    <w:p>
      <w:pPr>
        <w:spacing w:after="0" w:line="1" w:lineRule="exact"/>
        <w:rPr>
          <w:sz w:val="20"/>
          <w:szCs w:val="20"/>
          <w:color w:val="auto"/>
        </w:rPr>
      </w:pPr>
    </w:p>
    <w:p>
      <w:pPr>
        <w:jc w:val="both"/>
        <w:ind w:left="4" w:right="20" w:hanging="4"/>
        <w:spacing w:after="0" w:line="307" w:lineRule="auto"/>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60th calendar day after the consummation of the Transactions (or the 90th calendar day after the consummation of the Transactions if the PIPE Resale Registration Statement is reviewed by, and comments thereto are provided by, the SEC) following the closing of the Business Combination and (ii) the 5th business day after the date BCTG is notified (orally or in writing, whichever is earlier) by the SEC that the PIPE Resale Registration Statement will not be “reviewed” or will not be subject to further review.</w:t>
      </w:r>
    </w:p>
    <w:p>
      <w:pPr>
        <w:spacing w:after="0" w:line="134"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foregoing description of the Subscription Agreements does not purport to be complete and is qualified in its entirety by the terms and conditions of the form of the Subscription Agreement filed as Exhibit 10.1 hereto and incorporated by reference herein.</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Support Agreements</w:t>
      </w:r>
    </w:p>
    <w:p>
      <w:pPr>
        <w:spacing w:after="0" w:line="198" w:lineRule="exact"/>
        <w:rPr>
          <w:sz w:val="20"/>
          <w:szCs w:val="20"/>
          <w:color w:val="auto"/>
        </w:rPr>
      </w:pPr>
    </w:p>
    <w:p>
      <w:pPr>
        <w:jc w:val="both"/>
        <w:ind w:left="4" w:firstLine="574"/>
        <w:spacing w:after="0" w:line="301" w:lineRule="auto"/>
        <w:rPr>
          <w:sz w:val="20"/>
          <w:szCs w:val="20"/>
          <w:color w:val="auto"/>
        </w:rPr>
      </w:pPr>
      <w:r>
        <w:rPr>
          <w:rFonts w:ascii="Arial" w:cs="Arial" w:eastAsia="Arial" w:hAnsi="Arial"/>
          <w:sz w:val="14"/>
          <w:szCs w:val="14"/>
          <w:color w:val="auto"/>
        </w:rPr>
        <w:t>In connection with the Merger Agreement, certain directors and holders of equity securities of Tango each entered into a support agreement (the “Company Support Agreement”) with BCTG and Tango, pursuant to which each such director and holder of equity securities of Tango agrees to vote the shares of Tango capital stock beneficially owned by them in favor of each of the proposals to be included in the applicable written consent of stockholders, to take all actions reasonably necessary to consummate the Business Combination and to vote against any proposal that would prevent the satisfaction of the conditions to the Business Combination set forth in the Merger Agreement. Promptly after the execution of the Merger Agreement, certain additional stockholders of Tango will enter into the Company Support Agreement.</w:t>
      </w:r>
    </w:p>
    <w:p>
      <w:pPr>
        <w:spacing w:after="0" w:line="138" w:lineRule="exact"/>
        <w:rPr>
          <w:sz w:val="20"/>
          <w:szCs w:val="20"/>
          <w:color w:val="auto"/>
        </w:rPr>
      </w:pPr>
    </w:p>
    <w:p>
      <w:pPr>
        <w:jc w:val="both"/>
        <w:ind w:left="4" w:firstLine="618"/>
        <w:spacing w:after="0" w:line="309" w:lineRule="auto"/>
        <w:rPr>
          <w:sz w:val="20"/>
          <w:szCs w:val="20"/>
          <w:color w:val="auto"/>
        </w:rPr>
      </w:pPr>
      <w:r>
        <w:rPr>
          <w:rFonts w:ascii="Arial" w:cs="Arial" w:eastAsia="Arial" w:hAnsi="Arial"/>
          <w:sz w:val="15"/>
          <w:szCs w:val="15"/>
          <w:color w:val="auto"/>
        </w:rPr>
        <w:t>The foregoing description of the Company Support Agreement is qualified in its entirety by reference to the full text of the form of Company Support Agreement, a copy of which is included as Exhibit A to the Merger Agreement, filed as Exhibit 10.2 to this Current Report on Form 8-K, and incorporated herein by reference.</w:t>
      </w:r>
    </w:p>
    <w:p>
      <w:pPr>
        <w:spacing w:after="0" w:line="129"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In connection with the execution of the Merger Agreement, BCTG Holdings, LLC, the sponsor of BCTG (the “Sponsor”) entered into a support agreement (the “Parent Support Agreement”) with Tango and BCTG, pursuant to which BCTG Holdings, LLC agrees to vote all shares of BCTG common stock beneficially owned by it in favor of each of the proposals to be presented at the Special Meeting, to take all actions reasonably necessary to consummate the Business Combination and to vote against any proposal that would prevent the satisfaction of the conditions to the Business Combination set forth in the Merger Agreement.</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4" w:name="page5"/>
    <w:bookmarkEnd w:id="4"/>
    <w:p>
      <w:pPr>
        <w:jc w:val="both"/>
        <w:ind w:firstLine="574"/>
        <w:spacing w:after="0" w:line="309" w:lineRule="auto"/>
        <w:rPr>
          <w:sz w:val="20"/>
          <w:szCs w:val="20"/>
          <w:color w:val="auto"/>
        </w:rPr>
      </w:pPr>
      <w:r>
        <w:rPr>
          <w:rFonts w:ascii="Arial" w:cs="Arial" w:eastAsia="Arial" w:hAnsi="Arial"/>
          <w:sz w:val="15"/>
          <w:szCs w:val="15"/>
          <w:color w:val="auto"/>
        </w:rPr>
        <w:t>The foregoing description of the Parent Support Agreement is qualified in its entirety by reference to the full text of the form of Parent Support Agreement, a copy of which is included as Exhibit B to the Merger Agreement, filed as Exhibit 10.3 to this Current Report on Form 8-K, and incorporated by reference herein.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Affiliate Share Purchases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connection with the signing of the Merger Agreement, an affiliate of Boxer Capital, a member of the Sponsor, agreed to purchase 800,000 shares of BCTG’s common stock from two holders of public shares at a price of $11.00 per share.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Closing Cash Shortfall</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Sponsor and Tango have agreed that if the Closing Cash is less than $300,000,000 (such deficit, the “Shortfall”), the Sponsor shall have the option either increasing its cash investment amount in BCTG by purchasing additional shares of BCTG common stock up to the amount of the Shortfall, or securing investments in BCTG common stock from other investors.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Agreements to be Executed at Closing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provides that, upon consummation of the Transactions, BCTG will enter into the following additional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BCTG Amended and Restated Registration Rights Agreement</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At the closing, BCTG will enter into an amended and restated registration rights agreement (the “BCTG Amended and Restated Registration Rights Agreement”) with certain existing stockholders of BCTG with respect to the shares of BCTG common stock they own at the closing, and certain Tango stockholders of BCTG with respect to the Merger Consideration. The BCTG Amended and Restated Registration Rights Agreement will require BCTG to, among other things, file a resale shelf registration statement on behalf of the stockholders no later than 30 days after the closing of the Business Combination. The BCTG Amended and Restated Registration Rights Agreement will also provide certain demand registration rights and piggyback registration rights to such stockholders, subject to underwriter cutbacks and issuer blackout periods. BCTG will agree to pay certain fees and expenses relating to registrations under the BCTG Amended and Restated Registration Rights Agreement.</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foregoing description of the BCTG Amended and Restated Registration Rights Agreement is qualified in its entirety by reference to the full text of the form of such agreement, a copy of which is included as Exhibit G to the Merger Agreement, filed as Exhibit 10.4 to this Current Report on Form 8-K, and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Lock-up Agreement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In connection with the closing of the Business Combination, certain stockholders of Tango will enter into a lock-up agreement (the “Stockholder Lock-Up Agreement”) with BCTG, pursuant to which each will agree, subject to certain customary exceptions, not to:</w:t>
      </w:r>
    </w:p>
    <w:p>
      <w:pPr>
        <w:spacing w:after="0" w:line="152" w:lineRule="exact"/>
        <w:rPr>
          <w:sz w:val="20"/>
          <w:szCs w:val="20"/>
          <w:color w:val="auto"/>
        </w:rPr>
      </w:pPr>
    </w:p>
    <w:p>
      <w:pPr>
        <w:jc w:val="both"/>
        <w:ind w:left="1140" w:hanging="571"/>
        <w:spacing w:after="0" w:line="26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offer, sell, contract to sell, pledge, or otherwise dispose of, directly or indirectly, any shares of BCTG common stock or securities convertible into or exercisable or exchangeable for BCTG common stock held by it immediately after the Effective Time, or enter into a transaction that would have the same effect;</w:t>
      </w:r>
    </w:p>
    <w:p>
      <w:pPr>
        <w:spacing w:after="0" w:line="162" w:lineRule="exact"/>
        <w:rPr>
          <w:rFonts w:ascii="Arial" w:cs="Arial" w:eastAsia="Arial" w:hAnsi="Arial"/>
          <w:sz w:val="16"/>
          <w:szCs w:val="16"/>
          <w:color w:val="auto"/>
        </w:rPr>
      </w:pPr>
    </w:p>
    <w:p>
      <w:pPr>
        <w:ind w:left="1140" w:right="20" w:hanging="571"/>
        <w:spacing w:after="0" w:line="275"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enter into any swap, hedge or other arrangement that transfers, in whole or in part, any of the economic consequences of ownership of any of such shares, whether any of these transactions are to be settled by delivery of such shares, in cash or otherwise; or</w:t>
      </w:r>
    </w:p>
    <w:p>
      <w:pPr>
        <w:spacing w:after="0" w:line="151" w:lineRule="exact"/>
        <w:rPr>
          <w:rFonts w:ascii="Arial" w:cs="Arial" w:eastAsia="Arial" w:hAnsi="Arial"/>
          <w:sz w:val="16"/>
          <w:szCs w:val="16"/>
          <w:color w:val="auto"/>
        </w:rPr>
      </w:pPr>
    </w:p>
    <w:p>
      <w:pPr>
        <w:ind w:left="1140" w:right="20" w:hanging="571"/>
        <w:spacing w:after="0" w:line="275"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publicly announce the intention to make any offer, sale, pledge or disposition, or to enter into any transaction, swap, hedge or other arrangement, or engage in any “Short Sales” (as defined in the Stockholder Lock-up Agreement) with respect to any security of BCTG;</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until the date that is 180 calendar days after the consummation of the Business Combination; provided, however, that the restrictions set forth in the Lock-up Agreement shall not apply to (1) transfers or distributions to such stockholders current or former general or limited partners, managers or members, stockholders, other equityholders or other direct or indirect affiliates (within the meaning of Rule 405 under the Securities Act of 1933, as amended) or to the estates of any of the foregoing; (2) transfers by bona fide gift to a member of the stockholder’s immediate family or to a trust, the beneficiary of which is the stockholder or a member of the stockholder’s immediate family for estate planning purposes; (3) by virtue of will, intestate succession or the laws of descent and distribution upon death of the stockholder; (4) pursuant to a qualified domestic relations order, in each case where such transferee agrees to be bound by the terms of Stockholder Lock-up Agreement; (5) establishment of a trading plan pursuant to Rule 10b5-1 under the Exchange Act for the transfer of Restricted Securities. Notwithstanding the foregoing, if after consummation of the Business Combination, there is a “Change of Control” of BCTG (as defined in the Lock-up Agreement), all of the shares shall be released from the restrictions set forth therein.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5" w:name="page6"/>
    <w:bookmarkEnd w:id="5"/>
    <w:p>
      <w:pPr>
        <w:jc w:val="both"/>
        <w:ind w:firstLine="574"/>
        <w:spacing w:after="0" w:line="349" w:lineRule="auto"/>
        <w:rPr>
          <w:sz w:val="20"/>
          <w:szCs w:val="20"/>
          <w:color w:val="auto"/>
        </w:rPr>
      </w:pPr>
      <w:r>
        <w:rPr>
          <w:rFonts w:ascii="Arial" w:cs="Arial" w:eastAsia="Arial" w:hAnsi="Arial"/>
          <w:sz w:val="14"/>
          <w:szCs w:val="14"/>
          <w:color w:val="auto"/>
        </w:rPr>
        <w:t>The foregoing description of the Stockholder Lock-Up Agreements is qualified in its entirety by reference to the full text of the form of Stockholder Lock-up Agreement, a copy of which is included as Exhibit D to the Merger Agreement, filed as Exhibit 10.5 to this Current Report on Form 8-K, and incorporated herein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disclosure set forth above in Item 1.01 of this Current Report on Form 8-K is incorporated by reference herein. The PIPE Shares will not be registered under the Securities Act of 1933, as amended (the “Securities Act”) in reliance upon the exemption provided in Section 4(a)(2) of the Securities Act and/or Regulation D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14, 2021 Tango issued a press release announcing the execution of the Merger Agreement. Attached hereto as Exhibit 99.1 and incorporated into this Item 7.01 by reference is the copy of the press release.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Attached hereto as Exhibit 99.2 and incorporated into this Item 7.01 by reference is the investor presentation that will be used by BCTG in making presentations to certain existing stockholders of BCTG and other persons with respect to the Transaction.</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information in this Item 7.01 (including Exhibits 99.1 and 99.2) is being furnished and shall not be deemed to be filed for purposes of Section 18 of the Exchange Act , or otherwise be subject to the liabilities of that section, nor shall it be deemed to be incorporated by reference in any filing under the Securities Act of 1933, as amended, or the Exchange Act.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20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In connection with the proposed Business Combination described herein, BCTG intends to file relevant materials with the SEC, including a Registration Statement on Form S-4, that includes a preliminary proxy statement/prospectus, and when available, a definitive proxy statement and final prospectus. Promptly after filing its definitive proxy statement with the SEC, BCTG will mail the definitive proxy statement and a proxy card to each stockholder entitled to vote at the Special Meeting relating to the transaction. INVESTORS AND STOCKHOLDERS OF BCTG ARE URGED TO READ THESE MATERIALS (INCLUDING ANY AMENDMENTS OR SUPPLEMENTS THERETO) AND ANY OTHER RELEVANT DOCUMENTS IN CONNECTION WITH THE TRANSACTION THAT BCTG WILL FILE WITH THE SEC WHEN THEY BECOME AVAILABLE BECAUSE THEY WILL CONTAIN IMPORTANT INFORMATION ABOUT BCTG, TANGO AND THE TRANSACTION. The definitive proxy statement, the preliminary proxy statement and other relevant materials in connection with the transaction (when they become available), and any other documents filed by BCTG with the SEC, may be obtained free of charge at the SEC’s website (www.sec.gov)</w:t>
      </w:r>
      <w:r>
        <w:rPr>
          <w:rFonts w:ascii="Arial" w:cs="Arial" w:eastAsia="Arial" w:hAnsi="Arial"/>
          <w:sz w:val="15"/>
          <w:szCs w:val="15"/>
          <w:b w:val="1"/>
          <w:b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BCTG and its directors and executive officers may be deemed participants in the solicitation of proxies from BCTG’s stockholders with respect to the Business Combination. A list of the names of those directors and executive officers and a description of their interests in BCTG will be included in the proxy statement for the proposed Business Combination and be available at www.sec.gov. Additional information regarding the interests of such participants will be contained in the proxy statement for the proposed Business Combination when available. Information about BCTG’s directors and executive officers and their ownership of BCTG common stock is set forth in BCTG’s prospectus, dated September 2, 2020, as modified or supplemented by any Form 3 or Form 4 filed with the SEC since the date of such filing. Other information regarding the interests of the participants in the proxy solicitation will be included in the proxy statement pertaining to the proposed business combination when it becomes available. These documents can be obtained free of charge from the sources indicated above.</w:t>
      </w:r>
    </w:p>
    <w:p>
      <w:pPr>
        <w:spacing w:after="0" w:line="15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Tango and its directors and executive officers may also be deemed to be participants in the solicitation of proxies from the stockholders of BCTG in connection with the proposed Business Combination. A list of the names of such directors and executive officers and information regarding their interests in the proposed Business Combination will be included in the proxy statement for the proposed Business Combination.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ind w:left="4" w:firstLine="574"/>
        <w:spacing w:after="0" w:line="285" w:lineRule="auto"/>
        <w:rPr>
          <w:sz w:val="20"/>
          <w:szCs w:val="20"/>
          <w:color w:val="auto"/>
        </w:rPr>
      </w:pPr>
      <w:r>
        <w:rPr>
          <w:rFonts w:ascii="Arial" w:cs="Arial" w:eastAsia="Arial" w:hAnsi="Arial"/>
          <w:sz w:val="14"/>
          <w:szCs w:val="14"/>
          <w:color w:val="auto"/>
        </w:rPr>
        <w:t>This Current Report on Form 8-K and the documents incorporated by reference herein (this “Current Report”)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“outlook” and other similar expressions that predict or indicate future events or trends or that are not statements of historical matters. Examples of forward-looking statements include, among others, statements made in this Current Report regarding the proposed transactions contemplated by the Merger Agreement and the Subscription Agreements, including the benefits of the Merger, integration plans, expected synergies and revenue opportunities, anticipated future financial and operating performance and results, including estimates for growth, the expected management and governance of the combined company, and the expected timing of the Merger. Forward-looking statements are neither historical facts nor assurances of future performance. Instead, they are based only on BCTG’s and Tango’s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 Important factors that could cause actual results and outcomes to differ materially from those indicated in the forward-looking statements include, among others, the following: (1) the occurrence of any event, change, or other circumstances that could give rise to the termination of the Merger Agreement; (2) the outcome of any legal proceedings that may be instituted against BCTG and Tango following the announcement of the Merger Agreement and the transactions contemplated therein; (3) the inability to complete the proposed Business Combination, including due to failure to obtain approval of the stockholders of BCTG and Tango, certain regulatory approvals, or satisfy other conditions to closing in the Merger Agreement; (4) the occurrence of any event, change, or other circumstance that could give rise to the termination of the Merger Agreement or could otherwise cause the transaction to fail to close; (5) the failure to meet the minimum cash requirements of the Merger Agreement due to BCTG stockholder redemptions and the failure to obtain replacement financing; (6) the inability to complete the concurrent PIPE; (7) the failure to meet projected development and production targets; (8) the impact of COVID-19 pandemic on Tango’s business and/or the ability of the parties to complete the proposed Business Combination; (9) the inability to obtain or maintain the listing of BCTG’s shares of common stock on Nasdaq following the proposed Business Combination; (10) the risk that the proposed Business Combination disrupts current plans and operations as a result of the announcement and consummation of the proposed Business Combination; (11) the ability to recognize the anticipated benefits of the proposed Business Combination, which may be affected by, among other things, competition, the ability of Tango to grow and manage growth profitably, and retain its key employees; (12) costs related to the proposed Business Combination; (13) changes in applicable laws or regulations; (14) the possibility that BCTG or Tango may be adversely affected by other economic, business, and/or competitive factors; (15) risks relating to the uncertainty of the projected financial information with respect to Tango;</w:t>
      </w:r>
    </w:p>
    <w:p>
      <w:pPr>
        <w:spacing w:after="0" w:line="13" w:lineRule="exact"/>
        <w:rPr>
          <w:sz w:val="20"/>
          <w:szCs w:val="20"/>
          <w:color w:val="auto"/>
        </w:rPr>
      </w:pPr>
    </w:p>
    <w:p>
      <w:pPr>
        <w:jc w:val="both"/>
        <w:ind w:left="4" w:hanging="4"/>
        <w:spacing w:after="0" w:line="250"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organic and inorganic growth of Tango’s business and the timing of expected business milestones; (17) the amount of redemption requests made by BCTG’s stockholders; and (18) other risks and uncertainties indicated from time to time in the final prospectus of BCTG for its initial public offering dated September 2, 2020 filed with the SEC and the Registration Statement on Form S-4, that includes a preliminary proxy statement/prospectus, and when available, a definitive proxy statement and final prospectus relating to the proposed Business Combination, including those under “Risk Factors” therein, and in BCTG’s other filings with the SEC. BCTG cautions that the foregoing list of factors is not exclusive. BCTG and Tango caution readers not to place undue reliance upon any forward-looking statements, which speak only as of the date made. BCTG and Tango do not undertake or accept any obligation or undertaking to release publicly any updates or revisions to any forward-looking statements to reflect any change in their expectations or any change in events, conditions, or circumstances on which any such statement is based, whether as a result of new information, future events, or otherwise, except as may be required by applicable law. Neither Tango nor BCTG gives any assurance that either Tango or BCTG, or the combined company, will achieve its expectations.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 Offer or Solicitation</w:t>
      </w:r>
    </w:p>
    <w:p>
      <w:pPr>
        <w:spacing w:after="0" w:line="202"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This Current Report on Form 8-K shall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331"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7" w:name="page8"/>
    <w:bookmarkEnd w:id="7"/>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820" w:type="dxa"/>
            <w:vAlign w:val="bottom"/>
          </w:tcPr>
          <w:p>
            <w:pPr>
              <w:ind w:left="560"/>
              <w:spacing w:after="0"/>
              <w:rPr>
                <w:sz w:val="20"/>
                <w:szCs w:val="20"/>
                <w:color w:val="auto"/>
              </w:rPr>
            </w:pPr>
            <w:r>
              <w:rPr>
                <w:rFonts w:ascii="Arial" w:cs="Arial" w:eastAsia="Arial" w:hAnsi="Arial"/>
                <w:sz w:val="16"/>
                <w:szCs w:val="16"/>
                <w:color w:val="auto"/>
              </w:rPr>
              <w:t>(d)</w:t>
            </w:r>
          </w:p>
        </w:tc>
        <w:tc>
          <w:tcPr>
            <w:tcW w:w="10440" w:type="dxa"/>
            <w:vAlign w:val="bottom"/>
            <w:gridSpan w:val="11"/>
          </w:tcPr>
          <w:p>
            <w:pPr>
              <w:ind w:left="40"/>
              <w:spacing w:after="0"/>
              <w:rPr>
                <w:sz w:val="20"/>
                <w:szCs w:val="20"/>
                <w:color w:val="auto"/>
              </w:rPr>
            </w:pPr>
            <w:r>
              <w:rPr>
                <w:rFonts w:ascii="Arial" w:cs="Arial" w:eastAsia="Arial" w:hAnsi="Arial"/>
                <w:sz w:val="16"/>
                <w:szCs w:val="16"/>
                <w:color w:val="auto"/>
              </w:rPr>
              <w:t>Exhibits.</w:t>
            </w:r>
          </w:p>
        </w:tc>
      </w:tr>
      <w:tr>
        <w:trPr>
          <w:trHeight w:val="386"/>
        </w:trPr>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5"/>
              </w:rPr>
              <w:t>Exhibit No.</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1"/>
        </w:trPr>
        <w:tc>
          <w:tcPr>
            <w:tcW w:w="8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9"/>
            <w:shd w:val="clear" w:color="auto" w:fill="CCEEFF"/>
          </w:tcPr>
          <w:p>
            <w:pPr>
              <w:spacing w:after="0" w:line="155" w:lineRule="exact"/>
              <w:rPr>
                <w:rFonts w:ascii="Arial" w:cs="Arial" w:eastAsia="Arial" w:hAnsi="Arial"/>
                <w:sz w:val="16"/>
                <w:szCs w:val="16"/>
                <w:color w:val="0000EE"/>
                <w:w w:val="94"/>
              </w:rPr>
            </w:pPr>
            <w:hyperlink w:anchor="page10">
              <w:r>
                <w:rPr>
                  <w:rFonts w:ascii="Arial" w:cs="Arial" w:eastAsia="Arial" w:hAnsi="Arial"/>
                  <w:sz w:val="16"/>
                  <w:szCs w:val="16"/>
                  <w:color w:val="0000EE"/>
                  <w:w w:val="94"/>
                </w:rPr>
                <w:t>Agreement and Plan of Merger, dated as of April 13, 2021 by and among BCTG Acquisition Corp., BCTG Merger Sub Inc. and Tango Therapeutics, Inc.</w:t>
              </w:r>
            </w:hyperlink>
          </w:p>
        </w:tc>
      </w:tr>
      <w:tr>
        <w:trPr>
          <w:trHeight w:val="163"/>
        </w:trPr>
        <w:tc>
          <w:tcPr>
            <w:tcW w:w="82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10.1</w:t>
            </w: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560" w:type="dxa"/>
            <w:vAlign w:val="bottom"/>
            <w:tcBorders>
              <w:top w:val="single" w:sz="8" w:color="0000EE"/>
              <w:bottom w:val="single" w:sz="8" w:color="0000EE"/>
            </w:tcBorders>
            <w:gridSpan w:val="7"/>
          </w:tcPr>
          <w:p>
            <w:pPr>
              <w:spacing w:after="0" w:line="155" w:lineRule="exact"/>
              <w:rPr>
                <w:rFonts w:ascii="Arial" w:cs="Arial" w:eastAsia="Arial" w:hAnsi="Arial"/>
                <w:sz w:val="16"/>
                <w:szCs w:val="16"/>
                <w:color w:val="0000EE"/>
                <w:w w:val="91"/>
              </w:rPr>
            </w:pPr>
            <w:hyperlink w:anchor="page184">
              <w:r>
                <w:rPr>
                  <w:rFonts w:ascii="Arial" w:cs="Arial" w:eastAsia="Arial" w:hAnsi="Arial"/>
                  <w:sz w:val="16"/>
                  <w:szCs w:val="16"/>
                  <w:color w:val="0000EE"/>
                  <w:w w:val="91"/>
                </w:rPr>
                <w:t>Form of Subscription Agreement, dated as of April 13, 2021 by and among BCTG Acquisition Corp. and certain institutional and accredited investors</w:t>
              </w:r>
            </w:hyperlink>
          </w:p>
        </w:tc>
        <w:tc>
          <w:tcPr>
            <w:tcW w:w="200" w:type="dxa"/>
            <w:vAlign w:val="bottom"/>
            <w:tcBorders>
              <w:top w:val="single" w:sz="8" w:color="0000EE"/>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r>
      <w:tr>
        <w:trPr>
          <w:trHeight w:val="163"/>
        </w:trPr>
        <w:tc>
          <w:tcPr>
            <w:tcW w:w="82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10.2</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120" w:type="dxa"/>
            <w:vAlign w:val="bottom"/>
            <w:tcBorders>
              <w:bottom w:val="single" w:sz="8" w:color="0000EE"/>
            </w:tcBorders>
            <w:gridSpan w:val="9"/>
            <w:shd w:val="clear" w:color="auto" w:fill="CCEEFF"/>
          </w:tcPr>
          <w:p>
            <w:pPr>
              <w:spacing w:after="0" w:line="163" w:lineRule="exact"/>
              <w:rPr>
                <w:rFonts w:ascii="Arial" w:cs="Arial" w:eastAsia="Arial" w:hAnsi="Arial"/>
                <w:sz w:val="16"/>
                <w:szCs w:val="16"/>
                <w:color w:val="0000EE"/>
                <w:w w:val="90"/>
              </w:rPr>
            </w:pPr>
            <w:hyperlink w:anchor="page83">
              <w:r>
                <w:rPr>
                  <w:rFonts w:ascii="Arial" w:cs="Arial" w:eastAsia="Arial" w:hAnsi="Arial"/>
                  <w:sz w:val="16"/>
                  <w:szCs w:val="16"/>
                  <w:color w:val="0000EE"/>
                  <w:w w:val="90"/>
                </w:rPr>
                <w:t>Form of Company Support Agreement by and among BCTG Acquisition Corp., certain stockholders of Tango Therapeutics, Inc. and Tango Therapeutics, Inc.</w:t>
              </w:r>
            </w:hyperlink>
          </w:p>
        </w:tc>
      </w:tr>
      <w:tr>
        <w:trPr>
          <w:trHeight w:val="171"/>
        </w:trPr>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9"/>
            <w:shd w:val="clear" w:color="auto" w:fill="CCEEFF"/>
          </w:tcPr>
          <w:p>
            <w:pPr>
              <w:spacing w:after="0" w:line="171" w:lineRule="exact"/>
              <w:rPr>
                <w:rFonts w:ascii="Arial" w:cs="Arial" w:eastAsia="Arial" w:hAnsi="Arial"/>
                <w:sz w:val="16"/>
                <w:szCs w:val="16"/>
                <w:color w:val="0000EE"/>
              </w:rPr>
            </w:pPr>
            <w:hyperlink w:anchor="page83">
              <w:r>
                <w:rPr>
                  <w:rFonts w:ascii="Arial" w:cs="Arial" w:eastAsia="Arial" w:hAnsi="Arial"/>
                  <w:sz w:val="16"/>
                  <w:szCs w:val="16"/>
                  <w:color w:val="0000EE"/>
                </w:rPr>
                <w:t>(included as Exhibit A to exhibit 2.1)</w:t>
              </w:r>
            </w:hyperlink>
          </w:p>
        </w:tc>
      </w:tr>
      <w:tr>
        <w:trPr>
          <w:trHeight w:val="36"/>
        </w:trPr>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r>
      <w:tr>
        <w:trPr>
          <w:trHeight w:val="163"/>
        </w:trPr>
        <w:tc>
          <w:tcPr>
            <w:tcW w:w="820" w:type="dxa"/>
            <w:vAlign w:val="bottom"/>
          </w:tcPr>
          <w:p>
            <w:pPr>
              <w:spacing w:after="0" w:line="155" w:lineRule="exact"/>
              <w:rPr>
                <w:sz w:val="20"/>
                <w:szCs w:val="20"/>
                <w:color w:val="auto"/>
              </w:rPr>
            </w:pPr>
            <w:r>
              <w:rPr>
                <w:rFonts w:ascii="Arial" w:cs="Arial" w:eastAsia="Arial" w:hAnsi="Arial"/>
                <w:sz w:val="16"/>
                <w:szCs w:val="16"/>
                <w:color w:val="auto"/>
              </w:rPr>
              <w:t>10.3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Borders>
              <w:bottom w:val="single" w:sz="8" w:color="0000EE"/>
            </w:tcBorders>
            <w:gridSpan w:val="4"/>
          </w:tcPr>
          <w:p>
            <w:pPr>
              <w:spacing w:after="0" w:line="155" w:lineRule="exact"/>
              <w:rPr>
                <w:rFonts w:ascii="Arial" w:cs="Arial" w:eastAsia="Arial" w:hAnsi="Arial"/>
                <w:sz w:val="16"/>
                <w:szCs w:val="16"/>
                <w:color w:val="0000EE"/>
                <w:w w:val="91"/>
              </w:rPr>
            </w:pPr>
            <w:hyperlink w:anchor="page94">
              <w:r>
                <w:rPr>
                  <w:rFonts w:ascii="Arial" w:cs="Arial" w:eastAsia="Arial" w:hAnsi="Arial"/>
                  <w:sz w:val="16"/>
                  <w:szCs w:val="16"/>
                  <w:color w:val="0000EE"/>
                  <w:w w:val="91"/>
                </w:rPr>
                <w:t>Form of Parent Support Agreement (included as Exhibit B to exhibit 2.1)</w:t>
              </w:r>
            </w:hyperlink>
          </w:p>
        </w:tc>
        <w:tc>
          <w:tcPr>
            <w:tcW w:w="5460" w:type="dxa"/>
            <w:vAlign w:val="bottom"/>
            <w:gridSpan w:val="5"/>
          </w:tcPr>
          <w:p>
            <w:pPr>
              <w:spacing w:after="0"/>
              <w:rPr>
                <w:sz w:val="14"/>
                <w:szCs w:val="14"/>
                <w:color w:val="auto"/>
              </w:rPr>
            </w:pPr>
          </w:p>
        </w:tc>
      </w:tr>
      <w:tr>
        <w:trPr>
          <w:trHeight w:val="179"/>
        </w:trPr>
        <w:tc>
          <w:tcPr>
            <w:tcW w:w="82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20" w:type="dxa"/>
            <w:vAlign w:val="bottom"/>
            <w:gridSpan w:val="9"/>
            <w:shd w:val="clear" w:color="auto" w:fill="CCEEFF"/>
          </w:tcPr>
          <w:p>
            <w:pPr>
              <w:spacing w:after="0" w:line="163" w:lineRule="exact"/>
              <w:rPr>
                <w:rFonts w:ascii="Arial" w:cs="Arial" w:eastAsia="Arial" w:hAnsi="Arial"/>
                <w:sz w:val="16"/>
                <w:szCs w:val="16"/>
                <w:color w:val="0000EE"/>
              </w:rPr>
            </w:pPr>
            <w:hyperlink w:anchor="page140">
              <w:r>
                <w:rPr>
                  <w:rFonts w:ascii="Arial" w:cs="Arial" w:eastAsia="Arial" w:hAnsi="Arial"/>
                  <w:sz w:val="16"/>
                  <w:szCs w:val="16"/>
                  <w:color w:val="0000EE"/>
                </w:rPr>
                <w:t>Form of Amended and Restated Registration Rights Agreement (included as Exhibit G to exhibit 2.1)</w:t>
              </w:r>
            </w:hyperlink>
          </w:p>
        </w:tc>
      </w:tr>
      <w:tr>
        <w:trPr>
          <w:trHeight w:val="163"/>
        </w:trPr>
        <w:tc>
          <w:tcPr>
            <w:tcW w:w="82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10.5</w:t>
            </w: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100" w:type="dxa"/>
            <w:vAlign w:val="bottom"/>
            <w:tcBorders>
              <w:top w:val="single" w:sz="8" w:color="0000EE"/>
              <w:bottom w:val="single" w:sz="8" w:color="0000EE"/>
            </w:tcBorders>
            <w:gridSpan w:val="5"/>
          </w:tcPr>
          <w:p>
            <w:pPr>
              <w:spacing w:after="0" w:line="155" w:lineRule="exact"/>
              <w:rPr>
                <w:rFonts w:ascii="Arial" w:cs="Arial" w:eastAsia="Arial" w:hAnsi="Arial"/>
                <w:sz w:val="16"/>
                <w:szCs w:val="16"/>
                <w:color w:val="0000EE"/>
                <w:w w:val="92"/>
              </w:rPr>
            </w:pPr>
            <w:hyperlink w:anchor="page103">
              <w:r>
                <w:rPr>
                  <w:rFonts w:ascii="Arial" w:cs="Arial" w:eastAsia="Arial" w:hAnsi="Arial"/>
                  <w:sz w:val="16"/>
                  <w:szCs w:val="16"/>
                  <w:color w:val="0000EE"/>
                  <w:w w:val="92"/>
                </w:rPr>
                <w:t>Form of Stockholder Lock-Up Agreement (included as Exhibit D to exhibit 2.1)</w:t>
              </w:r>
            </w:hyperlink>
          </w:p>
        </w:tc>
        <w:tc>
          <w:tcPr>
            <w:tcW w:w="1360" w:type="dxa"/>
            <w:vAlign w:val="bottom"/>
            <w:tcBorders>
              <w:top w:val="single" w:sz="8" w:color="0000EE"/>
            </w:tcBorders>
          </w:tcPr>
          <w:p>
            <w:pPr>
              <w:spacing w:after="0"/>
              <w:rPr>
                <w:sz w:val="14"/>
                <w:szCs w:val="14"/>
                <w:color w:val="auto"/>
              </w:rPr>
            </w:pPr>
          </w:p>
        </w:tc>
        <w:tc>
          <w:tcPr>
            <w:tcW w:w="3660" w:type="dxa"/>
            <w:vAlign w:val="bottom"/>
            <w:tcBorders>
              <w:top w:val="single" w:sz="8" w:color="CCEEFF"/>
            </w:tcBorders>
            <w:gridSpan w:val="3"/>
          </w:tcPr>
          <w:p>
            <w:pPr>
              <w:spacing w:after="0"/>
              <w:rPr>
                <w:sz w:val="14"/>
                <w:szCs w:val="14"/>
                <w:color w:val="auto"/>
              </w:rPr>
            </w:pPr>
          </w:p>
        </w:tc>
      </w:tr>
      <w:tr>
        <w:trPr>
          <w:trHeight w:val="163"/>
        </w:trPr>
        <w:tc>
          <w:tcPr>
            <w:tcW w:w="82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99.1**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9"/>
            <w:shd w:val="clear" w:color="auto" w:fill="CCEEFF"/>
          </w:tcPr>
          <w:p>
            <w:pPr>
              <w:spacing w:after="0" w:line="163" w:lineRule="exact"/>
              <w:rPr>
                <w:rFonts w:ascii="Arial" w:cs="Arial" w:eastAsia="Arial" w:hAnsi="Arial"/>
                <w:sz w:val="16"/>
                <w:szCs w:val="16"/>
                <w:color w:val="0000EE"/>
              </w:rPr>
            </w:pPr>
            <w:hyperlink w:anchor="page206">
              <w:r>
                <w:rPr>
                  <w:rFonts w:ascii="Arial" w:cs="Arial" w:eastAsia="Arial" w:hAnsi="Arial"/>
                  <w:sz w:val="16"/>
                  <w:szCs w:val="16"/>
                  <w:color w:val="0000EE"/>
                </w:rPr>
                <w:t>Press Release dated April 14, 2021</w:t>
              </w:r>
            </w:hyperlink>
          </w:p>
        </w:tc>
      </w:tr>
      <w:tr>
        <w:trPr>
          <w:trHeight w:val="36"/>
        </w:trPr>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2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r>
      <w:tr>
        <w:trPr>
          <w:trHeight w:val="155"/>
        </w:trPr>
        <w:tc>
          <w:tcPr>
            <w:tcW w:w="820" w:type="dxa"/>
            <w:vAlign w:val="bottom"/>
          </w:tcPr>
          <w:p>
            <w:pPr>
              <w:spacing w:after="0" w:line="155" w:lineRule="exact"/>
              <w:rPr>
                <w:sz w:val="20"/>
                <w:szCs w:val="20"/>
                <w:color w:val="auto"/>
              </w:rPr>
            </w:pPr>
            <w:r>
              <w:rPr>
                <w:rFonts w:ascii="Arial" w:cs="Arial" w:eastAsia="Arial" w:hAnsi="Arial"/>
                <w:sz w:val="16"/>
                <w:szCs w:val="16"/>
                <w:color w:val="auto"/>
              </w:rPr>
              <w:t>99.2**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Borders>
              <w:bottom w:val="single" w:sz="8" w:color="0000EE"/>
            </w:tcBorders>
            <w:gridSpan w:val="3"/>
          </w:tcPr>
          <w:p>
            <w:pPr>
              <w:spacing w:after="0" w:line="155" w:lineRule="exact"/>
              <w:rPr>
                <w:rFonts w:ascii="Arial" w:cs="Arial" w:eastAsia="Arial" w:hAnsi="Arial"/>
                <w:sz w:val="16"/>
                <w:szCs w:val="16"/>
                <w:color w:val="0000EE"/>
                <w:w w:val="89"/>
              </w:rPr>
            </w:pPr>
            <w:hyperlink w:anchor="page212">
              <w:r>
                <w:rPr>
                  <w:rFonts w:ascii="Arial" w:cs="Arial" w:eastAsia="Arial" w:hAnsi="Arial"/>
                  <w:sz w:val="16"/>
                  <w:szCs w:val="16"/>
                  <w:color w:val="0000EE"/>
                  <w:w w:val="89"/>
                </w:rPr>
                <w:t>Investor Presentation dated April 14, 2021</w:t>
              </w:r>
            </w:hyperlink>
          </w:p>
        </w:tc>
        <w:tc>
          <w:tcPr>
            <w:tcW w:w="7420" w:type="dxa"/>
            <w:vAlign w:val="bottom"/>
            <w:gridSpan w:val="6"/>
          </w:tcPr>
          <w:p>
            <w:pPr>
              <w:spacing w:after="0"/>
              <w:rPr>
                <w:sz w:val="13"/>
                <w:szCs w:val="13"/>
                <w:color w:val="auto"/>
              </w:rPr>
            </w:pPr>
          </w:p>
        </w:tc>
      </w:tr>
    </w:tbl>
    <w:p>
      <w:pPr>
        <w:spacing w:after="0" w:line="203" w:lineRule="exact"/>
        <w:rPr>
          <w:sz w:val="20"/>
          <w:szCs w:val="20"/>
          <w:color w:val="auto"/>
        </w:rPr>
      </w:pPr>
    </w:p>
    <w:p>
      <w:pPr>
        <w:ind w:left="284" w:hanging="284"/>
        <w:spacing w:after="0"/>
        <w:tabs>
          <w:tab w:leader="none" w:pos="284" w:val="left"/>
        </w:tabs>
        <w:numPr>
          <w:ilvl w:val="0"/>
          <w:numId w:val="6"/>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The registrant hereby undertakes to furnish copies of any of the omitted schedules</w:t>
      </w:r>
    </w:p>
    <w:p>
      <w:pPr>
        <w:spacing w:after="0" w:line="4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and exhibits upon request by the U.S. Securities and Exchange Commission.</w:t>
      </w:r>
    </w:p>
    <w:p>
      <w:pPr>
        <w:spacing w:after="0" w:line="7"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but not filed.</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8" w:name="page9"/>
    <w:bookmarkEnd w:id="8"/>
    <w:p>
      <w:pPr>
        <w:jc w:val="center"/>
        <w:ind w:right="-27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Dated: April 14,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BCTG ACQUISITION CORP.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Aaron I. Davis</w:t>
            </w:r>
          </w:p>
        </w:tc>
      </w:tr>
      <w:tr>
        <w:trPr>
          <w:trHeight w:val="179"/>
        </w:trPr>
        <w:tc>
          <w:tcPr>
            <w:tcW w:w="68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820" w:type="dxa"/>
            <w:vAlign w:val="bottom"/>
          </w:tcPr>
          <w:p>
            <w:pPr>
              <w:spacing w:after="0" w:line="179" w:lineRule="exact"/>
              <w:rPr>
                <w:sz w:val="20"/>
                <w:szCs w:val="20"/>
                <w:color w:val="auto"/>
              </w:rPr>
            </w:pPr>
            <w:r>
              <w:rPr>
                <w:rFonts w:ascii="Arial" w:cs="Arial" w:eastAsia="Arial" w:hAnsi="Arial"/>
                <w:sz w:val="16"/>
                <w:szCs w:val="16"/>
                <w:color w:val="auto"/>
              </w:rPr>
              <w:t>Aaron I. Davis</w:t>
            </w:r>
          </w:p>
        </w:tc>
      </w:tr>
      <w:tr>
        <w:trPr>
          <w:trHeight w:val="204"/>
        </w:trPr>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382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2.1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by and among</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BCTG ACQUISITION CORP.,</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BCTG MERGER SUB INC.,</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TANGO THERAPEUTICS,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Dated as of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3187065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8640" w:type="dxa"/>
            <w:vAlign w:val="bottom"/>
            <w:gridSpan w:val="3"/>
          </w:tcPr>
          <w:p>
            <w:pPr>
              <w:jc w:val="center"/>
              <w:ind w:right="1060"/>
              <w:spacing w:after="0"/>
              <w:rPr>
                <w:sz w:val="20"/>
                <w:szCs w:val="20"/>
                <w:color w:val="auto"/>
              </w:rPr>
            </w:pPr>
            <w:r>
              <w:rPr>
                <w:rFonts w:ascii="Arial" w:cs="Arial" w:eastAsia="Arial" w:hAnsi="Arial"/>
                <w:sz w:val="16"/>
                <w:szCs w:val="16"/>
                <w:b w:val="1"/>
                <w:bCs w:val="1"/>
                <w:color w:val="auto"/>
                <w:w w:val="98"/>
              </w:rPr>
              <w:t>TABLE OF CONTENTS</w:t>
            </w:r>
          </w:p>
        </w:tc>
        <w:tc>
          <w:tcPr>
            <w:tcW w:w="780" w:type="dxa"/>
            <w:vAlign w:val="bottom"/>
          </w:tcPr>
          <w:p>
            <w:pPr>
              <w:spacing w:after="0"/>
              <w:rPr>
                <w:sz w:val="16"/>
                <w:szCs w:val="16"/>
                <w:color w:val="auto"/>
              </w:rPr>
            </w:pPr>
          </w:p>
        </w:tc>
      </w:tr>
      <w:tr>
        <w:trPr>
          <w:trHeight w:val="402"/>
        </w:trPr>
        <w:tc>
          <w:tcPr>
            <w:tcW w:w="1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w w:val="96"/>
              </w:rPr>
              <w:t>ARTICLE I THE MERGER</w:t>
            </w:r>
          </w:p>
        </w:tc>
        <w:tc>
          <w:tcPr>
            <w:tcW w:w="29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Effective Time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1.4</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Effects of 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1.5</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Certificate of Incorporation and Bylaws of the Surviving Corporation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1.6</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Post-Closing Board of Directors and Officers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1.7</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Directors and Officers of the Surviving Corporation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1.8</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Preferred Stock Conversion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1.9</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 Further Ownership Rights in Company Common Stock</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1.10</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Rights Not Transferable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Taking of Necessary Action; Further Action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Section 368 Reorganization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1.14</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Dissenting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191"/>
        </w:trPr>
        <w:tc>
          <w:tcPr>
            <w:tcW w:w="4780" w:type="dxa"/>
            <w:vAlign w:val="bottom"/>
            <w:gridSpan w:val="2"/>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II MERGER CONSIDERATION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Conversion of Company Common Stock</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Effect on Capital Stock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Company Options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2.4</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Capital Stock of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2.5</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Issuance of the Merger Consideration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2.6</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 Liability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r>
      <w:tr>
        <w:trPr>
          <w:trHeight w:val="191"/>
        </w:trPr>
        <w:tc>
          <w:tcPr>
            <w:tcW w:w="4780" w:type="dxa"/>
            <w:vAlign w:val="bottom"/>
            <w:gridSpan w:val="2"/>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III REPRESENTATIONS AND WARRANTIES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Organization, Qualification and Standing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Authority; Enforceability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Consents; Required Approvals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r>
      <w:tr>
        <w:trPr>
          <w:trHeight w:val="482"/>
        </w:trPr>
        <w:tc>
          <w:tcPr>
            <w:tcW w:w="1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2"/>
          </w:tcPr>
          <w:p>
            <w:pPr>
              <w:jc w:val="center"/>
              <w:ind w:right="4020"/>
              <w:spacing w:after="0"/>
              <w:rPr>
                <w:sz w:val="20"/>
                <w:szCs w:val="20"/>
                <w:color w:val="auto"/>
              </w:rPr>
            </w:pPr>
            <w:r>
              <w:rPr>
                <w:rFonts w:ascii="Arial" w:cs="Arial" w:eastAsia="Arial" w:hAnsi="Arial"/>
                <w:sz w:val="16"/>
                <w:szCs w:val="16"/>
                <w:color w:val="auto"/>
              </w:rPr>
              <w:t>i</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89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Page</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Non-contravention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Capitalization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Bankruptcy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Financial Statements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Internal Accounting Controls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Absence of Certain Developments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Compliance with Law</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Title to Properties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International Trade Matters; Anti-Bribery Compliance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Tax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Intellectual Property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Insurance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Bank Accounts; Powers of Attorney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Material Vendors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Labor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Employee Benefits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Related Party Transactions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Material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Compliance with Privacy Laws, Privacy Policies and Certain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Compliance with Health Care Laws and Certain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SEC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Brokers and Other Advisors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Disclaimer of Other Representations and Warranties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506"/>
        </w:trPr>
        <w:tc>
          <w:tcPr>
            <w:tcW w:w="1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500"/>
              <w:spacing w:after="0"/>
              <w:rPr>
                <w:sz w:val="20"/>
                <w:szCs w:val="20"/>
                <w:color w:val="auto"/>
              </w:rPr>
            </w:pPr>
            <w:r>
              <w:rPr>
                <w:rFonts w:ascii="Arial" w:cs="Arial" w:eastAsia="Arial" w:hAnsi="Arial"/>
                <w:sz w:val="16"/>
                <w:szCs w:val="16"/>
                <w:color w:val="auto"/>
              </w:rPr>
              <w:t>ii</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89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IV REPRESENTATIONS AND WARRANTIES OF PARENT AND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Organization, Qualification and Standing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Authority; Enforceability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Non-contravention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Brokers and Other Advisors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Capitalization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Issuance of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Consents; Required Approvals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Trust Account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Employees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Tax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Listing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Reporting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Undisclosed 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Parent SEC Documents and Parent Financial Statements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Business Activities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Parent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PIPE Financing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Independent Investigation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Information Supplied</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Investment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Lockup</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Insider Letter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Board Approval</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Vote Required</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Disclaimer of Other Representations and Warranties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506"/>
        </w:trPr>
        <w:tc>
          <w:tcPr>
            <w:tcW w:w="1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480"/>
              <w:spacing w:after="0"/>
              <w:rPr>
                <w:sz w:val="20"/>
                <w:szCs w:val="20"/>
                <w:color w:val="auto"/>
              </w:rPr>
            </w:pPr>
            <w:r>
              <w:rPr>
                <w:rFonts w:ascii="Arial" w:cs="Arial" w:eastAsia="Arial" w:hAnsi="Arial"/>
                <w:sz w:val="16"/>
                <w:szCs w:val="16"/>
                <w:color w:val="auto"/>
              </w:rPr>
              <w:t>iii</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898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 COVENANTS AND AGREEMENTS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5.1</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Conduct of Business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5.2</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Access to Information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5.3</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Additional Financial Information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5.4</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Lock-Up</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5.5</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Notice of Changes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5.6</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D&amp;O Insurance; Indemnification of Officers and Directors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5.7</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Tax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VI COVENANTS OF PARENT AND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6.1</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Operations of Parent Prior to the 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6.2</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Listing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6.3</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Trust Account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6.4</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Insider Letter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6.5</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Parent Public Filings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6.6</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Section 16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6.7</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Notice of Changes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6.8</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Adoption of Equity Incentive Plan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VII ACTIONS PRIOR TO THE 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7.1</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No Shop</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7.2</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Efforts to Consummate the Transactions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7.3</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PIPE Financing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7.4</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Cooperation with Proxy Statement; Other Filings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7.5</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Stockholder Vote; Recommendation of Parent’s Board of Directors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7.6</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Parent Stockholders’ Meeting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7.7</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Form 8-K; Press Releases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506"/>
        </w:trPr>
        <w:tc>
          <w:tcPr>
            <w:tcW w:w="1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500"/>
              <w:spacing w:after="0"/>
              <w:rPr>
                <w:sz w:val="20"/>
                <w:szCs w:val="20"/>
                <w:color w:val="auto"/>
              </w:rPr>
            </w:pPr>
            <w:r>
              <w:rPr>
                <w:rFonts w:ascii="Arial" w:cs="Arial" w:eastAsia="Arial" w:hAnsi="Arial"/>
                <w:sz w:val="16"/>
                <w:szCs w:val="16"/>
                <w:color w:val="auto"/>
              </w:rPr>
              <w:t>iv</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8900" w:type="dxa"/>
            <w:vAlign w:val="bottom"/>
            <w:gridSpan w:val="3"/>
          </w:tcPr>
          <w:p>
            <w:pPr>
              <w:jc w:val="center"/>
              <w:ind w:right="82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7.8</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Fees and Expenses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7.9</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Section 368 Reorganization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7.10</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Stockholder Litigation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VIII CONDITIONS PRECEDENT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8.1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Conditions to Each Party’s Obligation to Effect 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8.2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Conditions to Obligations of Parent and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8.3</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Conditions to Obligation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IX TERMINATION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9.1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Termination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9.2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Effect of Termination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X MISCELLANEOUS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Amendment or Supplement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Extension of Time, Waiver, Etc</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10.3</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Assignment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10.4</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Counterparts; Facsimile; Electronic Transmission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10.5</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Entire Agreement; No Third-Party Beneficiaries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10.6</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Governing Law</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10.7</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Specific Enforcement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10.8</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Consent to Jurisdiction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10.9</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Waiver of Jury Trial</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10.10</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Notices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Severability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Remedies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10.13</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Waiver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10.14</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506"/>
        </w:trPr>
        <w:tc>
          <w:tcPr>
            <w:tcW w:w="1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500"/>
              <w:spacing w:after="0"/>
              <w:rPr>
                <w:sz w:val="20"/>
                <w:szCs w:val="20"/>
                <w:color w:val="auto"/>
              </w:rPr>
            </w:pPr>
            <w:r>
              <w:rPr>
                <w:rFonts w:ascii="Arial" w:cs="Arial" w:eastAsia="Arial" w:hAnsi="Arial"/>
                <w:sz w:val="16"/>
                <w:szCs w:val="16"/>
                <w:color w:val="auto"/>
                <w:w w:val="99"/>
              </w:rPr>
              <w:t>v</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60" w:type="dxa"/>
            <w:vAlign w:val="bottom"/>
            <w:gridSpan w:val="3"/>
          </w:tcPr>
          <w:p>
            <w:pPr>
              <w:ind w:left="2640"/>
              <w:spacing w:after="0"/>
              <w:rPr>
                <w:sz w:val="20"/>
                <w:szCs w:val="20"/>
                <w:color w:val="auto"/>
              </w:rPr>
            </w:pPr>
            <w:r>
              <w:rPr>
                <w:rFonts w:ascii="Arial" w:cs="Arial" w:eastAsia="Arial" w:hAnsi="Arial"/>
                <w:sz w:val="16"/>
                <w:szCs w:val="16"/>
                <w:b w:val="1"/>
                <w:bCs w:val="1"/>
                <w:color w:val="auto"/>
              </w:rPr>
              <w:t>TABLE OF CONTENTS CONTINUED</w:t>
            </w:r>
          </w:p>
        </w:tc>
        <w:tc>
          <w:tcPr>
            <w:tcW w:w="780" w:type="dxa"/>
            <w:vAlign w:val="bottom"/>
          </w:tcPr>
          <w:p>
            <w:pPr>
              <w:spacing w:after="0"/>
              <w:rPr>
                <w:sz w:val="16"/>
                <w:szCs w:val="16"/>
                <w:color w:val="auto"/>
              </w:rPr>
            </w:pPr>
          </w:p>
        </w:tc>
      </w:tr>
      <w:tr>
        <w:trPr>
          <w:trHeight w:val="402"/>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10.15</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Interpretation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620" w:type="dxa"/>
            <w:vAlign w:val="bottom"/>
            <w:gridSpan w:val="2"/>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10.16</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Publicity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620" w:type="dxa"/>
            <w:vAlign w:val="bottom"/>
            <w:gridSpan w:val="2"/>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10.17</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Nonsurvival of Representations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620" w:type="dxa"/>
            <w:vAlign w:val="bottom"/>
            <w:gridSpan w:val="2"/>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10.18</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Non-Recourse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561"/>
        </w:trPr>
        <w:tc>
          <w:tcPr>
            <w:tcW w:w="1060" w:type="dxa"/>
            <w:vAlign w:val="bottom"/>
          </w:tcPr>
          <w:p>
            <w:pPr>
              <w:spacing w:after="0"/>
              <w:rPr>
                <w:sz w:val="20"/>
                <w:szCs w:val="20"/>
                <w:color w:val="auto"/>
              </w:rPr>
            </w:pPr>
            <w:r>
              <w:rPr>
                <w:rFonts w:ascii="Arial" w:cs="Arial" w:eastAsia="Arial" w:hAnsi="Arial"/>
                <w:sz w:val="16"/>
                <w:szCs w:val="16"/>
                <w:b w:val="1"/>
                <w:bCs w:val="1"/>
                <w:color w:val="auto"/>
              </w:rPr>
              <w:t>EXHIBITS</w:t>
            </w:r>
          </w:p>
        </w:tc>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A</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Company Stockholder Support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B</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Sponsor Support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C</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Certificate of Merger</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D</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Lock-up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E</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Second Amended and Restated Certificate of Incorporation of Parent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F</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Amended and Restated Bylaws of Parent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G</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Amended and Restated Registration Rights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H</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Equity Incentive Plan</w:t>
            </w:r>
          </w:p>
        </w:tc>
        <w:tc>
          <w:tcPr>
            <w:tcW w:w="780" w:type="dxa"/>
            <w:vAlign w:val="bottom"/>
          </w:tcPr>
          <w:p>
            <w:pPr>
              <w:spacing w:after="0"/>
              <w:rPr>
                <w:sz w:val="16"/>
                <w:szCs w:val="16"/>
                <w:color w:val="auto"/>
              </w:rPr>
            </w:pPr>
          </w:p>
        </w:tc>
      </w:tr>
      <w:tr>
        <w:trPr>
          <w:trHeight w:val="204"/>
        </w:trPr>
        <w:tc>
          <w:tcPr>
            <w:tcW w:w="1060" w:type="dxa"/>
            <w:vAlign w:val="bottom"/>
          </w:tcPr>
          <w:p>
            <w:pPr>
              <w:spacing w:after="0"/>
              <w:rPr>
                <w:sz w:val="20"/>
                <w:szCs w:val="20"/>
                <w:color w:val="auto"/>
              </w:rPr>
            </w:pPr>
            <w:r>
              <w:rPr>
                <w:rFonts w:ascii="Arial" w:cs="Arial" w:eastAsia="Arial" w:hAnsi="Arial"/>
                <w:sz w:val="16"/>
                <w:szCs w:val="16"/>
                <w:color w:val="auto"/>
              </w:rPr>
              <w:t>Exhibit I</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Employee Stock Purchase Plan</w:t>
            </w:r>
          </w:p>
        </w:tc>
        <w:tc>
          <w:tcPr>
            <w:tcW w:w="780" w:type="dxa"/>
            <w:vAlign w:val="bottom"/>
          </w:tcPr>
          <w:p>
            <w:pPr>
              <w:spacing w:after="0"/>
              <w:rPr>
                <w:sz w:val="17"/>
                <w:szCs w:val="17"/>
                <w:color w:val="auto"/>
              </w:rPr>
            </w:pPr>
          </w:p>
        </w:tc>
      </w:tr>
      <w:tr>
        <w:trPr>
          <w:trHeight w:val="370"/>
        </w:trPr>
        <w:tc>
          <w:tcPr>
            <w:tcW w:w="1060" w:type="dxa"/>
            <w:vAlign w:val="bottom"/>
          </w:tcPr>
          <w:p>
            <w:pPr>
              <w:spacing w:after="0"/>
              <w:rPr>
                <w:sz w:val="20"/>
                <w:szCs w:val="20"/>
                <w:color w:val="auto"/>
              </w:rPr>
            </w:pPr>
            <w:r>
              <w:rPr>
                <w:rFonts w:ascii="Arial" w:cs="Arial" w:eastAsia="Arial" w:hAnsi="Arial"/>
                <w:sz w:val="16"/>
                <w:szCs w:val="16"/>
                <w:b w:val="1"/>
                <w:bCs w:val="1"/>
                <w:color w:val="auto"/>
              </w:rPr>
              <w:t>SCHEDULES</w:t>
            </w:r>
          </w:p>
        </w:tc>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1"/>
        </w:trPr>
        <w:tc>
          <w:tcPr>
            <w:tcW w:w="1620" w:type="dxa"/>
            <w:vAlign w:val="bottom"/>
            <w:gridSpan w:val="2"/>
          </w:tcPr>
          <w:p>
            <w:pPr>
              <w:spacing w:after="0"/>
              <w:rPr>
                <w:sz w:val="20"/>
                <w:szCs w:val="20"/>
                <w:color w:val="auto"/>
              </w:rPr>
            </w:pPr>
            <w:r>
              <w:rPr>
                <w:rFonts w:ascii="Arial" w:cs="Arial" w:eastAsia="Arial" w:hAnsi="Arial"/>
                <w:sz w:val="16"/>
                <w:szCs w:val="16"/>
                <w:color w:val="auto"/>
              </w:rPr>
              <w:t>Disclosure Schedules</w:t>
            </w: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Schedule 1.7</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Directors and Officers of the Surviving Corporation</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Schedule 2.1</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Equityholder Allocation Schedule</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Schedule 5.1</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Conduct of Business of the Company</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2"/>
              </w:rPr>
              <w:t>Schedule 6.1(b)</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Required Consents for Conduct of Business of Parent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2"/>
              </w:rPr>
              <w:t>Schedule 7.2(e)</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Required Consents</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2"/>
              </w:rPr>
              <w:t>Schedule 8.2(g)</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List of Key Stockholders</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6"/>
              </w:rPr>
              <w:t>Schedule 8.2(j)</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Third Party Consents</w:t>
            </w:r>
          </w:p>
        </w:tc>
        <w:tc>
          <w:tcPr>
            <w:tcW w:w="780" w:type="dxa"/>
            <w:vAlign w:val="bottom"/>
          </w:tcPr>
          <w:p>
            <w:pPr>
              <w:spacing w:after="0"/>
              <w:rPr>
                <w:sz w:val="16"/>
                <w:szCs w:val="16"/>
                <w:color w:val="auto"/>
              </w:rPr>
            </w:pPr>
          </w:p>
        </w:tc>
      </w:tr>
      <w:tr>
        <w:trPr>
          <w:trHeight w:val="191"/>
        </w:trPr>
        <w:tc>
          <w:tcPr>
            <w:tcW w:w="1620" w:type="dxa"/>
            <w:vAlign w:val="bottom"/>
            <w:gridSpan w:val="2"/>
          </w:tcPr>
          <w:p>
            <w:pPr>
              <w:spacing w:after="0"/>
              <w:rPr>
                <w:sz w:val="20"/>
                <w:szCs w:val="20"/>
                <w:color w:val="auto"/>
              </w:rPr>
            </w:pPr>
            <w:r>
              <w:rPr>
                <w:rFonts w:ascii="Arial" w:cs="Arial" w:eastAsia="Arial" w:hAnsi="Arial"/>
                <w:sz w:val="16"/>
                <w:szCs w:val="16"/>
                <w:color w:val="auto"/>
              </w:rPr>
              <w:t>Schedule 10.14(a)</w:t>
            </w: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BCTG Insiders</w:t>
            </w:r>
          </w:p>
        </w:tc>
        <w:tc>
          <w:tcPr>
            <w:tcW w:w="780" w:type="dxa"/>
            <w:vAlign w:val="bottom"/>
          </w:tcPr>
          <w:p>
            <w:pPr>
              <w:spacing w:after="0"/>
              <w:rPr>
                <w:sz w:val="16"/>
                <w:szCs w:val="16"/>
                <w:color w:val="auto"/>
              </w:rPr>
            </w:pPr>
          </w:p>
        </w:tc>
      </w:tr>
      <w:tr>
        <w:trPr>
          <w:trHeight w:val="204"/>
        </w:trPr>
        <w:tc>
          <w:tcPr>
            <w:tcW w:w="1620" w:type="dxa"/>
            <w:vAlign w:val="bottom"/>
            <w:gridSpan w:val="2"/>
          </w:tcPr>
          <w:p>
            <w:pPr>
              <w:spacing w:after="0"/>
              <w:rPr>
                <w:sz w:val="20"/>
                <w:szCs w:val="20"/>
                <w:color w:val="auto"/>
              </w:rPr>
            </w:pPr>
            <w:r>
              <w:rPr>
                <w:rFonts w:ascii="Arial" w:cs="Arial" w:eastAsia="Arial" w:hAnsi="Arial"/>
                <w:sz w:val="16"/>
                <w:szCs w:val="16"/>
                <w:color w:val="auto"/>
              </w:rPr>
              <w:t>Schedule 10.14(b)</w:t>
            </w: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Persons Having Knowledge</w:t>
            </w:r>
          </w:p>
        </w:tc>
        <w:tc>
          <w:tcPr>
            <w:tcW w:w="780" w:type="dxa"/>
            <w:vAlign w:val="bottom"/>
          </w:tcPr>
          <w:p>
            <w:pPr>
              <w:spacing w:after="0"/>
              <w:rPr>
                <w:sz w:val="17"/>
                <w:szCs w:val="17"/>
                <w:color w:val="auto"/>
              </w:rPr>
            </w:pPr>
          </w:p>
        </w:tc>
      </w:tr>
    </w:tbl>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16" w:name="page17"/>
    <w:bookmarkEnd w:id="16"/>
    <w:p>
      <w:pPr>
        <w:jc w:val="both"/>
        <w:ind w:firstLine="574"/>
        <w:spacing w:after="0" w:line="258"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April 13, 2021, is entered into by and among BCTG Acquisition Corp.,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BCTG Merger Sub Inc., a Delaware corporation and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Parent, Merger Sub and the Company are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or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Certain terms used in this Agreement are used as defined in </w:t>
      </w:r>
      <w:r>
        <w:rPr>
          <w:rFonts w:ascii="Arial" w:cs="Arial" w:eastAsia="Arial" w:hAnsi="Arial"/>
          <w:sz w:val="16"/>
          <w:szCs w:val="16"/>
          <w:u w:val="single" w:color="auto"/>
          <w:color w:val="auto"/>
        </w:rPr>
        <w:t>Section 10.14</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RECITALS: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Parent is a blank check company formed for the sole purpose of entering into a share exchange, asset acquisition, share purchase, recapitalization, reorganization or other similar business combination with one or more businesses or entities;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Parent, Merger Sub and the Company intend to effect a merger of Merger Sub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in accordance with this Agreement and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it is intended, for U.S. federal income Tax purposes, that the Merger will be treated as qualifying as a “reorganization” within the meaning of Section 368(a) of the Code (the “</w:t>
      </w:r>
      <w:r>
        <w:rPr>
          <w:rFonts w:ascii="Arial" w:cs="Arial" w:eastAsia="Arial" w:hAnsi="Arial"/>
          <w:sz w:val="15"/>
          <w:szCs w:val="15"/>
          <w:u w:val="single" w:color="auto"/>
          <w:color w:val="auto"/>
        </w:rPr>
        <w:t>Intended Tax Treatment</w:t>
      </w:r>
      <w:r>
        <w:rPr>
          <w:rFonts w:ascii="Arial" w:cs="Arial" w:eastAsia="Arial" w:hAnsi="Arial"/>
          <w:sz w:val="15"/>
          <w:szCs w:val="15"/>
          <w:color w:val="auto"/>
        </w:rPr>
        <w:t>”). By executing this Agreement, the Parties hereby adopt this Agreement as a “plan of reorganization” within the meaning of Treasury Regulations Sections 1.368-2(g) and 1.368-3, and intend to file the statement required by Treasury Regulations Section 1.368-3(a);</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it is anticipated that, prior to the consummation of the Merger, all shares of Company Preferred Stock will be converted into shares of Company Common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18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upon consummation of the Merger, Merger Sub will cease to exist, the Company will become a wholly owned subsidiary of Parent and the outstanding (i) shares of the Company’s common stock, par value $0.001 per share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(ii) Company Options will be converted into the right to receive the consideration described in this Agreement;</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in connection with the Transactions, Parent will enter into subscription agreements (each, as amended or modified from time to time, a “</w:t>
      </w:r>
      <w:r>
        <w:rPr>
          <w:rFonts w:ascii="Arial" w:cs="Arial" w:eastAsia="Arial" w:hAnsi="Arial"/>
          <w:sz w:val="16"/>
          <w:szCs w:val="16"/>
          <w:u w:val="single" w:color="auto"/>
          <w:color w:val="auto"/>
        </w:rPr>
        <w:t>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the Parent Investors providing for aggregate investments in Parent of Parent Common Stock in a private placement of an amount not to exceed $186,100,000 (the “</w:t>
      </w:r>
      <w:r>
        <w:rPr>
          <w:rFonts w:ascii="Arial" w:cs="Arial" w:eastAsia="Arial" w:hAnsi="Arial"/>
          <w:sz w:val="16"/>
          <w:szCs w:val="16"/>
          <w:u w:val="single" w:color="auto"/>
          <w:color w:val="auto"/>
        </w:rPr>
        <w:t>PIPE Financing</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Board of Directors of the Company has determined that this Agreement, the Merger and the Transactions are fair and advisable to, and in the best interests of the Company and the Stockholders;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Board of Directors of the Parent has determined that this Agreement, the Merger and the Transactions are fair and advisable to, and in the best interests of Parent and its stockholders;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Board of Directors of the Parent has approved the Merger and adopted this Agreement as the sole stockholder of Merger Sub and has determined to recommend that the stockholders of the Parent adopt, authorize and approve this Agreement, the Merger and the Transactions;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in conjunction with, inter alia, obtaining approval from the stockholders of Parent for the Merger and the Transactions, Parent shall provide an opportunity to its Parent Public Stockholders who purchased Parent Common Stock in the IPO to have their shares redeemed for the consideration, on the terms and subject to the conditions and limitations, set forth in the Prospectus and the Certificate of Incorporation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 w:name="page18"/>
    <w:bookmarkEnd w:id="17"/>
    <w:p>
      <w:pPr>
        <w:jc w:val="both"/>
        <w:ind w:right="20" w:firstLine="574"/>
        <w:spacing w:after="0" w:line="262" w:lineRule="auto"/>
        <w:rPr>
          <w:sz w:val="20"/>
          <w:szCs w:val="20"/>
          <w:color w:val="auto"/>
        </w:rPr>
      </w:pPr>
      <w:r>
        <w:rPr>
          <w:rFonts w:ascii="Arial" w:cs="Arial" w:eastAsia="Arial" w:hAnsi="Arial"/>
          <w:sz w:val="16"/>
          <w:szCs w:val="16"/>
          <w:color w:val="auto"/>
        </w:rPr>
        <w:t xml:space="preserve">WHEREAS, contemporaneously with the execution and delivery of this Agreement, in connection with the Transactions, Parent and the Requisite Common Vote are entering into Company Stockholder support agreements, dated as of the date hereof,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providing that, among other things, such persons will vote their Company Shares in favor of this Agreement, Merger and the other Transactions; and</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WHEREAS, contemporaneously with the execution and delivery of this Agreement, in connection with the Transactions, the Company and BCTG Holdings, LLC (the “</w:t>
      </w:r>
      <w:r>
        <w:rPr>
          <w:rFonts w:ascii="Arial" w:cs="Arial" w:eastAsia="Arial" w:hAnsi="Arial"/>
          <w:sz w:val="16"/>
          <w:szCs w:val="16"/>
          <w:u w:val="single" w:color="auto"/>
          <w:color w:val="auto"/>
        </w:rPr>
        <w:t>Sponsor</w:t>
      </w:r>
      <w:r>
        <w:rPr>
          <w:rFonts w:ascii="Arial" w:cs="Arial" w:eastAsia="Arial" w:hAnsi="Arial"/>
          <w:sz w:val="16"/>
          <w:szCs w:val="16"/>
          <w:color w:val="auto"/>
        </w:rPr>
        <w:t>”) are entering into Sponsor Support Agreement, dated as of the date hereof (the “</w:t>
      </w:r>
      <w:r>
        <w:rPr>
          <w:rFonts w:ascii="Arial" w:cs="Arial" w:eastAsia="Arial" w:hAnsi="Arial"/>
          <w:sz w:val="16"/>
          <w:szCs w:val="16"/>
          <w:u w:val="single" w:color="auto"/>
          <w:color w:val="auto"/>
        </w:rPr>
        <w:t>Sponsor Support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providing that, among other things, the Sponsor pursuant to the Sponsor Support Agreement will vote its shares of Parent Common Stock in favor of this Agreement and the Transactions.</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NOW, THEREFORE, in consideration of the premises, covenants, agreements, representations and warranties set forth herein, and for other good and valuable consideration, the Parties to this Agreement, intending to be legally bound, agree as follows: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MERGER</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The Merger</w:t>
      </w:r>
      <w:r>
        <w:rPr>
          <w:rFonts w:ascii="Arial" w:cs="Arial" w:eastAsia="Arial" w:hAnsi="Arial"/>
          <w:sz w:val="15"/>
          <w:szCs w:val="15"/>
          <w:color w:val="auto"/>
        </w:rPr>
        <w:t>. Upon the terms and subject to the conditions set forth in this Agreement, and in accordance with the DGCL, at the Effective Time, (a) Merger Sub shall be merged with and into the Company, (b) the separate corporate existence of Merger Sub shall thereupon cease, and the Company shall be the surviving corporation in the Merger (the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and (c) the Surviving Corporation shall become a wholly-owned Subsidiary of Parent.</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as promptly as practicable, but in no event later than the third (3rd) Business Day following the satisfaction or waiver (to the extent permitted by applicable Law and the Organizational Documents of Parent) of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those conditions that by their nature are to be satisfied at the Closing, but subject to the satisfaction or waiver of such conditions at such time), unless another time or date, or both, are agreed in writing by the Company and Parent. The date on which the Closing is held is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Closing will take place remotely via exchange of documents and signature pages via electronic transmission.</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Subject to the provisions of this Agreement, at the Closing, the Company shall file a certificate of merger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the Secretary of State of the State of Delaware, executed in accordance with the relevant provisions of the DGCL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set forth herein and in the DGCL.</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 w:name="page19"/>
    <w:bookmarkEnd w:id="18"/>
    <w:p>
      <w:pPr>
        <w:ind w:left="560"/>
        <w:spacing w:after="0"/>
        <w:rPr>
          <w:sz w:val="20"/>
          <w:szCs w:val="20"/>
          <w:color w:val="auto"/>
        </w:rPr>
      </w:pPr>
      <w:r>
        <w:rPr>
          <w:rFonts w:ascii="Arial" w:cs="Arial" w:eastAsia="Arial" w:hAnsi="Arial"/>
          <w:sz w:val="16"/>
          <w:szCs w:val="16"/>
          <w:color w:val="auto"/>
        </w:rPr>
        <w:t>Section 1.5 Certificate of Incorporation and Bylaws of the Surviving Corporation.</w:t>
      </w:r>
    </w:p>
    <w:p>
      <w:pPr>
        <w:spacing w:after="0" w:line="198" w:lineRule="exact"/>
        <w:rPr>
          <w:sz w:val="20"/>
          <w:szCs w:val="20"/>
          <w:color w:val="auto"/>
        </w:rPr>
      </w:pPr>
    </w:p>
    <w:p>
      <w:pPr>
        <w:jc w:val="both"/>
        <w:ind w:firstLine="1143"/>
        <w:spacing w:after="0" w:line="262" w:lineRule="auto"/>
        <w:tabs>
          <w:tab w:leader="none" w:pos="1393"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the Effective Time and until further amended in accordance with applicable Law, the Certificate of Incorporation of the Surviving Corporation shall be amended to be identical to the Certificate of Incorporation of Merger Sub as in effect immediately prior to the Effective Time; provided, that such Certificate of Incorporation shall be amended to reflect that the name of the Surviving Corporation shall be “Tango Therapeutics, Inc.”</w:t>
      </w:r>
    </w:p>
    <w:p>
      <w:pPr>
        <w:spacing w:after="0" w:line="162" w:lineRule="exact"/>
        <w:rPr>
          <w:rFonts w:ascii="Arial" w:cs="Arial" w:eastAsia="Arial" w:hAnsi="Arial"/>
          <w:sz w:val="16"/>
          <w:szCs w:val="16"/>
          <w:color w:val="auto"/>
        </w:rPr>
      </w:pPr>
    </w:p>
    <w:p>
      <w:pPr>
        <w:ind w:right="20" w:firstLine="1143"/>
        <w:spacing w:after="0" w:line="275" w:lineRule="auto"/>
        <w:tabs>
          <w:tab w:leader="none" w:pos="1398"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the Effective Time and until further amended in accordance with applicable Law, the bylaws of the Surviving Corporation shall be amended to be identical to the bylaws of Merger Sub as in effect immediately prior to the Effective Time.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Post-Closing Board of Directors and Officers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6" w:lineRule="auto"/>
        <w:tabs>
          <w:tab w:leader="none" w:pos="1378" w:val="left"/>
        </w:tabs>
        <w:numPr>
          <w:ilvl w:val="0"/>
          <w:numId w:val="8"/>
        </w:numPr>
        <w:rPr>
          <w:rFonts w:ascii="Arial" w:cs="Arial" w:eastAsia="Arial" w:hAnsi="Arial"/>
          <w:sz w:val="14"/>
          <w:szCs w:val="14"/>
          <w:color w:val="auto"/>
        </w:rPr>
      </w:pPr>
      <w:r>
        <w:rPr>
          <w:rFonts w:ascii="Arial" w:cs="Arial" w:eastAsia="Arial" w:hAnsi="Arial"/>
          <w:sz w:val="14"/>
          <w:szCs w:val="14"/>
          <w:color w:val="auto"/>
        </w:rPr>
        <w:t>Immediately after the Closing, the initial slate of directors of Parent’s board of directors after the Closing (the “</w:t>
      </w:r>
      <w:r>
        <w:rPr>
          <w:rFonts w:ascii="Arial" w:cs="Arial" w:eastAsia="Arial" w:hAnsi="Arial"/>
          <w:sz w:val="14"/>
          <w:szCs w:val="14"/>
          <w:u w:val="single" w:color="auto"/>
          <w:color w:val="auto"/>
        </w:rPr>
        <w:t>Post-Closing Board of Directors</w:t>
      </w:r>
      <w:r>
        <w:rPr>
          <w:rFonts w:ascii="Arial" w:cs="Arial" w:eastAsia="Arial" w:hAnsi="Arial"/>
          <w:sz w:val="14"/>
          <w:szCs w:val="14"/>
          <w:color w:val="auto"/>
        </w:rPr>
        <w:t>”) will consist of nine (9) directors, who shall be the same individuals serving as directors of the Company immediately prior to the Effective Time. At least a majority of the Post-Closing Board of Directors shall qualify as independent directors under the Securities Act and the Nasdaq rules. If, at or after the Effective Time, a vacancy shall exist on the Post-Closing Board of Directors, such vacancy shall be filled in the manner provided in the Parent Organizational Documents as in effect as of the Closing and applicable Law.</w:t>
      </w:r>
    </w:p>
    <w:p>
      <w:pPr>
        <w:spacing w:after="0" w:line="134" w:lineRule="exact"/>
        <w:rPr>
          <w:rFonts w:ascii="Arial" w:cs="Arial" w:eastAsia="Arial" w:hAnsi="Arial"/>
          <w:sz w:val="14"/>
          <w:szCs w:val="14"/>
          <w:color w:val="auto"/>
        </w:rPr>
      </w:pPr>
    </w:p>
    <w:p>
      <w:pPr>
        <w:ind w:right="20" w:firstLine="1143"/>
        <w:spacing w:after="0" w:line="309" w:lineRule="auto"/>
        <w:tabs>
          <w:tab w:leader="none" w:pos="1382" w:val="left"/>
        </w:tabs>
        <w:numPr>
          <w:ilvl w:val="0"/>
          <w:numId w:val="8"/>
        </w:numPr>
        <w:rPr>
          <w:rFonts w:ascii="Arial" w:cs="Arial" w:eastAsia="Arial" w:hAnsi="Arial"/>
          <w:sz w:val="15"/>
          <w:szCs w:val="15"/>
          <w:color w:val="auto"/>
        </w:rPr>
      </w:pPr>
      <w:r>
        <w:rPr>
          <w:rFonts w:ascii="Arial" w:cs="Arial" w:eastAsia="Arial" w:hAnsi="Arial"/>
          <w:sz w:val="15"/>
          <w:szCs w:val="15"/>
          <w:color w:val="auto"/>
        </w:rPr>
        <w:t>Parent shall take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129" w:lineRule="exact"/>
        <w:rPr>
          <w:rFonts w:ascii="Arial" w:cs="Arial" w:eastAsia="Arial" w:hAnsi="Arial"/>
          <w:sz w:val="15"/>
          <w:szCs w:val="15"/>
          <w:color w:val="auto"/>
        </w:rPr>
      </w:pPr>
    </w:p>
    <w:p>
      <w:pPr>
        <w:ind w:right="20" w:firstLine="1143"/>
        <w:spacing w:after="0" w:line="275" w:lineRule="auto"/>
        <w:tabs>
          <w:tab w:leader="none" w:pos="1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Prior to the Closing, the Parent’s board of directors shall review the Amended and Restated Bylaws of Parent in the form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Amended and Restated Bylaws</w:t>
      </w:r>
      <w:r>
        <w:rPr>
          <w:rFonts w:ascii="Arial" w:cs="Arial" w:eastAsia="Arial" w:hAnsi="Arial"/>
          <w:sz w:val="16"/>
          <w:szCs w:val="16"/>
          <w:color w:val="auto"/>
        </w:rPr>
        <w:t>”), and thereafter shall adopt the Parent Amended and Restated Bylaws, with effect from the Closing.</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 xml:space="preserve">Section 1.7 </w:t>
      </w:r>
      <w:r>
        <w:rPr>
          <w:rFonts w:ascii="Arial" w:cs="Arial" w:eastAsia="Arial" w:hAnsi="Arial"/>
          <w:sz w:val="14"/>
          <w:szCs w:val="14"/>
          <w:u w:val="single" w:color="auto"/>
          <w:color w:val="auto"/>
        </w:rPr>
        <w:t>Directors and Officers of the Surviving Corporation</w:t>
      </w:r>
      <w:r>
        <w:rPr>
          <w:rFonts w:ascii="Arial" w:cs="Arial" w:eastAsia="Arial" w:hAnsi="Arial"/>
          <w:sz w:val="14"/>
          <w:szCs w:val="14"/>
          <w:color w:val="auto"/>
        </w:rPr>
        <w:t xml:space="preserve">. From and after the Effective Time, the directors and the officers of the Surviving Corporation shall be those persons set forth on </w:t>
      </w:r>
      <w:r>
        <w:rPr>
          <w:rFonts w:ascii="Arial" w:cs="Arial" w:eastAsia="Arial" w:hAnsi="Arial"/>
          <w:sz w:val="14"/>
          <w:szCs w:val="14"/>
          <w:u w:val="single" w:color="auto"/>
          <w:color w:val="auto"/>
        </w:rPr>
        <w:t>Schedule 1.7</w:t>
      </w:r>
      <w:r>
        <w:rPr>
          <w:rFonts w:ascii="Arial" w:cs="Arial" w:eastAsia="Arial" w:hAnsi="Arial"/>
          <w:sz w:val="14"/>
          <w:szCs w:val="14"/>
          <w:color w:val="auto"/>
        </w:rPr>
        <w:t xml:space="preserve"> (or such other Persons as designated by the Company prior to the Closing). The directors and officers of the Surviving Corporation shall hold office for the term specified in, and subject to the provisions contained in, the Surviving Corporation’s Organizational Documents and applicable Law.</w:t>
      </w:r>
    </w:p>
    <w:p>
      <w:pPr>
        <w:spacing w:after="0" w:line="127"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1.8 </w:t>
      </w:r>
      <w:r>
        <w:rPr>
          <w:rFonts w:ascii="Arial" w:cs="Arial" w:eastAsia="Arial" w:hAnsi="Arial"/>
          <w:sz w:val="14"/>
          <w:szCs w:val="14"/>
          <w:u w:val="single" w:color="auto"/>
          <w:color w:val="auto"/>
        </w:rPr>
        <w:t>Preferred Stock Conversion</w:t>
      </w:r>
      <w:r>
        <w:rPr>
          <w:rFonts w:ascii="Arial" w:cs="Arial" w:eastAsia="Arial" w:hAnsi="Arial"/>
          <w:sz w:val="14"/>
          <w:szCs w:val="14"/>
          <w:color w:val="auto"/>
        </w:rPr>
        <w:t>. The Company shall take all actions necessary to cause each share of Company Preferred Stock that is issued and outstanding immediately prior to the Effective Time to be automatically converted immediately prior to the Effective Time into a number of shares of Company Common Stock at the then-effective conversion rate as calculated pursuant to and in accordance with the Company’s Organizational Documents (the “</w:t>
      </w:r>
      <w:r>
        <w:rPr>
          <w:rFonts w:ascii="Arial" w:cs="Arial" w:eastAsia="Arial" w:hAnsi="Arial"/>
          <w:sz w:val="14"/>
          <w:szCs w:val="14"/>
          <w:u w:val="single" w:color="auto"/>
          <w:color w:val="auto"/>
        </w:rPr>
        <w:t>Company Preferred Stock Conversion</w:t>
      </w:r>
      <w:r>
        <w:rPr>
          <w:rFonts w:ascii="Arial" w:cs="Arial" w:eastAsia="Arial" w:hAnsi="Arial"/>
          <w:sz w:val="14"/>
          <w:szCs w:val="14"/>
          <w:color w:val="auto"/>
        </w:rPr>
        <w:t>”). All of the shares of Company Preferred Stock converted into shares of Company Common Stock shall be canceled, shall no longer be outstanding and shall cease to exist and no payment or distribution shall be made with respect thereto, and each holder of shares of Company Preferred Stock shall thereafter cease to have any rights with respect to such securities.</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No Further Ownership Rights in Company Common Stock</w:t>
      </w:r>
      <w:r>
        <w:rPr>
          <w:rFonts w:ascii="Arial" w:cs="Arial" w:eastAsia="Arial" w:hAnsi="Arial"/>
          <w:sz w:val="16"/>
          <w:szCs w:val="16"/>
          <w:color w:val="auto"/>
        </w:rPr>
        <w:t>. At the Effective Time, the stock transfer books of the Company shall be closed and thereafter there shall be no further registration of transfers of shares of Company Common Stock on the records of the Company.</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 xml:space="preserve">Section 1.10 </w:t>
      </w:r>
      <w:r>
        <w:rPr>
          <w:rFonts w:ascii="Arial" w:cs="Arial" w:eastAsia="Arial" w:hAnsi="Arial"/>
          <w:sz w:val="14"/>
          <w:szCs w:val="14"/>
          <w:u w:val="single" w:color="auto"/>
          <w:color w:val="auto"/>
        </w:rPr>
        <w:t>Rights Not Transferable</w:t>
      </w:r>
      <w:r>
        <w:rPr>
          <w:rFonts w:ascii="Arial" w:cs="Arial" w:eastAsia="Arial" w:hAnsi="Arial"/>
          <w:sz w:val="14"/>
          <w:szCs w:val="14"/>
          <w:color w:val="auto"/>
        </w:rPr>
        <w:t>. The rights of the Stockholders as of immediately prior to the Effective Time are personal to each such holder and shall not be assignable or otherwise transferable for any reason (except (i) in the case of an entity, by operation of Law or (ii) in the case of a natural person, by will or the Laws of descent and distribution). Any attempted transfer of such right by any holder thereof (otherwise than as permitted by the immediately preceding sentence) shall be null and void.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9" w:name="page20"/>
    <w:bookmarkEnd w:id="19"/>
    <w:p>
      <w:pPr>
        <w:jc w:val="both"/>
        <w:ind w:firstLine="574"/>
        <w:spacing w:after="0" w:line="255"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xml:space="preserve">. Parent, Merger Sub and the Company, respectively, shall each use its respective best efforts to take all such action as may be necessary or appropriate to effectuate the Merger under the DGCL at the time specified in </w:t>
      </w:r>
      <w:r>
        <w:rPr>
          <w:rFonts w:ascii="Arial" w:cs="Arial" w:eastAsia="Arial" w:hAnsi="Arial"/>
          <w:sz w:val="16"/>
          <w:szCs w:val="16"/>
          <w:u w:val="single" w:color="auto"/>
          <w:color w:val="auto"/>
        </w:rPr>
        <w:t>Section 1.3</w:t>
      </w:r>
      <w:r>
        <w:rPr>
          <w:rFonts w:ascii="Arial" w:cs="Arial" w:eastAsia="Arial" w:hAnsi="Arial"/>
          <w:sz w:val="16"/>
          <w:szCs w:val="16"/>
          <w:color w:val="auto"/>
        </w:rPr>
        <w:t>. If, at any time after the Effective Time, any further action is necessary or desirable to carry out the purposes of this Agreement and to vest the Surviving Corporation with full right, title and possession to all properties, rights, privileges, immunities, powers and franchises of either of the constituent corporations, the officers of Parent and the Surviving Corporation are fully authorized in the name of each constituent corporation or otherwise to take, and shall take, all such lawful and necessary 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Section 368 Reorganization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5" w:lineRule="auto"/>
        <w:tabs>
          <w:tab w:leader="none" w:pos="136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Parties intend that, for United States federal, and applicable state and local, income tax purposes, the Merger will qualify as a “reorganization” within the meaning of Section 368(a) of the Code and the Treasury Regulations promulgated thereunder to which each of Parent and the Company are to be parties under Section 368(b) of the Code and the Treasury Regulations and this Agreement is intended to be, and is adopted as, a plan of reorganization for purposes of Sections 354, 361 and the 368 of the Code and within the meaning of Treasury Regulations Section 1.368-2(g). Each of Parent, Merger Sub, and the Company shall cooperate and use its respective reasonable best efforts to cause the Merger to qualify for the Intended Tax Treatment, and none of Parent, Merger Sub or the Company knows of any fact or circumstance (without conducting independent inquiry or diligence of the other relevant party) or has taken or will take any action (or fail to take any action), if such action (or failure to act), whether before or after the Effective Time, would be reasonably expected to prevent or impede the Merger from qualifying for the Intended Tax Treatment.</w:t>
      </w:r>
    </w:p>
    <w:p>
      <w:pPr>
        <w:spacing w:after="0" w:line="144" w:lineRule="exact"/>
        <w:rPr>
          <w:rFonts w:ascii="Arial" w:cs="Arial" w:eastAsia="Arial" w:hAnsi="Arial"/>
          <w:sz w:val="14"/>
          <w:szCs w:val="14"/>
          <w:color w:val="auto"/>
        </w:rPr>
      </w:pPr>
    </w:p>
    <w:p>
      <w:pPr>
        <w:jc w:val="both"/>
        <w:ind w:firstLine="1143"/>
        <w:spacing w:after="0" w:line="272" w:lineRule="auto"/>
        <w:tabs>
          <w:tab w:leader="none" w:pos="1377" w:val="left"/>
        </w:tabs>
        <w:numPr>
          <w:ilvl w:val="0"/>
          <w:numId w:val="9"/>
        </w:numPr>
        <w:rPr>
          <w:rFonts w:ascii="Arial" w:cs="Arial" w:eastAsia="Arial" w:hAnsi="Arial"/>
          <w:sz w:val="15"/>
          <w:szCs w:val="15"/>
          <w:color w:val="auto"/>
        </w:rPr>
      </w:pPr>
      <w:r>
        <w:rPr>
          <w:rFonts w:ascii="Arial" w:cs="Arial" w:eastAsia="Arial" w:hAnsi="Arial"/>
          <w:sz w:val="15"/>
          <w:szCs w:val="15"/>
          <w:color w:val="auto"/>
        </w:rPr>
        <w:t>Each of Parent, Merger Sub, the Company and their respective Affiliates shall report the Merger as a reorganization within the meaning of Section 368(a) of the Code, including filing all Tax Returns consistent with the Intended Tax Treatment (and attaching the statement described in Treasury Regulations Section 1.368-3(a) on or with its Tax Return for the taxable year of the Merger), and shall take no position or action inconsistent with the Intended Tax Treatment (whether in audits, Tax Returns or otherwise), unless otherwise required by a Governmental Authority as a result of a “determination” within the meaning of Section 1313(a) of the Code. The Parties shall cooperate with each other and their respective counsel to document and support the Tax treatment of the Merger as a “reorganization” within the meaning of Section 368(a) of the Code, including, upon reasonable request, providing factual support letters. Each Party shall promptly notify the other Party in writing if, before the Closing Date, such Party knows or has reason to believe that the Merger may not qualify for the Intended Tax Treatment (and whether the terms of this Agreement could be reasonably amended in order to facilitate the Merger qualifying for the Intended Tax Treatment).</w:t>
      </w:r>
    </w:p>
    <w:p>
      <w:pPr>
        <w:spacing w:after="0" w:line="157"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1.13 </w:t>
      </w:r>
      <w:r>
        <w:rPr>
          <w:rFonts w:ascii="Arial" w:cs="Arial" w:eastAsia="Arial" w:hAnsi="Arial"/>
          <w:sz w:val="15"/>
          <w:szCs w:val="15"/>
          <w:u w:val="single" w:color="auto"/>
          <w:color w:val="auto"/>
        </w:rPr>
        <w:t>Withholding</w:t>
      </w:r>
      <w:r>
        <w:rPr>
          <w:rFonts w:ascii="Arial" w:cs="Arial" w:eastAsia="Arial" w:hAnsi="Arial"/>
          <w:sz w:val="15"/>
          <w:szCs w:val="15"/>
          <w:color w:val="auto"/>
        </w:rPr>
        <w:t>. Parent and the Surviving Corporation shall be entitled to deduct and withhold from the consideration otherwise payable to any Person pursuant to this Agreement such amounts as are required to be deducted or withheld with respect to the making of such payment under the Code, or under any provision of state, local or foreign Tax Law, provided, however, that in the event that Parent or the Surviving Corporation, as applicable, determines that it is so required to deduct or withhold any such amounts (except in the case of any compensatory payments made to employees subject to wage withholding), Parent or the Surviving Corporation, as applicable, shall provide at least five Business Days’ prior written notice thereof to the Company, including a reasonably detailed explanation therefor, and shall reasonably cooperate with the Company in responding to any requests for information or clarification made by the Company in respect thereof. To the extent that amounts are so deducted and withheld and paid over to the appropriate taxing authorities in accordance with applicable Law, such amounts shall be treated for all purposes under this Agreement as having been paid to the Person in respect of which such deduction and withholding was made.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0" w:name="page21"/>
    <w:bookmarkEnd w:id="20"/>
    <w:p>
      <w:pPr>
        <w:jc w:val="both"/>
        <w:ind w:firstLine="574"/>
        <w:spacing w:after="0" w:line="290" w:lineRule="auto"/>
        <w:rPr>
          <w:sz w:val="20"/>
          <w:szCs w:val="20"/>
          <w:color w:val="auto"/>
        </w:rPr>
      </w:pPr>
      <w:r>
        <w:rPr>
          <w:rFonts w:ascii="Arial" w:cs="Arial" w:eastAsia="Arial" w:hAnsi="Arial"/>
          <w:sz w:val="14"/>
          <w:szCs w:val="14"/>
          <w:color w:val="auto"/>
        </w:rPr>
        <w:t xml:space="preserve">Section 1.14 </w:t>
      </w:r>
      <w:r>
        <w:rPr>
          <w:rFonts w:ascii="Arial" w:cs="Arial" w:eastAsia="Arial" w:hAnsi="Arial"/>
          <w:sz w:val="14"/>
          <w:szCs w:val="14"/>
          <w:u w:val="single" w:color="auto"/>
          <w:color w:val="auto"/>
        </w:rPr>
        <w:t>Dissenting Shares</w:t>
      </w:r>
      <w:r>
        <w:rPr>
          <w:rFonts w:ascii="Arial" w:cs="Arial" w:eastAsia="Arial" w:hAnsi="Arial"/>
          <w:sz w:val="14"/>
          <w:szCs w:val="14"/>
          <w:color w:val="auto"/>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until such time as such holder fails to perfect or otherwise waives, withdraws, or loses such holder’s appraisal rights under the DGCL with respect to such shares) shall not be converted into a right to receive a portion of the aggregate Merger Consideration, but instead shall be entitled to only such rights as are granted by Section 262 of the DGCL;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aggregate Merger Consideration in accordance with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without interest thereon, upon transfer of such shares. The Company shall provide Parent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Parent (which consent shall not be unreasonably conditioned, withheld, delayed or denied), the Company shall not make any payment with respect to, or settle, or offer to settle, any such demands.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MERGER CONSIDERATION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1" w:lineRule="auto"/>
        <w:tabs>
          <w:tab w:leader="none" w:pos="1378"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At the Effective Time (after giving effect to the consummation of the Company Preferred Stock Conversion), by virtue of the Merger and without any action on the part of any holder of Company Common Stock, each share of Company Common Stock issued and outstanding immediately prior to the Effective Time (other than (i) any shares of Company Common Stock subject to Company Options (which shall be respectively 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(ii) any shares of Company Common Stock held in the treasury of the Company, which treasury shares shall be canceled as part of the Merger and shall not constitute “</w:t>
      </w:r>
      <w:r>
        <w:rPr>
          <w:rFonts w:ascii="Arial" w:cs="Arial" w:eastAsia="Arial" w:hAnsi="Arial"/>
          <w:sz w:val="15"/>
          <w:szCs w:val="15"/>
          <w:u w:val="single" w:color="auto"/>
          <w:color w:val="auto"/>
        </w:rPr>
        <w:t>Company Capital Stock</w:t>
      </w:r>
      <w:r>
        <w:rPr>
          <w:rFonts w:ascii="Arial" w:cs="Arial" w:eastAsia="Arial" w:hAnsi="Arial"/>
          <w:sz w:val="15"/>
          <w:szCs w:val="15"/>
          <w:color w:val="auto"/>
        </w:rPr>
        <w:t>” hereunder, and (iii) any Dissenting Shares), shall be canceled and converted into the right to receive a number of shares of Parent Common Stock equal to the Exchange Ratio. If any shares of Company Common Stock issued and outstanding immediately prior to the Effective Time are shares of Company Restricted Stock, then the shares of Parent Common Stock issued in exchange for such Company Restricted Stock pursuant to the immediately preceding sentence shall to the same extent be unvested and subject to the same repurchase option or risk of forfeiture as in effect immediately prior to the Effective Time, and the certificates and/or book entries representing such shares of Parent Common Stock shall accordingly be marked with appropriate legends.</w:t>
      </w:r>
    </w:p>
    <w:p>
      <w:pPr>
        <w:spacing w:after="0" w:line="159" w:lineRule="exact"/>
        <w:rPr>
          <w:rFonts w:ascii="Arial" w:cs="Arial" w:eastAsia="Arial" w:hAnsi="Arial"/>
          <w:sz w:val="15"/>
          <w:szCs w:val="15"/>
          <w:color w:val="auto"/>
        </w:rPr>
      </w:pPr>
    </w:p>
    <w:p>
      <w:pPr>
        <w:jc w:val="both"/>
        <w:ind w:right="20" w:firstLine="1143"/>
        <w:spacing w:after="0" w:line="301" w:lineRule="auto"/>
        <w:tabs>
          <w:tab w:leader="none" w:pos="1385" w:val="left"/>
        </w:tabs>
        <w:numPr>
          <w:ilvl w:val="0"/>
          <w:numId w:val="10"/>
        </w:numPr>
        <w:rPr>
          <w:rFonts w:ascii="Arial" w:cs="Arial" w:eastAsia="Arial" w:hAnsi="Arial"/>
          <w:sz w:val="14"/>
          <w:szCs w:val="14"/>
          <w:color w:val="auto"/>
        </w:rPr>
      </w:pPr>
      <w:r>
        <w:rPr>
          <w:rFonts w:ascii="Arial" w:cs="Arial" w:eastAsia="Arial" w:hAnsi="Arial"/>
          <w:sz w:val="14"/>
          <w:szCs w:val="14"/>
          <w:color w:val="auto"/>
        </w:rPr>
        <w:t>Two Business Days prior to the anticipated Closing Date (by 8:00PM Eastern Time), the Company shall deliver to Parent a schedule setting forth each Stockholder and Optionholder as of the Closing, such Stockholder’s or Optionholder’s respective percentage of the Merger Consideration and corresponding number of shares of Parent Common Stock (or options to purchase Parent Common Stock) to be issued at the Closing to each such Stockholder or Optionholder (the “</w:t>
      </w:r>
      <w:r>
        <w:rPr>
          <w:rFonts w:ascii="Arial" w:cs="Arial" w:eastAsia="Arial" w:hAnsi="Arial"/>
          <w:sz w:val="14"/>
          <w:szCs w:val="14"/>
          <w:u w:val="single" w:color="auto"/>
          <w:color w:val="auto"/>
        </w:rPr>
        <w:t>Equityholder Allocation</w:t>
      </w:r>
      <w:r>
        <w:rPr>
          <w:rFonts w:ascii="Arial" w:cs="Arial" w:eastAsia="Arial" w:hAnsi="Arial"/>
          <w:sz w:val="14"/>
          <w:szCs w:val="14"/>
          <w:color w:val="auto"/>
        </w:rPr>
        <w:t xml:space="preserve"> Schedule”). If there is any change to the Equityholder Allocation Schedule between the time of such delivery and the Closing, the Company shall promptly deliver an updated Equityholder Allocation Schedule to Parent. Schedule 2.1 sets forth a non-binding example of the Equityholder Allocation Schedule assuming the inputs set forth therein.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1" w:name="page22"/>
    <w:bookmarkEnd w:id="21"/>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Effect on Capital Stock of the Company</w:t>
      </w:r>
      <w:r>
        <w:rPr>
          <w:rFonts w:ascii="Arial" w:cs="Arial" w:eastAsia="Arial" w:hAnsi="Arial"/>
          <w:sz w:val="15"/>
          <w:szCs w:val="15"/>
          <w:color w:val="auto"/>
        </w:rPr>
        <w:t>. Upon the terms and subject to the conditions of this Agreement, at the Effective Time, by virtue of the Merger and without any further action on the part of Parent, Merger Sub or the Company, any shares of Company Common Stock then held by the Company (or held in the Company’s treasury) shall be canceled and retired and shall cease to exist, and no consideration shall be delivered in exchange therefor.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Company Options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2" w:lineRule="auto"/>
        <w:tabs>
          <w:tab w:leader="none" w:pos="1364"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 of the Effective Time, each Company Option that is then outstanding shall be converted into an option relating to shares of Parent Common Stock upon substantially the same terms and conditions as are in effect with respect to such option immediately prior to the Effective Time, including with respect to vesting and termination-related provisions (each, a “</w:t>
      </w:r>
      <w:r>
        <w:rPr>
          <w:rFonts w:ascii="Arial" w:cs="Arial" w:eastAsia="Arial" w:hAnsi="Arial"/>
          <w:sz w:val="15"/>
          <w:szCs w:val="15"/>
          <w:u w:val="single" w:color="auto"/>
          <w:color w:val="auto"/>
        </w:rPr>
        <w:t>Parent Option</w:t>
      </w:r>
      <w:r>
        <w:rPr>
          <w:rFonts w:ascii="Arial" w:cs="Arial" w:eastAsia="Arial" w:hAnsi="Arial"/>
          <w:sz w:val="15"/>
          <w:szCs w:val="15"/>
          <w:color w:val="auto"/>
        </w:rPr>
        <w:t xml:space="preserve">”) except that (a) such Parent Option shall relate to that whole number of shares of Parent Common Stock (rounded down to the nearest whole share) equal to the number of shares of Company Common Stock (subject to such Company Option),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Exchange Ratio, and (b) the exercise price per share for each such Parent Option shall be equal to the exercise price per share of such Company Option in effect immediately prior to the Effective Time, </w:t>
      </w:r>
      <w:r>
        <w:rPr>
          <w:rFonts w:ascii="Arial" w:cs="Arial" w:eastAsia="Arial" w:hAnsi="Arial"/>
          <w:sz w:val="15"/>
          <w:szCs w:val="15"/>
          <w:i w:val="1"/>
          <w:iCs w:val="1"/>
          <w:color w:val="auto"/>
        </w:rPr>
        <w:t xml:space="preserve">divided by </w:t>
      </w:r>
      <w:r>
        <w:rPr>
          <w:rFonts w:ascii="Arial" w:cs="Arial" w:eastAsia="Arial" w:hAnsi="Arial"/>
          <w:sz w:val="15"/>
          <w:szCs w:val="15"/>
          <w:color w:val="auto"/>
        </w:rPr>
        <w:t>the Exchange Ratio (the exercise price per share, as so determined, being rounded up to the nearest full cent);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conversion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Options will be made in a manner consistent with Treasury Regulation Section 1.424-1, such that such conversion will not constitute a “modification” of such Company Options for purposes of Section 409A or Section 424 of the Code.</w:t>
      </w:r>
    </w:p>
    <w:p>
      <w:pPr>
        <w:spacing w:after="0" w:line="156" w:lineRule="exact"/>
        <w:rPr>
          <w:rFonts w:ascii="Arial" w:cs="Arial" w:eastAsia="Arial" w:hAnsi="Arial"/>
          <w:sz w:val="15"/>
          <w:szCs w:val="15"/>
          <w:color w:val="auto"/>
        </w:rPr>
      </w:pPr>
    </w:p>
    <w:p>
      <w:pPr>
        <w:jc w:val="both"/>
        <w:ind w:firstLine="1143"/>
        <w:spacing w:after="0" w:line="262" w:lineRule="auto"/>
        <w:tabs>
          <w:tab w:leader="none" w:pos="13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Company shall take all necessary actions to effect the treatment of Company Options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in accordance with the Company Stock Plan and the applicable award agreements and to ensure that no Parent Option may be exercised prior to the effective date of an applicable Form S-8 (or other applicable form, including Form S-3) of Parent.</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Capital Stock of Merger Sub</w:t>
      </w:r>
      <w:r>
        <w:rPr>
          <w:rFonts w:ascii="Arial" w:cs="Arial" w:eastAsia="Arial" w:hAnsi="Arial"/>
          <w:sz w:val="16"/>
          <w:szCs w:val="16"/>
          <w:i w:val="1"/>
          <w:iCs w:val="1"/>
          <w:color w:val="auto"/>
        </w:rPr>
        <w:t>.</w:t>
      </w:r>
      <w:r>
        <w:rPr>
          <w:rFonts w:ascii="Arial" w:cs="Arial" w:eastAsia="Arial" w:hAnsi="Arial"/>
          <w:sz w:val="16"/>
          <w:szCs w:val="16"/>
          <w:color w:val="auto"/>
        </w:rPr>
        <w:t xml:space="preserve"> Each share of capital stock of Merger Sub that is issued and outstanding immediately prior to the Effective Time will, by virtue of the Merger and without further action on the part of Parent, be converted into and become one share of common stock of the Surviving Corporation (and the shares of Surviving Corporation into which the shares of Merger Sub capital stock are so converted shall be the only shares of the Surviving Corporation’s capital stock that are issued and outstanding immediately after the Effective Time). Each certificate evidencing ownership of shares of Merger Sub common stock will, as of the Effective Time, evidence ownership of such share of common stock of the Surviving 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Issuance of the Merger Consideration</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58" w:lineRule="auto"/>
        <w:tabs>
          <w:tab w:leader="none" w:pos="1364"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No Issuance of Fractional Shares</w:t>
      </w:r>
      <w:r>
        <w:rPr>
          <w:rFonts w:ascii="Arial" w:cs="Arial" w:eastAsia="Arial" w:hAnsi="Arial"/>
          <w:sz w:val="16"/>
          <w:szCs w:val="16"/>
          <w:color w:val="auto"/>
        </w:rPr>
        <w:t>. No certificates or scrip representing fractional shares of Parent Common Stock will be issued pursuant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and instead any such fractional share that would otherwise be issued will be rounded to the nearest whole share, with a Stockholder’s portion of the Merger Consideration that would result in a fractional share of 0.50 or greater rounding up and a Stockholder’s portion of the Merger Consideration that would result in a fractional share of less than 0.50 rounding down.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2" w:name="page23"/>
    <w:bookmarkEnd w:id="22"/>
    <w:p>
      <w:pPr>
        <w:jc w:val="both"/>
        <w:ind w:right="20" w:firstLine="1143"/>
        <w:spacing w:after="0" w:line="276" w:lineRule="auto"/>
        <w:tabs>
          <w:tab w:leader="none" w:pos="1408"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Exchange Fund</w:t>
      </w:r>
      <w:r>
        <w:rPr>
          <w:rFonts w:ascii="Arial" w:cs="Arial" w:eastAsia="Arial" w:hAnsi="Arial"/>
          <w:sz w:val="15"/>
          <w:szCs w:val="15"/>
          <w:color w:val="auto"/>
        </w:rPr>
        <w:t>. On the Closing Date, Parent shall deposit, or shall cause to be deposited, with Continental Stock Transfer &amp; Trust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(“Continental”) for the benefit of the Stockholders, for exchange in accordance with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the number of shares of Parent Common Stock sufficient to deliver the aggregate Merger Consideration payable pursuant to this Agreement (such shares of Parent Common Stock, the “</w:t>
      </w:r>
      <w:r>
        <w:rPr>
          <w:rFonts w:ascii="Arial" w:cs="Arial" w:eastAsia="Arial" w:hAnsi="Arial"/>
          <w:sz w:val="15"/>
          <w:szCs w:val="15"/>
          <w:u w:val="single" w:color="auto"/>
          <w:color w:val="auto"/>
        </w:rPr>
        <w:t>Exchange Fund</w:t>
      </w:r>
      <w:r>
        <w:rPr>
          <w:rFonts w:ascii="Arial" w:cs="Arial" w:eastAsia="Arial" w:hAnsi="Arial"/>
          <w:sz w:val="15"/>
          <w:szCs w:val="15"/>
          <w:color w:val="auto"/>
        </w:rPr>
        <w:t>”). Parent shall cause Continental, pursuant to irrevocable instructions, to pay the Merger Consideration out of the Exchange Fund in accordance with the Equityholder Allocation Schedule and the other applicable provisions contained in this Agreement. The Exchange Fund shall not be used for any other purpose other than as contemplated by this Agreement.</w:t>
      </w:r>
    </w:p>
    <w:p>
      <w:pPr>
        <w:spacing w:after="0" w:line="155" w:lineRule="exact"/>
        <w:rPr>
          <w:rFonts w:ascii="Arial" w:cs="Arial" w:eastAsia="Arial" w:hAnsi="Arial"/>
          <w:sz w:val="15"/>
          <w:szCs w:val="15"/>
          <w:color w:val="auto"/>
        </w:rPr>
      </w:pPr>
    </w:p>
    <w:p>
      <w:pPr>
        <w:jc w:val="both"/>
        <w:ind w:right="20" w:firstLine="1143"/>
        <w:spacing w:after="0" w:line="255" w:lineRule="auto"/>
        <w:tabs>
          <w:tab w:leader="none" w:pos="1364"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Exchange Procedures</w:t>
      </w:r>
      <w:r>
        <w:rPr>
          <w:rFonts w:ascii="Arial" w:cs="Arial" w:eastAsia="Arial" w:hAnsi="Arial"/>
          <w:sz w:val="16"/>
          <w:szCs w:val="16"/>
          <w:color w:val="auto"/>
        </w:rPr>
        <w:t>. As soon as practicable following the Effective Time, and in any event within two Business Days following the Effective Time (but</w:t>
      </w:r>
      <w:r>
        <w:rPr>
          <w:rFonts w:ascii="Arial" w:cs="Arial" w:eastAsia="Arial" w:hAnsi="Arial"/>
          <w:sz w:val="16"/>
          <w:szCs w:val="16"/>
          <w:i w:val="1"/>
          <w:iCs w:val="1"/>
          <w:color w:val="auto"/>
        </w:rPr>
        <w:t xml:space="preserve"> </w:t>
      </w:r>
      <w:r>
        <w:rPr>
          <w:rFonts w:ascii="Arial" w:cs="Arial" w:eastAsia="Arial" w:hAnsi="Arial"/>
          <w:sz w:val="16"/>
          <w:szCs w:val="16"/>
          <w:color w:val="auto"/>
        </w:rPr>
        <w:t>in no event prior to the Effective Time), Parent shall cause Continental to deliver to each Stockholder, as of immediately prior to the Effective Time, represented by certificate or book-entry, a letter of transmittal and instructions for use in exchanging such Stockholder’s shares of Company Common Stock for such Stockholder’s applicable portion of the Merger Consideration from the Exchange Fund, and promptly following receipt of a Stockholder’s properly executed letter of transmittal, deliver such Stockholder’s applicable portion of the Merger Consideration to such Stockholder.</w:t>
      </w:r>
    </w:p>
    <w:p>
      <w:pPr>
        <w:spacing w:after="0" w:line="169" w:lineRule="exact"/>
        <w:rPr>
          <w:rFonts w:ascii="Arial" w:cs="Arial" w:eastAsia="Arial" w:hAnsi="Arial"/>
          <w:sz w:val="16"/>
          <w:szCs w:val="16"/>
          <w:color w:val="auto"/>
        </w:rPr>
      </w:pPr>
    </w:p>
    <w:p>
      <w:pPr>
        <w:jc w:val="both"/>
        <w:ind w:firstLine="1143"/>
        <w:spacing w:after="0" w:line="262" w:lineRule="auto"/>
        <w:tabs>
          <w:tab w:leader="none" w:pos="139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The Merger Consideration shall be adjusted to reflect appropriately the effect of any stock split, reverse stock split, stock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reclassification, combination, exchange of shares or other like change with respect to shares of Parent Common Stock occurring prior to the date the Merger Consideration is issued.</w:t>
      </w:r>
    </w:p>
    <w:p>
      <w:pPr>
        <w:spacing w:after="0" w:line="162" w:lineRule="exact"/>
        <w:rPr>
          <w:rFonts w:ascii="Arial" w:cs="Arial" w:eastAsia="Arial" w:hAnsi="Arial"/>
          <w:sz w:val="16"/>
          <w:szCs w:val="16"/>
          <w:color w:val="auto"/>
        </w:rPr>
      </w:pPr>
    </w:p>
    <w:p>
      <w:pPr>
        <w:jc w:val="both"/>
        <w:ind w:right="20" w:firstLine="1143"/>
        <w:spacing w:after="0" w:line="276" w:lineRule="auto"/>
        <w:tabs>
          <w:tab w:leader="none" w:pos="1364"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Termination of Exchange Fund</w:t>
      </w:r>
      <w:r>
        <w:rPr>
          <w:rFonts w:ascii="Arial" w:cs="Arial" w:eastAsia="Arial" w:hAnsi="Arial"/>
          <w:sz w:val="15"/>
          <w:szCs w:val="15"/>
          <w:color w:val="auto"/>
        </w:rPr>
        <w:t>. Any portion of the Exchange Fund relating to the Merger Consideration that remains undistributed to the Stockholders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one year after the Effective Time shall be delivered to Parent, upon demand, and any Stockholders who have not theretofore complied with this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shall thereafter look only to Parent for their portion of the Merger Consideration. Any portion of the Exchange Fund remaining unclaimed by Stockholders as of a date which is immediately prior to such time as such amounts would otherwise escheat to or become property of any Governmental Authority shall, to the extent permitted by applicable Law, become the property of Parent free and clear of any claims or interest of any person previously entitled thereto.</w:t>
      </w:r>
    </w:p>
    <w:p>
      <w:pPr>
        <w:spacing w:after="0" w:line="15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No Liability</w:t>
      </w:r>
      <w:r>
        <w:rPr>
          <w:rFonts w:ascii="Arial" w:cs="Arial" w:eastAsia="Arial" w:hAnsi="Arial"/>
          <w:sz w:val="16"/>
          <w:szCs w:val="16"/>
          <w:color w:val="auto"/>
        </w:rPr>
        <w:t>. The Parties agree that Parent shall be entitled to rely conclusively on information set forth in the Equityholder Allocation Schedule and any amounts delivered by Parent to an applicable Stockholder in accordance with the Equityholder Allocation Schedule shall be deemed for all purposes to have been delivered to the applicable Stockholder in full satisfaction of the obligations of Parent under this Agreement and Parent shall not be responsible or liable for the calculations or the determinations regarding such calculations set forth therein.</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AND WARRANTIES OF THE COMPANY</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Except as set forth in Disclosure Schedule (which qualifies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represents and warrants to Parent as hereafter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 Qualification and Standing</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1" w:lineRule="auto"/>
        <w:tabs>
          <w:tab w:leader="none" w:pos="136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is duly incorporated, validly existing and in good standing under the Laws of the State of Delaware, has all requisite power and authority to own, lease and operate its Assets and to conduct its business as presently conducted, and is duly qualified to transact business and in good standing in each jurisdiction in which the conduct of its business or the nature of its properties requires such registration, qualification or authorization, except where the failure to so qualify or to be in good standing would not reasonably be expected, individually or in the aggregate, to result in a Company Material Adverse Effect. The Organizational Documents of the Company, true, complete and correct copies of which have been made available to Parent, are in full force and effect. The Company is not in violation of its Organizational Documents.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3" w:name="page24"/>
    <w:bookmarkEnd w:id="23"/>
    <w:p>
      <w:pPr>
        <w:jc w:val="both"/>
        <w:ind w:firstLine="1143"/>
        <w:spacing w:after="0" w:line="273" w:lineRule="auto"/>
        <w:tabs>
          <w:tab w:leader="none" w:pos="1373"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Schedule 3.1</w:t>
      </w:r>
      <w:r>
        <w:rPr>
          <w:rFonts w:ascii="Arial" w:cs="Arial" w:eastAsia="Arial" w:hAnsi="Arial"/>
          <w:sz w:val="15"/>
          <w:szCs w:val="15"/>
          <w:color w:val="auto"/>
        </w:rPr>
        <w:t xml:space="preserve"> sets forth a true, complete and correct list of each Subsidiary of the Company, and except as set forth on </w:t>
      </w:r>
      <w:r>
        <w:rPr>
          <w:rFonts w:ascii="Arial" w:cs="Arial" w:eastAsia="Arial" w:hAnsi="Arial"/>
          <w:sz w:val="15"/>
          <w:szCs w:val="15"/>
          <w:u w:val="single" w:color="auto"/>
          <w:color w:val="auto"/>
        </w:rPr>
        <w:t>Schedule 3.1</w:t>
      </w:r>
      <w:r>
        <w:rPr>
          <w:rFonts w:ascii="Arial" w:cs="Arial" w:eastAsia="Arial" w:hAnsi="Arial"/>
          <w:sz w:val="15"/>
          <w:szCs w:val="15"/>
          <w:color w:val="auto"/>
        </w:rPr>
        <w:t xml:space="preserve">, the Company does not directly or indirectly own, or hold any rights to acquire, any capital stock or any other securities or interests in any other Person. Each Subsidiary of the Company has been duly incorporated or formed and, except as set forth on </w:t>
      </w:r>
      <w:r>
        <w:rPr>
          <w:rFonts w:ascii="Arial" w:cs="Arial" w:eastAsia="Arial" w:hAnsi="Arial"/>
          <w:sz w:val="15"/>
          <w:szCs w:val="15"/>
          <w:u w:val="single" w:color="auto"/>
          <w:color w:val="auto"/>
        </w:rPr>
        <w:t>Schedule 3.1</w:t>
      </w:r>
      <w:r>
        <w:rPr>
          <w:rFonts w:ascii="Arial" w:cs="Arial" w:eastAsia="Arial" w:hAnsi="Arial"/>
          <w:sz w:val="15"/>
          <w:szCs w:val="15"/>
          <w:color w:val="auto"/>
        </w:rPr>
        <w:t>, is validly existing as a corporation or limited liability company in good standing (or equivalent status) under the laws of the jurisdiction of its incorporation or formation and the jurisdictions in which the conduct of its business or the nature of its properties requires such registration, qualification or authorization, and has the corporate power and authority to own, lease and operate its Assets and to conduct its business as presently conducted. All of the issued and outstanding capital stock of each Subsidiary has been duly authorized and validly issued, is fully paid and non-assessable, and is owned by the Company free and clear of any Lien (except for Permitted Liens). None of the Company’s Subsidiaries is in violation of its Organizational Documents.</w:t>
      </w:r>
    </w:p>
    <w:p>
      <w:pPr>
        <w:spacing w:after="0" w:line="156"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Authority; Enforceability</w:t>
      </w:r>
      <w:r>
        <w:rPr>
          <w:rFonts w:ascii="Arial" w:cs="Arial" w:eastAsia="Arial" w:hAnsi="Arial"/>
          <w:sz w:val="15"/>
          <w:szCs w:val="15"/>
          <w:color w:val="auto"/>
        </w:rPr>
        <w:t>. The Company’s board of directors has declared the Merger, this Agreement and the Transactions contemplated herein advisable. The Company has the requisite corporate power and authority to execute and deliver this Agreement and each other Transaction Document and to consummate the Transactions, other than the Company Stockholder Approval. The execution and delivery of this Agreement, the other Transaction Documents to which the Company is a party and the consummation of the Transactions have been duly authorized by all necessary corporate action on the part of the Company, other than the Company Stockholder Approval. This Agreement has been, and the other Transaction Documents to which the Company is a party will be, duly executed and delivered by the Company and, assuming due authorization, execution and delivery hereof by Parent and Merger Sub, constitute legal, valid and binding obligations of the Company, enforceable against it in accordance with their terms, subject to the effect of any applicable bankruptcy, reorganization, insolvency, moratorium or similar Law affecting creditors’ rights generally and, as to enforceability, subject to the effect of general principles of equity (regardless of whether such enforceability is considered in a Proceeding in equity or at Law). The (i) affirmative vote of (A) holders of a majority of the Company Capital Stock, (B) holders of a majority of the Company Common Stock, and (C) holders of seventy percent (70%) of the outstanding shares of Company Preferred Stock, which such holders must also satisfy the definition of “Required Vote” as defined in the Company’s Third Amended and Restated Certificate of Incorporation as in effect as of the date hereof (collectively, the “</w:t>
      </w:r>
      <w:r>
        <w:rPr>
          <w:rFonts w:ascii="Arial" w:cs="Arial" w:eastAsia="Arial" w:hAnsi="Arial"/>
          <w:sz w:val="15"/>
          <w:szCs w:val="15"/>
          <w:u w:val="single" w:color="auto"/>
          <w:color w:val="auto"/>
        </w:rPr>
        <w:t>Requisite Company Vote</w:t>
      </w:r>
      <w:r>
        <w:rPr>
          <w:rFonts w:ascii="Arial" w:cs="Arial" w:eastAsia="Arial" w:hAnsi="Arial"/>
          <w:sz w:val="15"/>
          <w:szCs w:val="15"/>
          <w:color w:val="auto"/>
        </w:rPr>
        <w:t>”) having voting power present in person or represented by proxy at a meeting of the Company’s stockholders at which a quorum is present or (ii) written consent of the Requisite Company Vote, is the only vote or consent of the holders of any class or series of capital stock or other securities of the Company necessary to adopt this Agreement and approve the Transactions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 Approval</w:t>
      </w:r>
      <w:r>
        <w:rPr>
          <w:rFonts w:ascii="Arial" w:cs="Arial" w:eastAsia="Arial" w:hAnsi="Arial"/>
          <w:sz w:val="15"/>
          <w:szCs w:val="15"/>
          <w:color w:val="auto"/>
        </w:rPr>
        <w:t>”).</w:t>
      </w:r>
    </w:p>
    <w:p>
      <w:pPr>
        <w:spacing w:after="0" w:line="161"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Consents; Required Approvals</w:t>
      </w:r>
      <w:r>
        <w:rPr>
          <w:rFonts w:ascii="Arial" w:cs="Arial" w:eastAsia="Arial" w:hAnsi="Arial"/>
          <w:sz w:val="14"/>
          <w:szCs w:val="14"/>
          <w:color w:val="auto"/>
        </w:rPr>
        <w:t xml:space="preserve">. Assuming the truth and accuracy of the representations and warranties of Parent and Merger Sub set forth in </w:t>
      </w:r>
      <w:r>
        <w:rPr>
          <w:rFonts w:ascii="Arial" w:cs="Arial" w:eastAsia="Arial" w:hAnsi="Arial"/>
          <w:sz w:val="14"/>
          <w:szCs w:val="14"/>
          <w:u w:val="single" w:color="auto"/>
          <w:color w:val="auto"/>
        </w:rPr>
        <w:t>Section 4.7</w:t>
      </w:r>
      <w:r>
        <w:rPr>
          <w:rFonts w:ascii="Arial" w:cs="Arial" w:eastAsia="Arial" w:hAnsi="Arial"/>
          <w:sz w:val="14"/>
          <w:szCs w:val="14"/>
          <w:color w:val="auto"/>
        </w:rPr>
        <w:t>, no notices to, filings with, or authorizations, consents or approvals from any Governmental Authority are necessary for the execution, delivery or performance by the Company of this Agreement, each other Transaction Document or the consummation by the Company of the Transactions, except for (i) the filing of the Certificate of Merger with the Secretary of State of the State of Delaware; (ii) the Hart-Scott-Rodino Act (“</w:t>
      </w:r>
      <w:r>
        <w:rPr>
          <w:rFonts w:ascii="Arial" w:cs="Arial" w:eastAsia="Arial" w:hAnsi="Arial"/>
          <w:sz w:val="14"/>
          <w:szCs w:val="14"/>
          <w:u w:val="single" w:color="auto"/>
          <w:color w:val="auto"/>
        </w:rPr>
        <w:t>HSR Act</w:t>
      </w:r>
      <w:r>
        <w:rPr>
          <w:rFonts w:ascii="Arial" w:cs="Arial" w:eastAsia="Arial" w:hAnsi="Arial"/>
          <w:sz w:val="14"/>
          <w:szCs w:val="14"/>
          <w:color w:val="auto"/>
        </w:rPr>
        <w:t>”) pre-merger notification filing with the Federal Trade Commission and the Department of Justice (the “</w:t>
      </w:r>
      <w:r>
        <w:rPr>
          <w:rFonts w:ascii="Arial" w:cs="Arial" w:eastAsia="Arial" w:hAnsi="Arial"/>
          <w:sz w:val="14"/>
          <w:szCs w:val="14"/>
          <w:u w:val="single" w:color="auto"/>
          <w:color w:val="auto"/>
        </w:rPr>
        <w:t>HSR Filing</w:t>
      </w:r>
      <w:r>
        <w:rPr>
          <w:rFonts w:ascii="Arial" w:cs="Arial" w:eastAsia="Arial" w:hAnsi="Arial"/>
          <w:sz w:val="14"/>
          <w:szCs w:val="14"/>
          <w:color w:val="auto"/>
        </w:rPr>
        <w:t>”) and filings as may be required under any other applicable antitrust Law, and (iii) where the failure to obtain such consents, approvals, authorizations or permits, or to make such filings or notifications, would not have or would not reasonably be expected to have a Company Material Adverse Effect.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4" w:name="page25"/>
    <w:bookmarkEnd w:id="24"/>
    <w:p>
      <w:pPr>
        <w:jc w:val="both"/>
        <w:ind w:firstLine="574"/>
        <w:spacing w:after="0" w:line="270"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Non-contravention</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3.4</w:t>
      </w:r>
      <w:r>
        <w:rPr>
          <w:rFonts w:ascii="Arial" w:cs="Arial" w:eastAsia="Arial" w:hAnsi="Arial"/>
          <w:sz w:val="15"/>
          <w:szCs w:val="15"/>
          <w:color w:val="auto"/>
        </w:rPr>
        <w:t>, the execution, delivery and performance of this Agreement and the other Transaction Documents to which the Company is a party by the Company and the consummation of the Merger and compliance with the provisions hereof and thereof do not and will not with or without notice or lapse of time or both (a) violate any Law or Order to which the Company or any of its Subsidiaries or any of the Company’s or its Subsidiaries’ Assets are subject, (b) violate any provision of the Organizational Documents of the Company, any Subsidiary thereof or any Affiliate thereof (subject to obtaining the Company Stockholder Approval), (c) violate, conflict with, result in a breach of, constitute (or with due notice or lapse of time or both would become) a default under, result in the acceleration of, create in any Person the right to accelerate, terminate, modify or cancel, require any notice under, or otherwise give rise to any Liability under, any Material Contract, or (d) result in the creation or imposition of any Lien (other than Permitted Liens) upon any of the properties or Assets of the Company or its Subsidiaries, except, in the case of each of clauses (a), (c), and (d), for any conflicts, violations, breaches, defaults, loss of benefits, additional payments or other liabilities, alterations, terminations, amendments, accelerations, cancellations, or Liens that, or where the failure to obtain any consents, in each case, would not reasonably be expected to have, individually or in the aggregate, a Company Material Adverse Effect.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71"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 of the date of this Agreement, the authorized capital stock of the Company consists of (x) 166,000,000 shares of Company Common Stock, of which 14,196,742 shares are issued and outstanding as of the date of this Agreement, and (y) 128,224,305 shares of Company Preferred Stock (of which (i) 55,700,000 shares are designated Series A Preferred Stock, par value $0.001 per share, all of which are issued and outstanding as of the date of this Agreement (the “</w:t>
      </w:r>
      <w:r>
        <w:rPr>
          <w:rFonts w:ascii="Arial" w:cs="Arial" w:eastAsia="Arial" w:hAnsi="Arial"/>
          <w:sz w:val="15"/>
          <w:szCs w:val="15"/>
          <w:u w:val="single" w:color="auto"/>
          <w:color w:val="auto"/>
        </w:rPr>
        <w:t>Series A Preferred Stock</w:t>
      </w:r>
      <w:r>
        <w:rPr>
          <w:rFonts w:ascii="Arial" w:cs="Arial" w:eastAsia="Arial" w:hAnsi="Arial"/>
          <w:sz w:val="15"/>
          <w:szCs w:val="15"/>
          <w:color w:val="auto"/>
        </w:rPr>
        <w:t>”), (ii) 45,372,050, shares are designated Series B Preferred Stock, par value $0.001 per share, all of which are issued and outstanding as of the date of this Agreement (the “</w:t>
      </w:r>
      <w:r>
        <w:rPr>
          <w:rFonts w:ascii="Arial" w:cs="Arial" w:eastAsia="Arial" w:hAnsi="Arial"/>
          <w:sz w:val="15"/>
          <w:szCs w:val="15"/>
          <w:u w:val="single" w:color="auto"/>
          <w:color w:val="auto"/>
        </w:rPr>
        <w:t>Series 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 Stock</w:t>
      </w:r>
      <w:r>
        <w:rPr>
          <w:rFonts w:ascii="Arial" w:cs="Arial" w:eastAsia="Arial" w:hAnsi="Arial"/>
          <w:sz w:val="15"/>
          <w:szCs w:val="15"/>
          <w:color w:val="auto"/>
        </w:rPr>
        <w:t>”), and (iii) 27,152,255 shares are designated Series B-1 Preferred Stock, par value $0.001 per share, all of which are issued and outstanding as of the date of this Agreement (the “</w:t>
      </w:r>
      <w:r>
        <w:rPr>
          <w:rFonts w:ascii="Arial" w:cs="Arial" w:eastAsia="Arial" w:hAnsi="Arial"/>
          <w:sz w:val="15"/>
          <w:szCs w:val="15"/>
          <w:u w:val="single" w:color="auto"/>
          <w:color w:val="auto"/>
        </w:rPr>
        <w:t>Series B-1 Preferred Stock</w:t>
      </w:r>
      <w:r>
        <w:rPr>
          <w:rFonts w:ascii="Arial" w:cs="Arial" w:eastAsia="Arial" w:hAnsi="Arial"/>
          <w:sz w:val="15"/>
          <w:szCs w:val="15"/>
          <w:color w:val="auto"/>
        </w:rPr>
        <w:t xml:space="preserve">”), and there are no other authorized equity interests of the Company that are issued and outstanding. As of the date of this Agreement, all outstanding shares of the Company Common Stock are owned of record by the Persons set forth on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in the amounts set forth opposite their respective names.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sets forth for each outstanding Company Option, the name of the Person holding such Company Option and the number of shares of Company Common Stock issuable upon the exercise of such Company Option, and whether such Company Option is subject to acceleration as a result of the Transactions. All of the outstanding shares of Company Common Stock are validly issued and outstanding, fully paid and nonassessable with no personal Liability attaching to the ownership thereof.</w:t>
      </w:r>
    </w:p>
    <w:p>
      <w:pPr>
        <w:spacing w:after="0" w:line="159" w:lineRule="exact"/>
        <w:rPr>
          <w:rFonts w:ascii="Arial" w:cs="Arial" w:eastAsia="Arial" w:hAnsi="Arial"/>
          <w:sz w:val="15"/>
          <w:szCs w:val="15"/>
          <w:color w:val="auto"/>
        </w:rPr>
      </w:pPr>
    </w:p>
    <w:p>
      <w:pPr>
        <w:jc w:val="both"/>
        <w:ind w:firstLine="1143"/>
        <w:spacing w:after="0" w:line="272" w:lineRule="auto"/>
        <w:tabs>
          <w:tab w:leader="none" w:pos="1379"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As of the date hereof, there are (other than the Company Options set forth in </w:t>
      </w:r>
      <w:r>
        <w:rPr>
          <w:rFonts w:ascii="Arial" w:cs="Arial" w:eastAsia="Arial" w:hAnsi="Arial"/>
          <w:sz w:val="15"/>
          <w:szCs w:val="15"/>
          <w:u w:val="single" w:color="auto"/>
          <w:color w:val="auto"/>
        </w:rPr>
        <w:t>Schedule 3.5(a)</w:t>
      </w:r>
      <w:r>
        <w:rPr>
          <w:rFonts w:ascii="Arial" w:cs="Arial" w:eastAsia="Arial" w:hAnsi="Arial"/>
          <w:sz w:val="15"/>
          <w:szCs w:val="15"/>
          <w:color w:val="auto"/>
        </w:rPr>
        <w:t>), and immediately after consummation of the Closing there will be,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Company’s Organizational Documents or any Contract to which the Company is a party, or (vi) Lien (other than a Permitted Lien) with respect to the sale or voting of shares or securities of the Company (whether outstanding or issuable).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5" w:name="page26"/>
    <w:bookmarkEnd w:id="25"/>
    <w:p>
      <w:pPr>
        <w:jc w:val="both"/>
        <w:ind w:right="20" w:firstLine="1143"/>
        <w:spacing w:after="0" w:line="272" w:lineRule="auto"/>
        <w:tabs>
          <w:tab w:leader="none" w:pos="13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With respect to the Company Options that were issued and remain outstanding as of the date of this Agreement, (i) each grant of a Company Option was duly authorized no later than the date on which the grant of such Company Option was by its terms to be effective (the “</w:t>
      </w:r>
      <w:r>
        <w:rPr>
          <w:rFonts w:ascii="Arial" w:cs="Arial" w:eastAsia="Arial" w:hAnsi="Arial"/>
          <w:sz w:val="15"/>
          <w:szCs w:val="15"/>
          <w:u w:val="single" w:color="auto"/>
          <w:color w:val="auto"/>
        </w:rPr>
        <w:t>Grant Date</w:t>
      </w:r>
      <w:r>
        <w:rPr>
          <w:rFonts w:ascii="Arial" w:cs="Arial" w:eastAsia="Arial" w:hAnsi="Arial"/>
          <w:sz w:val="15"/>
          <w:szCs w:val="15"/>
          <w:color w:val="auto"/>
        </w:rPr>
        <w:t xml:space="preserve">”) by all necessary corporate action, including, as applicable, approval by the Company board of directors, or a committee thereof and (ii) each Company Option was granted in compliance in all material respects with all applicable Laws and the terms and conditions of the Company Stock Plan. Except as described on </w:t>
      </w:r>
      <w:r>
        <w:rPr>
          <w:rFonts w:ascii="Arial" w:cs="Arial" w:eastAsia="Arial" w:hAnsi="Arial"/>
          <w:sz w:val="15"/>
          <w:szCs w:val="15"/>
          <w:u w:val="single" w:color="auto"/>
          <w:color w:val="auto"/>
        </w:rPr>
        <w:t>Schedule 3.5(c)</w:t>
      </w:r>
      <w:r>
        <w:rPr>
          <w:rFonts w:ascii="Arial" w:cs="Arial" w:eastAsia="Arial" w:hAnsi="Arial"/>
          <w:sz w:val="15"/>
          <w:szCs w:val="15"/>
          <w:color w:val="auto"/>
        </w:rPr>
        <w:t xml:space="preserve"> or as set forth in a Benefit Arrangement, no employee or other Person has an offer letter or other Contract or Benefit Arrangement that contemplates a grant of, or right to purchase or receive: (A) options, restricted stock unit awards or other equity awards with respect to the equity of the Company or (B) other securities of the Company, that in each case, have not been issued or granted as of the date of this Agreement. The treatment of Company Options under this Agreement, complies in all respects with applicable Law and with the terms and conditions of the Company Stock Plan and the applicable Company Option or award agreements.</w:t>
      </w:r>
    </w:p>
    <w:p>
      <w:pPr>
        <w:spacing w:after="0" w:line="156" w:lineRule="exact"/>
        <w:rPr>
          <w:rFonts w:ascii="Arial" w:cs="Arial" w:eastAsia="Arial" w:hAnsi="Arial"/>
          <w:sz w:val="15"/>
          <w:szCs w:val="15"/>
          <w:color w:val="auto"/>
        </w:rPr>
      </w:pPr>
    </w:p>
    <w:p>
      <w:pPr>
        <w:ind w:right="20" w:firstLine="1143"/>
        <w:spacing w:after="0" w:line="275" w:lineRule="auto"/>
        <w:tabs>
          <w:tab w:leader="none" w:pos="13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the consummation of the Merger, Parent will own all of the issued and outstanding capital stock and equity securities of the Company free and clear of all Liens (other than Permitted Liens).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Bankruptcy</w:t>
      </w:r>
      <w:r>
        <w:rPr>
          <w:rFonts w:ascii="Arial" w:cs="Arial" w:eastAsia="Arial" w:hAnsi="Arial"/>
          <w:sz w:val="16"/>
          <w:szCs w:val="16"/>
          <w:color w:val="auto"/>
        </w:rPr>
        <w:t>. Neither the Company nor any of its Subsidiaries is involved in any Proceeding by or against it as a debtor before any Governmental Authority under the United States Bankruptcy Code or any other insolvency or debtors’ relief act or Law or for the appointment of a trustee, receiver, liquidator, assignee, sequestrator or other similar official for any part of the Assets of the Company or any of its Subsidiaries. Neither the Company nor or any of its Subsidiaries is, and after giving effect to the consummation of the Transactions, will be “insolvent” within the meaning of Section 101(32) of title 11 of the United States Code or any applicable state fraudulent conveyance or transfer Law.</w:t>
      </w:r>
    </w:p>
    <w:p>
      <w:pPr>
        <w:spacing w:after="0" w:line="170"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Section 3.7 </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xml:space="preserve">. Attached hereto as </w:t>
      </w:r>
      <w:r>
        <w:rPr>
          <w:rFonts w:ascii="Arial" w:cs="Arial" w:eastAsia="Arial" w:hAnsi="Arial"/>
          <w:sz w:val="14"/>
          <w:szCs w:val="14"/>
          <w:u w:val="single" w:color="auto"/>
          <w:color w:val="auto"/>
        </w:rPr>
        <w:t>Schedule 3.7</w:t>
      </w:r>
      <w:r>
        <w:rPr>
          <w:rFonts w:ascii="Arial" w:cs="Arial" w:eastAsia="Arial" w:hAnsi="Arial"/>
          <w:sz w:val="14"/>
          <w:szCs w:val="14"/>
          <w:color w:val="auto"/>
        </w:rPr>
        <w:t xml:space="preserve"> are true, complete and correct copies of (a) the audited balance sheet of the Company, and the related statement of operations, changes in stockholders’ equity and cash flows, for the fiscal year ended December 31, 2019 (collectively, the “</w:t>
      </w:r>
      <w:r>
        <w:rPr>
          <w:rFonts w:ascii="Arial" w:cs="Arial" w:eastAsia="Arial" w:hAnsi="Arial"/>
          <w:sz w:val="14"/>
          <w:szCs w:val="14"/>
          <w:u w:val="single" w:color="auto"/>
          <w:color w:val="auto"/>
        </w:rPr>
        <w:t>Annual Financial Statements</w:t>
      </w:r>
      <w:r>
        <w:rPr>
          <w:rFonts w:ascii="Arial" w:cs="Arial" w:eastAsia="Arial" w:hAnsi="Arial"/>
          <w:sz w:val="14"/>
          <w:szCs w:val="14"/>
          <w:color w:val="auto"/>
        </w:rPr>
        <w:t>”) and (b) the audited balance sheet of the Company as of December 31, 2020 (the “</w:t>
      </w:r>
      <w:r>
        <w:rPr>
          <w:rFonts w:ascii="Arial" w:cs="Arial" w:eastAsia="Arial" w:hAnsi="Arial"/>
          <w:sz w:val="14"/>
          <w:szCs w:val="14"/>
          <w:u w:val="single" w:color="auto"/>
          <w:color w:val="auto"/>
        </w:rPr>
        <w:t>Interim Balance Sheet</w:t>
      </w:r>
      <w:r>
        <w:rPr>
          <w:rFonts w:ascii="Arial" w:cs="Arial" w:eastAsia="Arial" w:hAnsi="Arial"/>
          <w:sz w:val="14"/>
          <w:szCs w:val="14"/>
          <w:color w:val="auto"/>
        </w:rPr>
        <w:t>” and, together with the Annual Financial Statements, the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The Company Financial Statements have been prepared on an accrual basis in conformity with U.S. GAAP (“</w:t>
      </w:r>
      <w:r>
        <w:rPr>
          <w:rFonts w:ascii="Arial" w:cs="Arial" w:eastAsia="Arial" w:hAnsi="Arial"/>
          <w:sz w:val="14"/>
          <w:szCs w:val="14"/>
          <w:u w:val="single" w:color="auto"/>
          <w:color w:val="auto"/>
        </w:rPr>
        <w:t>GAAP</w:t>
      </w:r>
      <w:r>
        <w:rPr>
          <w:rFonts w:ascii="Arial" w:cs="Arial" w:eastAsia="Arial" w:hAnsi="Arial"/>
          <w:sz w:val="14"/>
          <w:szCs w:val="14"/>
          <w:color w:val="auto"/>
        </w:rPr>
        <w:t>”) applied on a consistent basis (except as may be indicated in the notes thereto). The Company Financial Statements are complete and accurate in all material respects and fairly present, in all material respects, the financial position of the Company as of the dates thereof and the results of operations of the Company for the periods reflected therein, subject, in the case of the Company Financial Statements, to normal and year-end adjustments as permitted by GAAP. Except as otherwise noted therein, the Company Financial Statements (i) were prepared from the Books and Records of the Company; (ii) contain and reflect all necessary adjustments and accruals for a fair presentation in all material respects of the Company’s financial condition as of their dates; and (iii) contain and reflect adequate provisions for all material liabilities for all material Taxes applicable to the Company with respect to the periods then ended. The Company has delivered to Parent true, complete and correct copies of all “management letters” received by it from its accountants and all responses by lawyers engaged by the Company to inquiries from its accountant or any predecessor accountants since January 1, 2019. Since December 31, 2020 (the “</w:t>
      </w:r>
      <w:r>
        <w:rPr>
          <w:rFonts w:ascii="Arial" w:cs="Arial" w:eastAsia="Arial" w:hAnsi="Arial"/>
          <w:sz w:val="14"/>
          <w:szCs w:val="14"/>
          <w:u w:val="single" w:color="auto"/>
          <w:color w:val="auto"/>
        </w:rPr>
        <w:t>Balance</w:t>
      </w:r>
      <w:r>
        <w:rPr>
          <w:rFonts w:ascii="Arial" w:cs="Arial" w:eastAsia="Arial" w:hAnsi="Arial"/>
          <w:sz w:val="14"/>
          <w:szCs w:val="14"/>
          <w:color w:val="auto"/>
        </w:rPr>
        <w:t xml:space="preserve"> </w:t>
      </w:r>
      <w:r>
        <w:rPr>
          <w:rFonts w:ascii="Arial" w:cs="Arial" w:eastAsia="Arial" w:hAnsi="Arial"/>
          <w:sz w:val="14"/>
          <w:szCs w:val="14"/>
          <w:u w:val="single" w:color="auto"/>
          <w:color w:val="auto"/>
        </w:rPr>
        <w:t>Sheet Date</w:t>
      </w:r>
      <w:r>
        <w:rPr>
          <w:rFonts w:ascii="Arial" w:cs="Arial" w:eastAsia="Arial" w:hAnsi="Arial"/>
          <w:sz w:val="14"/>
          <w:szCs w:val="14"/>
          <w:color w:val="auto"/>
        </w:rPr>
        <w:t>”), except as required by applicable Law or GAAP, there has been no material change in any accounting principle, procedure or practice followed by the Company or in the method of applying any such principle, procedure or practice.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6" w:name="page27"/>
    <w:bookmarkEnd w:id="26"/>
    <w:p>
      <w:pPr>
        <w:ind w:left="560"/>
        <w:spacing w:after="0"/>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Liabilities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0" w:lineRule="auto"/>
        <w:tabs>
          <w:tab w:leader="none" w:pos="1373"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Except (i) as set forth in the Company Financial Statements, (ii) for Liabilities incurred since the Balance Sheet Date in the Ordinary Course that would not reasonably be expected to have, individually or in the aggregate, a Company Material Adverse Effect, (iii) as set forth in </w:t>
      </w:r>
      <w:r>
        <w:rPr>
          <w:rFonts w:ascii="Arial" w:cs="Arial" w:eastAsia="Arial" w:hAnsi="Arial"/>
          <w:sz w:val="15"/>
          <w:szCs w:val="15"/>
          <w:u w:val="single" w:color="auto"/>
          <w:color w:val="auto"/>
        </w:rPr>
        <w:t>Schedule 3.8(a)</w:t>
      </w:r>
      <w:r>
        <w:rPr>
          <w:rFonts w:ascii="Arial" w:cs="Arial" w:eastAsia="Arial" w:hAnsi="Arial"/>
          <w:sz w:val="15"/>
          <w:szCs w:val="15"/>
          <w:color w:val="auto"/>
        </w:rPr>
        <w:t>, (iv) Liabilities under Contracts that relate to obligations that have not yet been performed, and are not yet required to be performed, or (v) for Liabilities incurred in connection with the Transactions, the Company has no Liabilities of a nature required to be reflected on a balance sheet of the Company prepared in accordance with GAAP.</w:t>
      </w:r>
    </w:p>
    <w:p>
      <w:pPr>
        <w:spacing w:after="0" w:line="151"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Set forth in </w:t>
      </w:r>
      <w:r>
        <w:rPr>
          <w:rFonts w:ascii="Arial" w:cs="Arial" w:eastAsia="Arial" w:hAnsi="Arial"/>
          <w:sz w:val="16"/>
          <w:szCs w:val="16"/>
          <w:u w:val="single" w:color="auto"/>
          <w:color w:val="auto"/>
        </w:rPr>
        <w:t>Schedule 3.8(b)</w:t>
      </w:r>
      <w:r>
        <w:rPr>
          <w:rFonts w:ascii="Arial" w:cs="Arial" w:eastAsia="Arial" w:hAnsi="Arial"/>
          <w:sz w:val="16"/>
          <w:szCs w:val="16"/>
          <w:color w:val="auto"/>
        </w:rPr>
        <w:t xml:space="preserve"> is a list of all Indebtedness of the Company and its Subsidiaries for borrowed money. Neither the Company nor any of its Subsidiaries has guaranteed any other Person’s Indebtedness for borrowed money.</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3.9 </w:t>
      </w:r>
      <w:r>
        <w:rPr>
          <w:rFonts w:ascii="Arial" w:cs="Arial" w:eastAsia="Arial" w:hAnsi="Arial"/>
          <w:sz w:val="15"/>
          <w:szCs w:val="15"/>
          <w:u w:val="single" w:color="auto"/>
          <w:color w:val="auto"/>
        </w:rPr>
        <w:t>Internal Accounting Controls</w:t>
      </w:r>
      <w:r>
        <w:rPr>
          <w:rFonts w:ascii="Arial" w:cs="Arial" w:eastAsia="Arial" w:hAnsi="Arial"/>
          <w:sz w:val="15"/>
          <w:szCs w:val="15"/>
          <w:color w:val="auto"/>
        </w:rPr>
        <w:t>. The Company and its Subsidiaries have established a system of internal accounting controls designed to provide reasonable assurance that: (a) transactions are executed in accordance with management’s general or specific authorizations in all material respects; (b) transactions are recorded as necessary to permit preparation of financial statements in conformity with the Company’s historical practices and to maintain asset accountability in all material respects; (c) access to material assets is permitted only in accordance with management’s general or specific authorization; and (d) the recorded accountability for material assets is compared with the existing assets at reasonable intervals and appropriate action is taken with respect to any differences.</w:t>
      </w:r>
    </w:p>
    <w:p>
      <w:pPr>
        <w:spacing w:after="0" w:line="15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xml:space="preserve">. Between the Balance Sheet Date and the date hereof, neither the Company nor any of its Subsidiaries has taken any action that, if such action were taken between the Balance Sheet Date and the date hereof, would have required Parent consent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Neither the Company nor any of its Subsidiaries has received any grant or other financial support, financial benefits or relief from any Governmental Authority, including pursuant to any COVID-19 Law programs or under any COVID-19 Law.</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Accounts Payable</w:t>
      </w:r>
      <w:r>
        <w:rPr>
          <w:rFonts w:ascii="Arial" w:cs="Arial" w:eastAsia="Arial" w:hAnsi="Arial"/>
          <w:sz w:val="16"/>
          <w:szCs w:val="16"/>
          <w:color w:val="auto"/>
        </w:rPr>
        <w:t xml:space="preserve">. Other than as set forth on </w:t>
      </w:r>
      <w:r>
        <w:rPr>
          <w:rFonts w:ascii="Arial" w:cs="Arial" w:eastAsia="Arial" w:hAnsi="Arial"/>
          <w:sz w:val="16"/>
          <w:szCs w:val="16"/>
          <w:u w:val="single" w:color="auto"/>
          <w:color w:val="auto"/>
        </w:rPr>
        <w:t>Schedule 3.11</w:t>
      </w:r>
      <w:r>
        <w:rPr>
          <w:rFonts w:ascii="Arial" w:cs="Arial" w:eastAsia="Arial" w:hAnsi="Arial"/>
          <w:sz w:val="16"/>
          <w:szCs w:val="16"/>
          <w:color w:val="auto"/>
        </w:rPr>
        <w:t>, 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74" w:lineRule="auto"/>
        <w:tabs>
          <w:tab w:leader="none" w:pos="137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Except as would not reasonably be expected to, individually or in the aggregate, have a Company Material Adverse Effect, neither the Company nor any of its Subsidiaries has been since January 1, 2018, is in, nor has any Liability in respect of any, violation of, and no event has occurred or circumstance exists that (with or without notice or due to lapse of time) would constitute or result in a violation by the Company or any of its Subsidiaries of, or failure on the part of the Company or any of its Subsidiaries to comply with, or any Liability suffered or incurred by the Company or any of its Subsidiaries in respect of any violation of or material noncompliance with, any Laws and Orders or policies by Governmental Authority that are or were applicable to it or the conduct or operation of its business or the ownership or use of any of its Assets, and no Proceeding is pending, or to the Knowledge of the Company, threatened, alleging any such violation or noncompliance.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7" w:name="page28"/>
    <w:bookmarkEnd w:id="27"/>
    <w:p>
      <w:pPr>
        <w:jc w:val="both"/>
        <w:ind w:firstLine="1143"/>
        <w:spacing w:after="0" w:line="297" w:lineRule="auto"/>
        <w:tabs>
          <w:tab w:leader="none" w:pos="137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and each of its Subsidiaries has all Permits necessary for the conduct of its business as presently conducted, and (i) each of the Permits is in full force and effect; (ii) the Company and each of its Subsidiaries are in compliance with the terms, provisions and conditions thereof; (iii) there are no outstanding violations, notices of noncompliance, Orders or Proceedings adversely affecting any of the Permits; and (iv) no condition (including the execution of this Agreement and the other Transaction Documents to which the Company is a party and the consummation of the Transactions) exists and no event has occurred which (whether with or without notice, lapse of time or the occurrence of any other event) would reasonably be expected to result in the suspension or revocation of any of the Permits other than by expiration of the term set forth therein, except in each case as would not reasonably be expected to have, individually or in the aggregate, a Company Material Adverse Effect.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Title to Properties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0" w:lineRule="auto"/>
        <w:tabs>
          <w:tab w:leader="none" w:pos="1364"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Section 3.13(a)</w:t>
      </w:r>
      <w:r>
        <w:rPr>
          <w:rFonts w:ascii="Arial" w:cs="Arial" w:eastAsia="Arial" w:hAnsi="Arial"/>
          <w:sz w:val="15"/>
          <w:szCs w:val="15"/>
          <w:color w:val="auto"/>
        </w:rPr>
        <w:t xml:space="preserve"> of the Disclosure Schedules sets forth as of the date hereof the address of each real property owned by the Company (the “</w:t>
      </w:r>
      <w:r>
        <w:rPr>
          <w:rFonts w:ascii="Arial" w:cs="Arial" w:eastAsia="Arial" w:hAnsi="Arial"/>
          <w:sz w:val="15"/>
          <w:szCs w:val="15"/>
          <w:u w:val="single" w:color="auto"/>
          <w:color w:val="auto"/>
        </w:rPr>
        <w:t>Owned Real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Property</w:t>
      </w:r>
      <w:r>
        <w:rPr>
          <w:rFonts w:ascii="Arial" w:cs="Arial" w:eastAsia="Arial" w:hAnsi="Arial"/>
          <w:sz w:val="15"/>
          <w:szCs w:val="15"/>
          <w:color w:val="auto"/>
        </w:rPr>
        <w:t>”). The Company and its Subsidiaries have good and marketable title to all Owned Real Property and valid leasehold interests in all Leased Real Property (as defined below), except where the failure to have such good and marketable title or valid leasehold interests would not reasonably be expected to, individually or in the aggregate, have a Company Material Adverse Effect. None of the Owned Real Property or Leased Real Property is subject to any Lien, except Permitted Liens.</w:t>
      </w:r>
    </w:p>
    <w:p>
      <w:pPr>
        <w:spacing w:after="0" w:line="151" w:lineRule="exact"/>
        <w:rPr>
          <w:rFonts w:ascii="Arial" w:cs="Arial" w:eastAsia="Arial" w:hAnsi="Arial"/>
          <w:sz w:val="15"/>
          <w:szCs w:val="15"/>
          <w:color w:val="auto"/>
        </w:rPr>
      </w:pPr>
    </w:p>
    <w:p>
      <w:pPr>
        <w:jc w:val="both"/>
        <w:ind w:firstLine="1143"/>
        <w:spacing w:after="0" w:line="294" w:lineRule="auto"/>
        <w:tabs>
          <w:tab w:leader="none" w:pos="1385"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Schedule 3.13(b)</w:t>
      </w:r>
      <w:r>
        <w:rPr>
          <w:rFonts w:ascii="Arial" w:cs="Arial" w:eastAsia="Arial" w:hAnsi="Arial"/>
          <w:sz w:val="14"/>
          <w:szCs w:val="14"/>
          <w:color w:val="auto"/>
        </w:rPr>
        <w:t xml:space="preserve"> hereto includes a true, complete and correct list, as of the date hereof, of (i) all Contracts under which the Company or any of its Subsidiaries leases, subleases, licenses or otherwise uses or occupies any real property as a lessee, sublessee, licensee or occupant thereof, whether in the Company’s or any Subsidiary’s capacity as lessee, sublessee, licensee, lessor, sublessor, or licensor, as the case may be (such Contracts are hereby referred to individually as a “</w:t>
      </w:r>
      <w:r>
        <w:rPr>
          <w:rFonts w:ascii="Arial" w:cs="Arial" w:eastAsia="Arial" w:hAnsi="Arial"/>
          <w:sz w:val="14"/>
          <w:szCs w:val="14"/>
          <w:u w:val="single" w:color="auto"/>
          <w:color w:val="auto"/>
        </w:rPr>
        <w:t>Real Property</w:t>
      </w:r>
      <w:r>
        <w:rPr>
          <w:rFonts w:ascii="Arial" w:cs="Arial" w:eastAsia="Arial" w:hAnsi="Arial"/>
          <w:sz w:val="14"/>
          <w:szCs w:val="14"/>
          <w:color w:val="auto"/>
        </w:rPr>
        <w:t xml:space="preserve"> </w:t>
      </w:r>
      <w:r>
        <w:rPr>
          <w:rFonts w:ascii="Arial" w:cs="Arial" w:eastAsia="Arial" w:hAnsi="Arial"/>
          <w:sz w:val="14"/>
          <w:szCs w:val="14"/>
          <w:u w:val="single" w:color="auto"/>
          <w:color w:val="auto"/>
        </w:rPr>
        <w:t>Lease</w:t>
      </w:r>
      <w:r>
        <w:rPr>
          <w:rFonts w:ascii="Arial" w:cs="Arial" w:eastAsia="Arial" w:hAnsi="Arial"/>
          <w:sz w:val="14"/>
          <w:szCs w:val="14"/>
          <w:color w:val="auto"/>
        </w:rPr>
        <w:t>” and collectively, as the “</w:t>
      </w:r>
      <w:r>
        <w:rPr>
          <w:rFonts w:ascii="Arial" w:cs="Arial" w:eastAsia="Arial" w:hAnsi="Arial"/>
          <w:sz w:val="14"/>
          <w:szCs w:val="14"/>
          <w:u w:val="single" w:color="auto"/>
          <w:color w:val="auto"/>
        </w:rPr>
        <w:t>Real Property Leases</w:t>
      </w:r>
      <w:r>
        <w:rPr>
          <w:rFonts w:ascii="Arial" w:cs="Arial" w:eastAsia="Arial" w:hAnsi="Arial"/>
          <w:sz w:val="14"/>
          <w:szCs w:val="14"/>
          <w:color w:val="auto"/>
        </w:rPr>
        <w:t>”) and (ii) the street address of the real property that is leased, subleased, licensed or otherwise used or occupied pursuant to each Real Property Lease (each, a “</w:t>
      </w:r>
      <w:r>
        <w:rPr>
          <w:rFonts w:ascii="Arial" w:cs="Arial" w:eastAsia="Arial" w:hAnsi="Arial"/>
          <w:sz w:val="14"/>
          <w:szCs w:val="14"/>
          <w:u w:val="single" w:color="auto"/>
          <w:color w:val="auto"/>
        </w:rPr>
        <w:t>Leased Real Property</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Leased Real Properties</w:t>
      </w:r>
      <w:r>
        <w:rPr>
          <w:rFonts w:ascii="Arial" w:cs="Arial" w:eastAsia="Arial" w:hAnsi="Arial"/>
          <w:sz w:val="14"/>
          <w:szCs w:val="14"/>
          <w:color w:val="auto"/>
        </w:rPr>
        <w:t>”). The Company has made available to Parent true, complete and correct copies of all Real Property Leases. No Person other than the Company or any of its Subsidiaries has any option or right to terminate any of the Real Property Leases other than as expressly set forth in such Real Property Leases. There are no parties physically occupying or using any portion of any of the Leased Real Properties nor, to the Knowledge of the Company, do any other parties have the right to physically occupy or use any portion of the Leased Real Properties, in each case, other than the Company.</w:t>
      </w:r>
    </w:p>
    <w:p>
      <w:pPr>
        <w:spacing w:after="0" w:line="143" w:lineRule="exact"/>
        <w:rPr>
          <w:rFonts w:ascii="Arial" w:cs="Arial" w:eastAsia="Arial" w:hAnsi="Arial"/>
          <w:sz w:val="14"/>
          <w:szCs w:val="14"/>
          <w:color w:val="auto"/>
        </w:rPr>
      </w:pPr>
    </w:p>
    <w:p>
      <w:pPr>
        <w:jc w:val="both"/>
        <w:ind w:firstLine="1143"/>
        <w:spacing w:after="0" w:line="262" w:lineRule="auto"/>
        <w:tabs>
          <w:tab w:leader="none" w:pos="13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the date hereof, (i) all required deposits and additional rents due to date pursuant to each Real Property Lease have been paid in full; (ii) neither the Company nor any Subsidiary has prepaid rent or any other amounts due under any Real Property Lease more than 30 days in advance; and (iii) no party has any rights of offset against any rents, required security deposits or additional rents payable under any Real Property Lease.</w:t>
      </w:r>
    </w:p>
    <w:p>
      <w:pPr>
        <w:spacing w:after="0" w:line="162" w:lineRule="exact"/>
        <w:rPr>
          <w:rFonts w:ascii="Arial" w:cs="Arial" w:eastAsia="Arial" w:hAnsi="Arial"/>
          <w:sz w:val="16"/>
          <w:szCs w:val="16"/>
          <w:color w:val="auto"/>
        </w:rPr>
      </w:pPr>
    </w:p>
    <w:p>
      <w:pPr>
        <w:jc w:val="both"/>
        <w:ind w:firstLine="1143"/>
        <w:spacing w:after="0" w:line="255" w:lineRule="auto"/>
        <w:tabs>
          <w:tab w:leader="none" w:pos="13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and each of its Subsidiaries owns good, valid and marketable title, free and clear of all Liens (other than Permitted Liens), to all of their respective material Assets which are tangible in nature. The Company and each of its Subsidiaries owns, leases under valid leases or has use of and/or valid access under valid agreements to all material facilities, machinery, equipment and other tangible Assets necessary for the conduct of their respective businesses as presently conducted, and all such facilities, machinery and equipment are in good working condition and repair and generally are adequate and suitable in all material respects for their present use, Ordinary Course wear and tear excepted.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8" w:name="page29"/>
    <w:bookmarkEnd w:id="28"/>
    <w:p>
      <w:pPr>
        <w:ind w:left="564"/>
        <w:spacing w:after="0"/>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International Trade Matters; Anti-Bribery Compliance</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91" w:lineRule="auto"/>
        <w:tabs>
          <w:tab w:leader="none" w:pos="1383"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The Company and its Subsidiaries currently are and, since January 1, 2018 have been, in material compliance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4"/>
          <w:szCs w:val="14"/>
          <w:u w:val="single" w:color="auto"/>
          <w:color w:val="auto"/>
        </w:rPr>
        <w:t>Anti-Corruption Laws</w:t>
      </w:r>
      <w:r>
        <w:rPr>
          <w:rFonts w:ascii="Arial" w:cs="Arial" w:eastAsia="Arial" w:hAnsi="Arial"/>
          <w:sz w:val="14"/>
          <w:szCs w:val="14"/>
          <w:color w:val="auto"/>
        </w:rPr>
        <w:t>”), (ii) economic sanctions administered, enacted or enforced by any Governmental Authority (collectively, “</w:t>
      </w:r>
      <w:r>
        <w:rPr>
          <w:rFonts w:ascii="Arial" w:cs="Arial" w:eastAsia="Arial" w:hAnsi="Arial"/>
          <w:sz w:val="14"/>
          <w:szCs w:val="14"/>
          <w:u w:val="single" w:color="auto"/>
          <w:color w:val="auto"/>
        </w:rPr>
        <w:t>Sanctions Laws</w:t>
      </w:r>
      <w:r>
        <w:rPr>
          <w:rFonts w:ascii="Arial" w:cs="Arial" w:eastAsia="Arial" w:hAnsi="Arial"/>
          <w:sz w:val="14"/>
          <w:szCs w:val="14"/>
          <w:color w:val="auto"/>
        </w:rPr>
        <w:t>”),</w:t>
      </w:r>
    </w:p>
    <w:p>
      <w:pPr>
        <w:jc w:val="both"/>
        <w:ind w:left="4" w:right="20" w:hanging="4"/>
        <w:spacing w:after="0" w:line="251" w:lineRule="auto"/>
        <w:tabs>
          <w:tab w:leader="none" w:pos="3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 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 (v) 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Arial" w:cs="Arial" w:eastAsia="Arial" w:hAnsi="Arial"/>
          <w:sz w:val="16"/>
          <w:szCs w:val="16"/>
          <w:u w:val="single" w:color="auto"/>
          <w:color w:val="auto"/>
        </w:rPr>
        <w:t>International Trade Control Laws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4" w:firstLine="1143"/>
        <w:spacing w:after="0" w:line="269" w:lineRule="auto"/>
        <w:tabs>
          <w:tab w:leader="none" w:pos="1384" w:val="left"/>
        </w:tabs>
        <w:numPr>
          <w:ilvl w:val="1"/>
          <w:numId w:val="23"/>
        </w:numPr>
        <w:rPr>
          <w:rFonts w:ascii="Arial" w:cs="Arial" w:eastAsia="Arial" w:hAnsi="Arial"/>
          <w:sz w:val="15"/>
          <w:szCs w:val="15"/>
          <w:color w:val="auto"/>
        </w:rPr>
      </w:pPr>
      <w:r>
        <w:rPr>
          <w:rFonts w:ascii="Arial" w:cs="Arial" w:eastAsia="Arial" w:hAnsi="Arial"/>
          <w:sz w:val="15"/>
          <w:szCs w:val="15"/>
          <w:color w:val="auto"/>
        </w:rPr>
        <w:t>Neither the Company, its Subsidiaries, nor any director or officer, nor any employee or agent of the Company or its Subsidiaries (acting on behalf of the Company or its Subsidiaries), is or is acting under the direction of, on behalf of or for the benefit of a Person that is, (i) the subject of Sanctions Laws or identified on any sanctions or similar lists administered by a Governmental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Governmental Authority, as amended from time to time, or any Person owned or controlled by any of the foregoing (collectively, “</w:t>
      </w:r>
      <w:r>
        <w:rPr>
          <w:rFonts w:ascii="Arial" w:cs="Arial" w:eastAsia="Arial" w:hAnsi="Arial"/>
          <w:sz w:val="15"/>
          <w:szCs w:val="15"/>
          <w:u w:val="single" w:color="auto"/>
          <w:color w:val="auto"/>
        </w:rPr>
        <w:t>Prohibited Party</w:t>
      </w:r>
      <w:r>
        <w:rPr>
          <w:rFonts w:ascii="Arial" w:cs="Arial" w:eastAsia="Arial" w:hAnsi="Arial"/>
          <w:sz w:val="15"/>
          <w:szCs w:val="15"/>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Governmental Authority or public international organization, or officer of a political party or candidate for political office. Neither the Company, its Subsidiaries, nor any director or officer, nor, to the Knowledge of the Company, any employee or agent of the Company or its Subsidiaries (acting on behalf of the Company or its Subsidiaries),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161" w:lineRule="exact"/>
        <w:rPr>
          <w:rFonts w:ascii="Arial" w:cs="Arial" w:eastAsia="Arial" w:hAnsi="Arial"/>
          <w:sz w:val="15"/>
          <w:szCs w:val="15"/>
          <w:color w:val="auto"/>
        </w:rPr>
      </w:pPr>
    </w:p>
    <w:p>
      <w:pPr>
        <w:jc w:val="both"/>
        <w:ind w:left="4" w:right="20" w:firstLine="1143"/>
        <w:spacing w:after="0" w:line="280" w:lineRule="auto"/>
        <w:tabs>
          <w:tab w:leader="none" w:pos="1407" w:val="left"/>
        </w:tabs>
        <w:numPr>
          <w:ilvl w:val="1"/>
          <w:numId w:val="23"/>
        </w:numPr>
        <w:rPr>
          <w:rFonts w:ascii="Arial" w:cs="Arial" w:eastAsia="Arial" w:hAnsi="Arial"/>
          <w:sz w:val="15"/>
          <w:szCs w:val="15"/>
          <w:color w:val="auto"/>
        </w:rPr>
      </w:pPr>
      <w:r>
        <w:rPr>
          <w:rFonts w:ascii="Arial" w:cs="Arial" w:eastAsia="Arial" w:hAnsi="Arial"/>
          <w:sz w:val="15"/>
          <w:szCs w:val="15"/>
          <w:color w:val="auto"/>
        </w:rPr>
        <w:t>Neither the Company, nor its Subsidiaries, has received written notice of, nor, any of their respective officers, employees, agents or third-party representatives is or has been the subject of, any investigation, inquiry or enforcement proceedings by any Governmental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2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29" w:name="page30"/>
    <w:bookmarkEnd w:id="29"/>
    <w:p>
      <w:pPr>
        <w:jc w:val="both"/>
        <w:ind w:right="20" w:firstLine="1143"/>
        <w:spacing w:after="0" w:line="287" w:lineRule="auto"/>
        <w:tabs>
          <w:tab w:leader="none" w:pos="138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Tango is not a U.S. business that (i) produces, designs, tests, manufactures, fabricates, or develops one or more “critical technologies”; (ii) performs the functions set forth in column 2 of Appendix A to 31 C.F.R. Part 800 with respect to “covered investment critical infrastructure”; or (iii) maintains or collects, directly or indirectly, “sensitive personal data” of U.S. citizens, in each case as such terms in quotation marks are defined in the Defense Production Act of 1950.</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8" w:lineRule="auto"/>
        <w:tabs>
          <w:tab w:leader="none" w:pos="1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and its Subsidiaries have filed (taking into account all applicable extensions) when due all income and other material Tax Returns required by applicable Law to be filed with respect to the Company and each of its Subsidiaries, and all material Taxes (whether or not shown on any Tax Returns) of the Company and its Subsidiaries have been paid, other than Taxes being contested in good faith and for which adequate reserves have been established in accordance with GAAP, and all such Tax Returns were true, complete and correct in all material respects as of the time of such filing.</w:t>
      </w:r>
    </w:p>
    <w:p>
      <w:pPr>
        <w:spacing w:after="0" w:line="164"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There is no Proceeding, audit or claim now pending against, or with respect to, the Company or any of its Subsidiaries in respect of any Tax or assessment, nor is any Proceeding for additional Tax or assessment asserted in writing by any Governmental Authority that has not been resolved or settled in full.</w:t>
      </w:r>
    </w:p>
    <w:p>
      <w:pPr>
        <w:spacing w:after="0" w:line="129" w:lineRule="exact"/>
        <w:rPr>
          <w:rFonts w:ascii="Arial" w:cs="Arial" w:eastAsia="Arial" w:hAnsi="Arial"/>
          <w:sz w:val="15"/>
          <w:szCs w:val="15"/>
          <w:color w:val="auto"/>
        </w:rPr>
      </w:pPr>
    </w:p>
    <w:p>
      <w:pPr>
        <w:ind w:firstLine="1143"/>
        <w:spacing w:after="0" w:line="275" w:lineRule="auto"/>
        <w:tabs>
          <w:tab w:leader="none" w:pos="13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written claim has been made by any Governmental Authority in a jurisdiction where the Company or any of its Subsidiaries has not filed a Tax Return that it is or may be subject to Tax by such jurisdiction, nor is any such assertion, to the Knowledge of the Company, threatened.</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Contract (other than any such agreement solely between the Company and its existing Subsidiaries and any Contracts entered into in the Ordinary Course not relating primarily to Taxes) providing for the payment of Taxes, payment for Tax losses, entitlements to refunds or similar Tax matters.</w:t>
      </w:r>
    </w:p>
    <w:p>
      <w:pPr>
        <w:spacing w:after="0" w:line="162" w:lineRule="exact"/>
        <w:rPr>
          <w:rFonts w:ascii="Arial" w:cs="Arial" w:eastAsia="Arial" w:hAnsi="Arial"/>
          <w:sz w:val="16"/>
          <w:szCs w:val="16"/>
          <w:color w:val="auto"/>
        </w:rPr>
      </w:pPr>
    </w:p>
    <w:p>
      <w:pPr>
        <w:ind w:right="20" w:firstLine="1143"/>
        <w:spacing w:after="0" w:line="275" w:lineRule="auto"/>
        <w:tabs>
          <w:tab w:leader="none" w:pos="13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3.14(e)</w:t>
      </w:r>
      <w:r>
        <w:rPr>
          <w:rFonts w:ascii="Arial" w:cs="Arial" w:eastAsia="Arial" w:hAnsi="Arial"/>
          <w:sz w:val="16"/>
          <w:szCs w:val="16"/>
          <w:color w:val="auto"/>
        </w:rPr>
        <w:t xml:space="preserve"> of the Disclosure Letter, the Company and each of its Subsidiaries have withheld and paid all Taxes required to be withheld in connection with any amounts paid or owing to any employee, creditor, independent contractor or other third party.</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is no outstanding request for any extension of time within which to pay any Taxes or file any Tax Returns (other than extensions requested in Ordinary Course), and there has been no waiver or extension of any applicable statute of limitations for the assessment or collection of any Taxes of the Company or any of its Subsidiaries that will remain outstanding as of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distributed the stock of another Person, or had its stock distributed by another Person, in a transaction that was purported or intended to be governed in whole or in part by Section 355 or Section 361 of the Code.</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are no Liens for Taxes upon any Assets of the Company or its Subsidiaries other than Permitted Liens.</w:t>
      </w:r>
    </w:p>
    <w:p>
      <w:pPr>
        <w:spacing w:after="0" w:line="198" w:lineRule="exact"/>
        <w:rPr>
          <w:rFonts w:ascii="Arial" w:cs="Arial" w:eastAsia="Arial" w:hAnsi="Arial"/>
          <w:sz w:val="16"/>
          <w:szCs w:val="16"/>
          <w:color w:val="auto"/>
        </w:rPr>
      </w:pPr>
    </w:p>
    <w:p>
      <w:pPr>
        <w:ind w:right="20" w:firstLine="1143"/>
        <w:spacing w:after="0" w:line="349" w:lineRule="auto"/>
        <w:tabs>
          <w:tab w:leader="none" w:pos="1338"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been a party to or bound by any closing agreement, private letter rulings, technical advice memoranda, offer in compromise, or any other agreement with any Governmental Authority in respect of which the Company could have any material Tax Liability after the Closing.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0" w:name="page31"/>
    <w:bookmarkEnd w:id="30"/>
    <w:p>
      <w:pPr>
        <w:jc w:val="both"/>
        <w:ind w:left="4" w:firstLine="1143"/>
        <w:spacing w:after="0" w:line="280" w:lineRule="auto"/>
        <w:tabs>
          <w:tab w:leader="none" w:pos="1349" w:val="left"/>
        </w:tabs>
        <w:numPr>
          <w:ilvl w:val="0"/>
          <w:numId w:val="26"/>
        </w:numPr>
        <w:rPr>
          <w:rFonts w:ascii="Arial" w:cs="Arial" w:eastAsia="Arial" w:hAnsi="Arial"/>
          <w:sz w:val="15"/>
          <w:szCs w:val="15"/>
          <w:color w:val="auto"/>
        </w:rPr>
      </w:pPr>
      <w:r>
        <w:rPr>
          <w:rFonts w:ascii="Arial" w:cs="Arial" w:eastAsia="Arial" w:hAnsi="Arial"/>
          <w:sz w:val="15"/>
          <w:szCs w:val="15"/>
          <w:color w:val="auto"/>
        </w:rPr>
        <w:t>Neither the Company nor any of its Subsidiaries (i) has been a member of an affiliated group filing a consolidated U.S. federal income Tax Return (other than a group the common parent of which was the Company) or other comparable group for state, local or foreign Tax purposes and (ii) has Liability for the Taxes of any Person (other than the Company or its Subsidiaries) under Treasury Regulations Section 1.1502-6 (or any similar provision of state, local, or foreign law), as a transferee or successor, by Contract (other than Contracts entered into in the Ordinary Course and not relating primarily to Taxes), or otherwise.</w:t>
      </w:r>
    </w:p>
    <w:p>
      <w:pPr>
        <w:spacing w:after="0" w:line="151" w:lineRule="exact"/>
        <w:rPr>
          <w:rFonts w:ascii="Arial" w:cs="Arial" w:eastAsia="Arial" w:hAnsi="Arial"/>
          <w:sz w:val="15"/>
          <w:szCs w:val="15"/>
          <w:color w:val="auto"/>
        </w:rPr>
      </w:pPr>
    </w:p>
    <w:p>
      <w:pPr>
        <w:ind w:left="1364" w:hanging="217"/>
        <w:spacing w:after="0"/>
        <w:tabs>
          <w:tab w:leader="none" w:pos="1364"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participated in a “listed transaction” required to be disclosed pursuant to Treasury Regulations Section</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1.6011-4(b).</w:t>
      </w:r>
    </w:p>
    <w:p>
      <w:pPr>
        <w:spacing w:after="0" w:line="185" w:lineRule="exact"/>
        <w:rPr>
          <w:rFonts w:ascii="Arial" w:cs="Arial" w:eastAsia="Arial" w:hAnsi="Arial"/>
          <w:sz w:val="14"/>
          <w:szCs w:val="14"/>
          <w:color w:val="auto"/>
        </w:rPr>
      </w:pPr>
    </w:p>
    <w:p>
      <w:pPr>
        <w:jc w:val="both"/>
        <w:ind w:left="4" w:firstLine="1143"/>
        <w:spacing w:after="0" w:line="254" w:lineRule="auto"/>
        <w:tabs>
          <w:tab w:leader="none" w:pos="13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item of income in, or exclude any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outside the Ordinary Course.</w:t>
      </w:r>
    </w:p>
    <w:p>
      <w:pPr>
        <w:spacing w:after="0" w:line="170" w:lineRule="exact"/>
        <w:rPr>
          <w:rFonts w:ascii="Arial" w:cs="Arial" w:eastAsia="Arial" w:hAnsi="Arial"/>
          <w:sz w:val="16"/>
          <w:szCs w:val="16"/>
          <w:color w:val="auto"/>
        </w:rPr>
      </w:pPr>
    </w:p>
    <w:p>
      <w:pPr>
        <w:ind w:left="4" w:right="20" w:firstLine="1143"/>
        <w:spacing w:after="0" w:line="275" w:lineRule="auto"/>
        <w:tabs>
          <w:tab w:leader="none" w:pos="1421"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required to include in income any amounts determined pursuant to Section 965 of the Code, or to make any deferred payments with respect thereto including pursuant to Section 965(h) of the Code.</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of its Subsidiary has claimed any Tax credit or deferral pursuant to a COVID-19 Law.</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94" w:lineRule="auto"/>
        <w:tabs>
          <w:tab w:leader="none" w:pos="1380" w:val="left"/>
        </w:tabs>
        <w:numPr>
          <w:ilvl w:val="1"/>
          <w:numId w:val="27"/>
        </w:numPr>
        <w:rPr>
          <w:rFonts w:ascii="Arial" w:cs="Arial" w:eastAsia="Arial" w:hAnsi="Arial"/>
          <w:sz w:val="14"/>
          <w:szCs w:val="14"/>
          <w:color w:val="auto"/>
        </w:rPr>
      </w:pPr>
      <w:r>
        <w:rPr>
          <w:rFonts w:ascii="Arial" w:cs="Arial" w:eastAsia="Arial" w:hAnsi="Arial"/>
          <w:sz w:val="14"/>
          <w:szCs w:val="14"/>
          <w:u w:val="single" w:color="auto"/>
          <w:color w:val="auto"/>
        </w:rPr>
        <w:t>Schedule 3.16(a)</w:t>
      </w:r>
      <w:r>
        <w:rPr>
          <w:rFonts w:ascii="Arial" w:cs="Arial" w:eastAsia="Arial" w:hAnsi="Arial"/>
          <w:sz w:val="14"/>
          <w:szCs w:val="14"/>
          <w:color w:val="auto"/>
        </w:rPr>
        <w:t xml:space="preserve"> sets forth a true, accurate and complete list of all (i) issued patents and pending patent applications, (ii) trademark registrations and pending trademark applications, (iii) registered copyrights and pending copyright applications, (iv) internet domain name registrations, (v) material unregistered trademarks;</w:t>
      </w:r>
    </w:p>
    <w:p>
      <w:pPr>
        <w:jc w:val="both"/>
        <w:ind w:left="4" w:hanging="4"/>
        <w:spacing w:after="0" w:line="269" w:lineRule="auto"/>
        <w:tabs>
          <w:tab w:leader="none" w:pos="288" w:val="left"/>
        </w:tabs>
        <w:numPr>
          <w:ilvl w:val="0"/>
          <w:numId w:val="28"/>
        </w:numPr>
        <w:rPr>
          <w:rFonts w:ascii="Arial" w:cs="Arial" w:eastAsia="Arial" w:hAnsi="Arial"/>
          <w:sz w:val="15"/>
          <w:szCs w:val="15"/>
          <w:color w:val="auto"/>
        </w:rPr>
      </w:pPr>
      <w:r>
        <w:rPr>
          <w:rFonts w:ascii="Arial" w:cs="Arial" w:eastAsia="Arial" w:hAnsi="Arial"/>
          <w:sz w:val="15"/>
          <w:szCs w:val="15"/>
          <w:color w:val="auto"/>
        </w:rPr>
        <w:t>all trade secrets, provided however that the disclosure of trade secrets is made to the Knowledge of the Company and only includes a general description of such trade secrets; and (vii) and material proprietary software Intellectual Property, in each case that are owned by the Company or any of its Subsidiaries (collectively, and together with other Intellectual Property owned by the Company or any of its Subsidiaries, the “</w:t>
      </w:r>
      <w:r>
        <w:rPr>
          <w:rFonts w:ascii="Arial" w:cs="Arial" w:eastAsia="Arial" w:hAnsi="Arial"/>
          <w:sz w:val="15"/>
          <w:szCs w:val="15"/>
          <w:u w:val="single" w:color="auto"/>
          <w:color w:val="auto"/>
        </w:rPr>
        <w:t>Scheduled Intellectual Property</w:t>
      </w:r>
      <w:r>
        <w:rPr>
          <w:rFonts w:ascii="Arial" w:cs="Arial" w:eastAsia="Arial" w:hAnsi="Arial"/>
          <w:sz w:val="15"/>
          <w:szCs w:val="15"/>
          <w:color w:val="auto"/>
        </w:rPr>
        <w:t>”). All of the registrations, applications, and issuance within the Scheduled Intellectual Property is subsisting, in full force and effect, and has not been cancelled, expired, abandoned, or otherwise terminated, and payment of all renewal and maintenance fees due in respect thereto, and all filings related thereto, have been duly made. To the Knowledge of the Company, all such registrations and issuances within the Scheduled Intellectual Property are valid. Immediately after the Closing, the Company and its Subsidiaries will continue to have the right to exploit all Owned Intellectual Property and Licensed Intellectual Property on substantially similar terms and conditions as the Company and its Subsidiaries enjoyed immediately prior to Closing. Except as set forth in Schedule 3.16(a), there are no annuities, payments, fees, responses to office actions or other filings required to be made and having a due date with respect to any Owned Intellectual Property within ninety (90) days after the date of this Agreement.</w:t>
      </w:r>
    </w:p>
    <w:p>
      <w:pPr>
        <w:spacing w:after="0" w:line="2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31" w:name="page32"/>
    <w:bookmarkEnd w:id="31"/>
    <w:p>
      <w:pPr>
        <w:jc w:val="both"/>
        <w:ind w:firstLine="1143"/>
        <w:spacing w:after="0" w:line="270" w:lineRule="auto"/>
        <w:tabs>
          <w:tab w:leader="none" w:pos="1387"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The Company exclusively owns all right, title and interest in and to the Owned Intellectual Property free and clear of all Liens. Except as set forth on </w:t>
      </w:r>
      <w:r>
        <w:rPr>
          <w:rFonts w:ascii="Arial" w:cs="Arial" w:eastAsia="Arial" w:hAnsi="Arial"/>
          <w:sz w:val="15"/>
          <w:szCs w:val="15"/>
          <w:u w:val="single" w:color="auto"/>
          <w:color w:val="auto"/>
        </w:rPr>
        <w:t>Schedule 3.16(b)</w:t>
      </w:r>
      <w:r>
        <w:rPr>
          <w:rFonts w:ascii="Arial" w:cs="Arial" w:eastAsia="Arial" w:hAnsi="Arial"/>
          <w:sz w:val="15"/>
          <w:szCs w:val="15"/>
          <w:color w:val="auto"/>
        </w:rPr>
        <w:t>, (i) no Owned Intellectual Property is or has been, in the four (4) year period immediately prior to the date of this Agreement, the subject of any opposition, cancellation, or similar Proceeding before any Governmental Authority other than Proceedings involving the examination of applications for registration of Intellectual Property (e.g., patent prosecution Proceedings, trademark prosecution Proceedings, and copyright prosecution Proceedings), and to the Knowledge of the Company, no such Proceeding is or has been threatened in writing, (ii) neither the Company nor any of its Subsidiaries is subject to any injunction or other specific judicial, administrative, or other Order that restricts or impairs its ownership, registrability, enforceability, use or distribution of any Owned Intellectual Property, and (iii) neither the Company nor any of its Subsidiaries is or has been, in the four (4) year period immediately prior to the date of this Agreement, subject to any current Proceeding that the Company reasonably expects would materially and adversely affect the validity, use or enforceability of any Owned Intellectual Property, and to the Knowledge of the Company, no such Proceeding is or has been threatened in writing. The product candidate under development by the Company and methods of using the product candidate fall within the scope of the claims or one or more pending patent applications owned by, or exclusively licensed to, the Company.</w:t>
      </w:r>
    </w:p>
    <w:p>
      <w:pPr>
        <w:spacing w:after="0" w:line="162" w:lineRule="exact"/>
        <w:rPr>
          <w:rFonts w:ascii="Arial" w:cs="Arial" w:eastAsia="Arial" w:hAnsi="Arial"/>
          <w:sz w:val="15"/>
          <w:szCs w:val="15"/>
          <w:color w:val="auto"/>
        </w:rPr>
      </w:pPr>
    </w:p>
    <w:p>
      <w:pPr>
        <w:jc w:val="both"/>
        <w:ind w:firstLine="1143"/>
        <w:spacing w:after="0" w:line="258" w:lineRule="auto"/>
        <w:tabs>
          <w:tab w:leader="none" w:pos="13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 Company or its Subsidiaries has valid, sufficient, subsisting and enforceable rights to use all Licensed Intellectual Property. The Company and each of its Subsidiaries is in compliance with all material contractual obligations in a Contract set forth on </w:t>
      </w:r>
      <w:r>
        <w:rPr>
          <w:rFonts w:ascii="Arial" w:cs="Arial" w:eastAsia="Arial" w:hAnsi="Arial"/>
          <w:sz w:val="16"/>
          <w:szCs w:val="16"/>
          <w:u w:val="single" w:color="auto"/>
          <w:color w:val="auto"/>
        </w:rPr>
        <w:t>Schedule 3.25(f)</w:t>
      </w:r>
      <w:r>
        <w:rPr>
          <w:rFonts w:ascii="Arial" w:cs="Arial" w:eastAsia="Arial" w:hAnsi="Arial"/>
          <w:sz w:val="16"/>
          <w:szCs w:val="16"/>
          <w:color w:val="auto"/>
        </w:rPr>
        <w:t xml:space="preserve"> and all applicable Contracts involving Public Software. The consummation of the Transactions will not, by itself, directly and immediately materially impair any rights of the Company or any of its Subsidiaries to any Owned Intellectual Property or Licensed Intellectual Property.</w:t>
      </w:r>
    </w:p>
    <w:p>
      <w:pPr>
        <w:spacing w:after="0" w:line="164" w:lineRule="exact"/>
        <w:rPr>
          <w:rFonts w:ascii="Arial" w:cs="Arial" w:eastAsia="Arial" w:hAnsi="Arial"/>
          <w:sz w:val="16"/>
          <w:szCs w:val="16"/>
          <w:color w:val="auto"/>
        </w:rPr>
      </w:pPr>
    </w:p>
    <w:p>
      <w:pPr>
        <w:jc w:val="both"/>
        <w:ind w:right="20" w:firstLine="1143"/>
        <w:spacing w:after="0" w:line="254" w:lineRule="auto"/>
        <w:tabs>
          <w:tab w:leader="none" w:pos="1379"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 conduct of the business of the Company, including its Subsidiaries, as is currently conducted or conducted in the four (4) year period immediately preceding the date hereof, including any use of the Owned Intellectual Property as currently or previously used by the Company or any of its Subsidiaries in the four (4) year period immediately preceding the date here, does not infringe, misappropriate, or violate any Intellectual Property of any Person. Except as set forth in </w:t>
      </w:r>
      <w:r>
        <w:rPr>
          <w:rFonts w:ascii="Arial" w:cs="Arial" w:eastAsia="Arial" w:hAnsi="Arial"/>
          <w:sz w:val="16"/>
          <w:szCs w:val="16"/>
          <w:u w:val="single" w:color="auto"/>
          <w:color w:val="auto"/>
        </w:rPr>
        <w:t>Schedule 3.16(d)</w:t>
      </w:r>
      <w:r>
        <w:rPr>
          <w:rFonts w:ascii="Arial" w:cs="Arial" w:eastAsia="Arial" w:hAnsi="Arial"/>
          <w:sz w:val="16"/>
          <w:szCs w:val="16"/>
          <w:color w:val="auto"/>
        </w:rPr>
        <w:t>,there is no Proceeding pending or threatened in writing in which it is alleged that the Company or any of its Subsidiaries is infringing, misappropriating, or violating the Intellectual Property of any Person, and there is no existing fact or circumstances that to the Knowledge of the Company that would reasonably be expected to result in such a Proceeding.</w:t>
      </w:r>
    </w:p>
    <w:p>
      <w:pPr>
        <w:spacing w:after="0" w:line="170" w:lineRule="exact"/>
        <w:rPr>
          <w:rFonts w:ascii="Arial" w:cs="Arial" w:eastAsia="Arial" w:hAnsi="Arial"/>
          <w:sz w:val="16"/>
          <w:szCs w:val="16"/>
          <w:color w:val="auto"/>
        </w:rPr>
      </w:pPr>
    </w:p>
    <w:p>
      <w:pPr>
        <w:jc w:val="both"/>
        <w:ind w:right="20" w:firstLine="1143"/>
        <w:spacing w:after="0" w:line="301" w:lineRule="auto"/>
        <w:tabs>
          <w:tab w:leader="none" w:pos="1376"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Schedule 3.16(e)</w:t>
      </w:r>
      <w:r>
        <w:rPr>
          <w:rFonts w:ascii="Arial" w:cs="Arial" w:eastAsia="Arial" w:hAnsi="Arial"/>
          <w:sz w:val="14"/>
          <w:szCs w:val="14"/>
          <w:color w:val="auto"/>
        </w:rPr>
        <w:t xml:space="preserve"> sets forth a true, accurate, and complete list, as of the date of this Agreement, of pending Proceedings in which it is alleged that any Person is infringing, misappropriating or violating rights of the Company or any of its Subsidiaries to Owned Intellectual Property or Licensed Intellectual Property exclusively licensed to Company or any of its Subsidiaries. Except as would not have a Company Material Adverse Effect or except as set forth in </w:t>
      </w:r>
      <w:r>
        <w:rPr>
          <w:rFonts w:ascii="Arial" w:cs="Arial" w:eastAsia="Arial" w:hAnsi="Arial"/>
          <w:sz w:val="14"/>
          <w:szCs w:val="14"/>
          <w:u w:val="single" w:color="auto"/>
          <w:color w:val="auto"/>
        </w:rPr>
        <w:t>Schedule 3.16(e)</w:t>
      </w:r>
      <w:r>
        <w:rPr>
          <w:rFonts w:ascii="Arial" w:cs="Arial" w:eastAsia="Arial" w:hAnsi="Arial"/>
          <w:sz w:val="14"/>
          <w:szCs w:val="14"/>
          <w:color w:val="auto"/>
        </w:rPr>
        <w:t>, to the Knowledge of the Company, no Person is or was in the four (4) year period immediately preceding the date hereof infringing, violating or misappropriating the rights of the Company or any of its Subsidiaries in or to any Owned Intellectual Property or Licensed Intellectual Property exclusively licensed to Company or any of its Subsidiaries..</w:t>
      </w:r>
    </w:p>
    <w:p>
      <w:pPr>
        <w:spacing w:after="0" w:line="137" w:lineRule="exact"/>
        <w:rPr>
          <w:rFonts w:ascii="Arial" w:cs="Arial" w:eastAsia="Arial" w:hAnsi="Arial"/>
          <w:sz w:val="14"/>
          <w:szCs w:val="14"/>
          <w:color w:val="auto"/>
        </w:rPr>
      </w:pPr>
    </w:p>
    <w:p>
      <w:pPr>
        <w:jc w:val="both"/>
        <w:ind w:right="20" w:firstLine="1143"/>
        <w:spacing w:after="0" w:line="297" w:lineRule="auto"/>
        <w:tabs>
          <w:tab w:leader="none" w:pos="1351" w:val="left"/>
        </w:tabs>
        <w:numPr>
          <w:ilvl w:val="0"/>
          <w:numId w:val="29"/>
        </w:numPr>
        <w:rPr>
          <w:rFonts w:ascii="Arial" w:cs="Arial" w:eastAsia="Arial" w:hAnsi="Arial"/>
          <w:sz w:val="14"/>
          <w:szCs w:val="14"/>
          <w:color w:val="auto"/>
        </w:rPr>
      </w:pPr>
      <w:r>
        <w:rPr>
          <w:rFonts w:ascii="Arial" w:cs="Arial" w:eastAsia="Arial" w:hAnsi="Arial"/>
          <w:sz w:val="14"/>
          <w:szCs w:val="14"/>
          <w:color w:val="auto"/>
        </w:rPr>
        <w:t>Each current and former officer and employee, contractor and other Person involved in the development or creation of any Intellectual Property on behalf of the Company or any of its Subsidiaries has executed a written agreement with the Company or applicable Subsidiary (i) obligating such person to maintain the confidentiality of the Company’s or applicable Company Subsidiary’s confidential information both during and after the term of such Person’s employment or engagement; (ii) containing work-made-for-hire provisions for copyrightable Intellectual Property authored by such Person during the term of such Person’s employment or engagement; and (iii) assigning to the Company or Subsidiary all right, title, and interest in and to such Intellectual Property. To the Knowledge of the Company, there has not been any breach by any such Persons to any such agreement. No Governmental Authority or academic institution has any right to, ownership of, or right or royalties for, any Owned Intellectual Property.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2" w:name="page33"/>
    <w:bookmarkEnd w:id="32"/>
    <w:p>
      <w:pPr>
        <w:jc w:val="both"/>
        <w:ind w:left="4" w:right="20" w:firstLine="1143"/>
        <w:spacing w:after="0" w:line="258" w:lineRule="auto"/>
        <w:tabs>
          <w:tab w:leader="none" w:pos="13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and each of its Subsidiaries have taken commercially reasonable steps to safeguard and maintain the secrecy and confidentiality of, and their proprietary rights in and to, non-public Owned Intellectual Property. To the Knowledge of the Company, no present or former officer, director, employee, agent, independent contractor, or consultant of the Company or any of its Subsidiaries has misappropriated any trade secrets or other confidential information of any other Person in the course of the performance of responsibilities to the Company or Subsidiary.</w:t>
      </w:r>
    </w:p>
    <w:p>
      <w:pPr>
        <w:spacing w:after="0" w:line="164" w:lineRule="exact"/>
        <w:rPr>
          <w:rFonts w:ascii="Arial" w:cs="Arial" w:eastAsia="Arial" w:hAnsi="Arial"/>
          <w:sz w:val="16"/>
          <w:szCs w:val="16"/>
          <w:color w:val="auto"/>
        </w:rPr>
      </w:pPr>
    </w:p>
    <w:p>
      <w:pPr>
        <w:jc w:val="both"/>
        <w:ind w:left="4" w:firstLine="1143"/>
        <w:spacing w:after="0" w:line="289" w:lineRule="auto"/>
        <w:tabs>
          <w:tab w:leader="none" w:pos="1387"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Company and its Subsidiaries have established and implemented, and are operating in material compliance with, policies, programs and procedures that are commercially reasonable and consistent with reasonable industry practices and include administrative, technical and physical safeguards, designed to protect the confidentiality and security of Sensitive Data in their possession, custody or control against unauthorized access, use, modification, disclosure or other misuse. The Company and its Subsidiaries maintain controls for all material information technology systems owned by the Company and/or its Subsidiaries, including computer hardware, software, networks, information technology systems, electronic data processing systems, telecommunications networks, network equipment, interfaces, platforms, peripherals, and data or information contained therein or transmitted thereby, including any outsourced systems and processes (collectively, the “</w:t>
      </w:r>
      <w:r>
        <w:rPr>
          <w:rFonts w:ascii="Arial" w:cs="Arial" w:eastAsia="Arial" w:hAnsi="Arial"/>
          <w:sz w:val="14"/>
          <w:szCs w:val="14"/>
          <w:u w:val="single" w:color="auto"/>
          <w:color w:val="auto"/>
        </w:rPr>
        <w:t>Computer Systems</w:t>
      </w:r>
      <w:r>
        <w:rPr>
          <w:rFonts w:ascii="Arial" w:cs="Arial" w:eastAsia="Arial" w:hAnsi="Arial"/>
          <w:sz w:val="14"/>
          <w:szCs w:val="14"/>
          <w:color w:val="auto"/>
        </w:rPr>
        <w:t>”) that are designed to protect the Computer Systems against attacks (including virus, worm and denial-of-service attacks), unauthorized activities or access of any employee, hackers or any other person, and to otherwise maintain and protect the integrity, operation and security of such Computer Systems and all information (including Sensitive Data) stored thereon or transmitted thereby against loss, unauthorized access or other misuse, including the implementation of commercially reasonably data backup, disaster avoidance and recovery procedures, business continuity procedures and encryption technology. For the past twenty-four (24) months, the Computer Systems have not suffered any material failures, breakdowns, continued substandard performance, unauthorized intrusions or use, or other adverse events affecting any such Computer Systems that, in each case, have caused any substantial disruption of or interruption in or to the use of such Computer Systems, and there have not been any unauthorized access or use of any information (including Sensitive Data) stored thereon or transmitted thereby except as would not, individually or in the aggregate, have a Company Material Adverse Effect. Except as would not have a Company Material Adverse Effect, the Company has remedied in all material respects any material privacy or data security issues identified in any privacy or data security audits of its businesses (including third-party audits of the Computer Systems). The Computer Systems are (i) sufficient in all material respects for the current operations of the Company and its Subsidiaries and, to the knowledge of the Company, all currently contemplated operations, and (ii) operate in material conformance with their documentation and without any material defect, unavailability, virus, malware or error.</w:t>
      </w:r>
    </w:p>
    <w:p>
      <w:pPr>
        <w:spacing w:after="0" w:line="339" w:lineRule="exact"/>
        <w:rPr>
          <w:rFonts w:ascii="Arial" w:cs="Arial" w:eastAsia="Arial" w:hAnsi="Arial"/>
          <w:sz w:val="14"/>
          <w:szCs w:val="14"/>
          <w:color w:val="auto"/>
        </w:rPr>
      </w:pPr>
    </w:p>
    <w:p>
      <w:pPr>
        <w:jc w:val="both"/>
        <w:ind w:left="4" w:firstLine="1143"/>
        <w:spacing w:after="0" w:line="288" w:lineRule="auto"/>
        <w:tabs>
          <w:tab w:leader="none" w:pos="1368"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Company has implemented and maintains, and has used commercially reasonable efforts to ensure that all providers of information technology services (the “</w:t>
      </w:r>
      <w:r>
        <w:rPr>
          <w:rFonts w:ascii="Arial" w:cs="Arial" w:eastAsia="Arial" w:hAnsi="Arial"/>
          <w:sz w:val="14"/>
          <w:szCs w:val="14"/>
          <w:u w:val="single" w:color="auto"/>
          <w:color w:val="auto"/>
        </w:rPr>
        <w:t>IT Providers</w:t>
      </w:r>
      <w:r>
        <w:rPr>
          <w:rFonts w:ascii="Arial" w:cs="Arial" w:eastAsia="Arial" w:hAnsi="Arial"/>
          <w:sz w:val="14"/>
          <w:szCs w:val="14"/>
          <w:color w:val="auto"/>
        </w:rPr>
        <w:t>”) to the Company that involve or relate to the collection, storage, processing or transmission of sensitive information, including Personal Data and Protected Health Information, have implemented and maintain: (i) commercially reasonable administrative, technical, and physical safeguards designed to prevent the loss, alteration, or destruction of, or unauthorized access to or disclosure of, Personal Data and Protected Health Information and (ii) a security plan that is designed to (A) identify internal and external risks to the security of the confidential information included in Personal Data or Protected Health Information maintained by, or provided to, the Company;</w:t>
      </w:r>
    </w:p>
    <w:p>
      <w:pPr>
        <w:spacing w:after="0" w:line="2" w:lineRule="exact"/>
        <w:rPr>
          <w:rFonts w:ascii="Arial" w:cs="Arial" w:eastAsia="Arial" w:hAnsi="Arial"/>
          <w:sz w:val="14"/>
          <w:szCs w:val="14"/>
          <w:color w:val="auto"/>
        </w:rPr>
      </w:pPr>
    </w:p>
    <w:p>
      <w:pPr>
        <w:jc w:val="both"/>
        <w:ind w:left="4" w:right="20" w:hanging="4"/>
        <w:spacing w:after="0" w:line="254" w:lineRule="auto"/>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implement, monitor and provide adequate and effective administrative, electronic (including technical safeguards, such as 128 bit encryption for all data at rest) and physical safeguards to control such risk; and (C) maintain notification procedures in compliance with applicable Laws in the case of any breach of security with respect to sensitive information, including Personal Data and Protected Health Information.</w:t>
      </w:r>
    </w:p>
    <w:p>
      <w:pPr>
        <w:spacing w:after="0" w:line="2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33" w:name="page34"/>
    <w:bookmarkEnd w:id="33"/>
    <w:p>
      <w:pPr>
        <w:jc w:val="both"/>
        <w:ind w:right="20" w:firstLine="1143"/>
        <w:spacing w:after="0" w:line="262" w:lineRule="auto"/>
        <w:tabs>
          <w:tab w:leader="none" w:pos="13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Knowledge of the Company, since the Company’s inception, no IT Provider has experienced any breach of security or otherwise unauthorized use or access by or disclosure to third parties by any such IT Provider or its employees, consultants or contractors with respect to any Personal Data or Protected Health Information in the possession, custody or control of any such IT Provider.</w:t>
      </w:r>
    </w:p>
    <w:p>
      <w:pPr>
        <w:spacing w:after="0" w:line="162" w:lineRule="exact"/>
        <w:rPr>
          <w:rFonts w:ascii="Arial" w:cs="Arial" w:eastAsia="Arial" w:hAnsi="Arial"/>
          <w:sz w:val="16"/>
          <w:szCs w:val="16"/>
          <w:color w:val="auto"/>
        </w:rPr>
      </w:pPr>
    </w:p>
    <w:p>
      <w:pPr>
        <w:jc w:val="both"/>
        <w:ind w:firstLine="1143"/>
        <w:spacing w:after="0" w:line="276" w:lineRule="auto"/>
        <w:tabs>
          <w:tab w:leader="none" w:pos="1373"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its Subsidiaries have in place and have previously had in place commercially reasonable policies (including a privacy policy), rules, and procedures (the “</w:t>
      </w:r>
      <w:r>
        <w:rPr>
          <w:rFonts w:ascii="Arial" w:cs="Arial" w:eastAsia="Arial" w:hAnsi="Arial"/>
          <w:sz w:val="15"/>
          <w:szCs w:val="15"/>
          <w:u w:val="single" w:color="auto"/>
          <w:color w:val="auto"/>
        </w:rPr>
        <w:t>Privacy Policy</w:t>
      </w:r>
      <w:r>
        <w:rPr>
          <w:rFonts w:ascii="Arial" w:cs="Arial" w:eastAsia="Arial" w:hAnsi="Arial"/>
          <w:sz w:val="15"/>
          <w:szCs w:val="15"/>
          <w:color w:val="auto"/>
        </w:rPr>
        <w:t>”) regarding the Company’s and its Subsidiaries’ collection, use, processing, disclosure, disposal, dissemination, storage and protection of customers’ personal data. The Company and its Subsidiaries have materially complied with the then applicable Privacy Policy and all applicable Laws relating to the collection, use, storage and transfer of personal data. The execution, delivery and performance by the Company of this Agreement and the consummation of the Transactions do not violate any such Privacy Policies and Company has provided Parent true, correct and complete copies of such Privacy Policies.</w:t>
      </w:r>
    </w:p>
    <w:p>
      <w:pPr>
        <w:spacing w:after="0" w:line="155" w:lineRule="exact"/>
        <w:rPr>
          <w:rFonts w:ascii="Arial" w:cs="Arial" w:eastAsia="Arial" w:hAnsi="Arial"/>
          <w:sz w:val="15"/>
          <w:szCs w:val="15"/>
          <w:color w:val="auto"/>
        </w:rPr>
      </w:pPr>
    </w:p>
    <w:p>
      <w:pPr>
        <w:ind w:right="20" w:firstLine="1143"/>
        <w:spacing w:after="0" w:line="309" w:lineRule="auto"/>
        <w:tabs>
          <w:tab w:leader="none" w:pos="1344"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have a Material Adverse Effect, no Proceedings are pending or, to the Knowledge of the Company, threatened in writing against the Company and/or its Subsidiaries relating to the collection, use, dissemination, storage and protection of personal data.</w:t>
      </w:r>
    </w:p>
    <w:p>
      <w:pPr>
        <w:spacing w:after="0" w:line="129" w:lineRule="exact"/>
        <w:rPr>
          <w:rFonts w:ascii="Arial" w:cs="Arial" w:eastAsia="Arial" w:hAnsi="Arial"/>
          <w:sz w:val="15"/>
          <w:szCs w:val="15"/>
          <w:color w:val="auto"/>
        </w:rPr>
      </w:pPr>
    </w:p>
    <w:p>
      <w:pPr>
        <w:jc w:val="both"/>
        <w:ind w:firstLine="1143"/>
        <w:spacing w:after="0" w:line="255" w:lineRule="auto"/>
        <w:tabs>
          <w:tab w:leader="none" w:pos="14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3.16(m)</w:t>
      </w:r>
      <w:r>
        <w:rPr>
          <w:rFonts w:ascii="Arial" w:cs="Arial" w:eastAsia="Arial" w:hAnsi="Arial"/>
          <w:sz w:val="16"/>
          <w:szCs w:val="16"/>
          <w:color w:val="auto"/>
        </w:rPr>
        <w:t xml:space="preserve"> none of the tangible embodiments of Owned Intellectual Property (including Software) is currently or was in the past distributed or used by the Company or any Subsidiary with any Public Software in a manner that requires that any of the Owned Intellectual Property (in whole or in part) or tangible embodiments thereof be dedicated to the public domain, disclosed, distributed in source code form, made available at no charge, or reverse engineered.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3.16(m</w:t>
      </w:r>
      <w:r>
        <w:rPr>
          <w:rFonts w:ascii="Arial" w:cs="Arial" w:eastAsia="Arial" w:hAnsi="Arial"/>
          <w:sz w:val="16"/>
          <w:szCs w:val="16"/>
          <w:color w:val="auto"/>
        </w:rPr>
        <w:t>) further identifies the Public Software with which such identified tangible embodiments were distributed or used, and the manner of such distribution or use, and how such Public Software was integrated or combined with or linked to any such tangible embodiments.</w:t>
      </w:r>
    </w:p>
    <w:p>
      <w:pPr>
        <w:spacing w:after="0" w:line="169" w:lineRule="exact"/>
        <w:rPr>
          <w:rFonts w:ascii="Arial" w:cs="Arial" w:eastAsia="Arial" w:hAnsi="Arial"/>
          <w:sz w:val="16"/>
          <w:szCs w:val="16"/>
          <w:color w:val="auto"/>
        </w:rPr>
      </w:pPr>
    </w:p>
    <w:p>
      <w:pPr>
        <w:jc w:val="both"/>
        <w:ind w:right="20" w:firstLine="1143"/>
        <w:spacing w:after="0" w:line="306" w:lineRule="auto"/>
        <w:tabs>
          <w:tab w:leader="none" w:pos="13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The Company and the Subsidiaries are in actual possession and control of the source code of the software within the Owned Intellectual Property and all documentation, specifications and know-how related. Except as set forth on </w:t>
      </w:r>
      <w:r>
        <w:rPr>
          <w:rFonts w:ascii="Arial" w:cs="Arial" w:eastAsia="Arial" w:hAnsi="Arial"/>
          <w:sz w:val="14"/>
          <w:szCs w:val="14"/>
          <w:u w:val="single" w:color="auto"/>
          <w:color w:val="auto"/>
        </w:rPr>
        <w:t>Schedule 3.16(n)</w:t>
      </w:r>
      <w:r>
        <w:rPr>
          <w:rFonts w:ascii="Arial" w:cs="Arial" w:eastAsia="Arial" w:hAnsi="Arial"/>
          <w:sz w:val="14"/>
          <w:szCs w:val="14"/>
          <w:color w:val="auto"/>
        </w:rPr>
        <w:t>, no Person other than the Company and the Subsidiaries and their employees and contractors (i) has a right to access or possess any source code of the software within the Owned Intellectual Property, or (ii) will be entitled to obtain access to or possession of such source code as a result of the execution, delivery and performance of by the Company of this Agreement and the consummation of the Transactions.</w:t>
      </w:r>
    </w:p>
    <w:p>
      <w:pPr>
        <w:spacing w:after="0" w:line="134" w:lineRule="exact"/>
        <w:rPr>
          <w:rFonts w:ascii="Arial" w:cs="Arial" w:eastAsia="Arial" w:hAnsi="Arial"/>
          <w:sz w:val="14"/>
          <w:szCs w:val="14"/>
          <w:color w:val="auto"/>
        </w:rPr>
      </w:pPr>
    </w:p>
    <w:p>
      <w:pPr>
        <w:jc w:val="both"/>
        <w:ind w:firstLine="1143"/>
        <w:spacing w:after="0" w:line="270" w:lineRule="auto"/>
        <w:tabs>
          <w:tab w:leader="none" w:pos="1373"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Schedule 3.16(o)</w:t>
      </w:r>
      <w:r>
        <w:rPr>
          <w:rFonts w:ascii="Arial" w:cs="Arial" w:eastAsia="Arial" w:hAnsi="Arial"/>
          <w:sz w:val="15"/>
          <w:szCs w:val="15"/>
          <w:color w:val="auto"/>
        </w:rPr>
        <w:t>: (i) identifies each standards-setting organization (including ETSI, 3GPP, 3GPP2, TIA, IEEE, IETF, and ITU-R), university or industry body, consortium, other multi-party special interest group and any other collaborative or other group in which Company or any of its Subsidiaries is currently participating, or has participated in the past or applied for future participation in, including any of the foregoing that may be organized, funded, sponsored, formed or operated, in whole or in part, by any Governmental Authority, in all cases, to the extent related to any Intellectual Property (each a “</w:t>
      </w:r>
      <w:r>
        <w:rPr>
          <w:rFonts w:ascii="Arial" w:cs="Arial" w:eastAsia="Arial" w:hAnsi="Arial"/>
          <w:sz w:val="15"/>
          <w:szCs w:val="15"/>
          <w:u w:val="single" w:color="auto"/>
          <w:color w:val="auto"/>
        </w:rPr>
        <w:t>Standards Body</w:t>
      </w:r>
      <w:r>
        <w:rPr>
          <w:rFonts w:ascii="Arial" w:cs="Arial" w:eastAsia="Arial" w:hAnsi="Arial"/>
          <w:sz w:val="15"/>
          <w:szCs w:val="15"/>
          <w:color w:val="auto"/>
        </w:rPr>
        <w:t>”); and (ii) sets forth a listing and description of the membership agreements and other Contracts, bylaws, policies, rules and similar materials relating to such Standards Bodies, to which Company or its Subsidiaries is bound (collectively, “</w:t>
      </w:r>
      <w:r>
        <w:rPr>
          <w:rFonts w:ascii="Arial" w:cs="Arial" w:eastAsia="Arial" w:hAnsi="Arial"/>
          <w:sz w:val="15"/>
          <w:szCs w:val="15"/>
          <w:u w:val="single" w:color="auto"/>
          <w:color w:val="auto"/>
        </w:rPr>
        <w:t>Standards Agreements</w:t>
      </w:r>
      <w:r>
        <w:rPr>
          <w:rFonts w:ascii="Arial" w:cs="Arial" w:eastAsia="Arial" w:hAnsi="Arial"/>
          <w:sz w:val="15"/>
          <w:szCs w:val="15"/>
          <w:color w:val="auto"/>
        </w:rPr>
        <w:t>”). True, complete and correct copies of all Standards Agreements have been delivered to Company. Company and its Subsidiaries are not bound by, or has agreed to be bound by, any Contract (including any written licensing commitment), bylaw, policy, or rule of any Person that requires or purports to require Company or its Subsidiaries to contribute, disclose or license any Intellectual Property to such Person or its other members. Company and its Subsidiaries have not made any written Patent disclosures to any Standards Body. Company and its Subsidiaries are in material compliance with all Standards Agreements that relate to Intellectual Property. Company and its Subsidiaries are not engaged in any material dispute with any Standards Body with respect to any Intellectual Property or with any third Persons with respect to Company’s or its Subsidiaries’ conduct with respect to any Standards Body.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4" w:name="page35"/>
    <w:bookmarkEnd w:id="34"/>
    <w:p>
      <w:pPr>
        <w:ind w:left="560"/>
        <w:spacing w:after="0"/>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7" w:lineRule="auto"/>
        <w:tabs>
          <w:tab w:leader="none" w:pos="1364"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Schedule 3.17</w:t>
      </w:r>
      <w:r>
        <w:rPr>
          <w:rFonts w:ascii="Arial" w:cs="Arial" w:eastAsia="Arial" w:hAnsi="Arial"/>
          <w:sz w:val="14"/>
          <w:szCs w:val="14"/>
          <w:color w:val="auto"/>
        </w:rPr>
        <w:t xml:space="preserve"> sets forth, as of the date hereof, a true, complete and correct list of all fidelity bonds, letters of credit, cash collateral, performance bonds and bid bonds issued to or in respect of the Company and its Subsidiaries (collectively, the “</w:t>
      </w:r>
      <w:r>
        <w:rPr>
          <w:rFonts w:ascii="Arial" w:cs="Arial" w:eastAsia="Arial" w:hAnsi="Arial"/>
          <w:sz w:val="14"/>
          <w:szCs w:val="14"/>
          <w:u w:val="single" w:color="auto"/>
          <w:color w:val="auto"/>
        </w:rPr>
        <w:t>Bonds</w:t>
      </w:r>
      <w:r>
        <w:rPr>
          <w:rFonts w:ascii="Arial" w:cs="Arial" w:eastAsia="Arial" w:hAnsi="Arial"/>
          <w:sz w:val="14"/>
          <w:szCs w:val="14"/>
          <w:color w:val="auto"/>
        </w:rPr>
        <w:t>”) and all policies of title insurance, liability and casualty insurance, property insurance, auto insurance, business interruption insurance, tenant’s insurance, workers’ compensation, life insurance, disability insurance, excess or umbrella insurance and any other type of insurance insuring the properties, Assets, employees and/or operations of the Company and its Subsidiaries (collectively, the “</w:t>
      </w:r>
      <w:r>
        <w:rPr>
          <w:rFonts w:ascii="Arial" w:cs="Arial" w:eastAsia="Arial" w:hAnsi="Arial"/>
          <w:sz w:val="14"/>
          <w:szCs w:val="14"/>
          <w:u w:val="single" w:color="auto"/>
          <w:color w:val="auto"/>
        </w:rPr>
        <w:t>Policies</w:t>
      </w:r>
      <w:r>
        <w:rPr>
          <w:rFonts w:ascii="Arial" w:cs="Arial" w:eastAsia="Arial" w:hAnsi="Arial"/>
          <w:sz w:val="14"/>
          <w:szCs w:val="14"/>
          <w:color w:val="auto"/>
        </w:rPr>
        <w:t>”), including in each case the applicable coverage limits, deductibles and the policy expiration dates. All Policies and Bonds are of at least like character and amount as are carried by like businesses similarly situated, except as would not reasonably be expected to, individually or in the aggregate, have a Company Material Adverse Effect.</w:t>
      </w:r>
    </w:p>
    <w:p>
      <w:pPr>
        <w:spacing w:after="0" w:line="143" w:lineRule="exact"/>
        <w:rPr>
          <w:rFonts w:ascii="Arial" w:cs="Arial" w:eastAsia="Arial" w:hAnsi="Arial"/>
          <w:sz w:val="14"/>
          <w:szCs w:val="14"/>
          <w:color w:val="auto"/>
        </w:rPr>
      </w:pPr>
    </w:p>
    <w:p>
      <w:pPr>
        <w:jc w:val="both"/>
        <w:ind w:right="20" w:firstLine="1143"/>
        <w:spacing w:after="0" w:line="272" w:lineRule="auto"/>
        <w:tabs>
          <w:tab w:leader="none" w:pos="1379"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All such Policies and Bonds are in full force and effect and will not in any way be affected by or terminated or lapsed by reason of the consummation of the Transactions. Neither (i) the Company nor any of its Subsidiaries is in default under any provisions of the Policies or Bonds, except as would not reasonably be expected to have a Company Material Adverse Effect, and there is no claim by the Company or any of its Subsidiaries or any other person, corporation or firm pending under any of the Policies or Bonds as to which coverage has been questioned, denied or disputed by the underwriters or issuers of such Policies or Bonds; and (ii) the Company nor any of its Subsidiaries has received any written notice from or on behalf of any insurance carrier or other issuer issuing such Policies or Bonds that insurance rates or other annual premium or fee in effect as of the date hereof will hereafter be substantially increased (except to the extent that insurance rates or other fees may be increased for all similarly situated risks), that there will be a non-renewal, cancellation or increase in a deductible (or an increase in premiums in order to maintain an existing deductible) of any of the Policies or Bonds in effect as of the date hereof.</w:t>
      </w:r>
    </w:p>
    <w:p>
      <w:pPr>
        <w:spacing w:after="0" w:line="157"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Section 3.18 </w:t>
      </w:r>
      <w:r>
        <w:rPr>
          <w:rFonts w:ascii="Arial" w:cs="Arial" w:eastAsia="Arial" w:hAnsi="Arial"/>
          <w:sz w:val="15"/>
          <w:szCs w:val="15"/>
          <w:u w:val="single" w:color="auto"/>
          <w:color w:val="auto"/>
        </w:rPr>
        <w:t>Litigation</w:t>
      </w:r>
      <w:r>
        <w:rPr>
          <w:rFonts w:ascii="Arial" w:cs="Arial" w:eastAsia="Arial" w:hAnsi="Arial"/>
          <w:sz w:val="15"/>
          <w:szCs w:val="15"/>
          <w:color w:val="auto"/>
        </w:rPr>
        <w:t>. As of the date hereof, there is no Proceeding pending or, to the Knowledge of the Company, threatened by or against the Company or its Subsidiaries or any of their predecessors or against any officer, director, shareholder, employee or agent of the Company or any of its Subsidiaries in their capacity as such or relating to their employment services or relationship with the Company, its Subsidiaries, or any of their Affiliates, and neither the Company nor any of its Subsidiaries is bound by any Order. As of the date hereof, the Company does not have any Proceeding pending against any Governmental Authority or other Person. To the Knowledge of the Company, there is no basis for any Material Vendor to assert a claim against the Company or any of its Subsidiaries based upon the Company entering into of this Agreement or the other Transaction Documents to which it is a party or the consummation of the Transactions.</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Bank Accounts; Powers of Attorney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sets forth, as of the date hereof, a true, complete and correct list of each bank, trust company, savings institution, brokerage firm, mutual fund or other financial institution with which the Company and each of its Subsidiaries has an account or safe deposit box, including the names and identification of all Persons authorized to draw thereon or have access thereto.</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5" w:name="page36"/>
    <w:bookmarkEnd w:id="35"/>
    <w:p>
      <w:pPr>
        <w:jc w:val="both"/>
        <w:ind w:firstLine="574"/>
        <w:spacing w:after="0" w:line="274" w:lineRule="auto"/>
        <w:rPr>
          <w:sz w:val="20"/>
          <w:szCs w:val="20"/>
          <w:color w:val="auto"/>
        </w:rPr>
      </w:pPr>
      <w:r>
        <w:rPr>
          <w:rFonts w:ascii="Arial" w:cs="Arial" w:eastAsia="Arial" w:hAnsi="Arial"/>
          <w:sz w:val="15"/>
          <w:szCs w:val="15"/>
          <w:color w:val="auto"/>
        </w:rPr>
        <w:t xml:space="preserve">Section 3.20 </w:t>
      </w:r>
      <w:r>
        <w:rPr>
          <w:rFonts w:ascii="Arial" w:cs="Arial" w:eastAsia="Arial" w:hAnsi="Arial"/>
          <w:sz w:val="15"/>
          <w:szCs w:val="15"/>
          <w:u w:val="single" w:color="auto"/>
          <w:color w:val="auto"/>
        </w:rPr>
        <w:t>Material Vendors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3.20</w:t>
      </w:r>
      <w:r>
        <w:rPr>
          <w:rFonts w:ascii="Arial" w:cs="Arial" w:eastAsia="Arial" w:hAnsi="Arial"/>
          <w:sz w:val="15"/>
          <w:szCs w:val="15"/>
          <w:color w:val="auto"/>
        </w:rPr>
        <w:t xml:space="preserve"> sets forth the twenty (20) largest vendors (including, without limitation, suppliers and manufacturers) of the Company and its Subsidiaries by expense, in each case for the 12-month period ended December 31, 2020 (each a “</w:t>
      </w:r>
      <w:r>
        <w:rPr>
          <w:rFonts w:ascii="Arial" w:cs="Arial" w:eastAsia="Arial" w:hAnsi="Arial"/>
          <w:sz w:val="15"/>
          <w:szCs w:val="15"/>
          <w:u w:val="single" w:color="auto"/>
          <w:color w:val="auto"/>
        </w:rPr>
        <w:t>Material Vendor</w:t>
      </w:r>
      <w:r>
        <w:rPr>
          <w:rFonts w:ascii="Arial" w:cs="Arial" w:eastAsia="Arial" w:hAnsi="Arial"/>
          <w:sz w:val="15"/>
          <w:szCs w:val="15"/>
          <w:color w:val="auto"/>
        </w:rPr>
        <w:t>”). No such Material Vendor has terminated or adversely changed its relationship with the Company nor has the Company received written notification that any such Material Vendor intends to terminate or materially and adversely change such relationship or that such Material Vendor is not solvent. There are no currently pending or, to the Knowledge of the Company, threatened disputes between the Company and any of its Material Vendors that (a) could reasonably be expected to materially and adversely affect the relationship between the Company and any Material Vendor or (b) could reasonably be expected to materially and adversely affect the Company.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4" w:lineRule="auto"/>
        <w:tabs>
          <w:tab w:leader="none" w:pos="1374" w:val="left"/>
        </w:tabs>
        <w:numPr>
          <w:ilvl w:val="0"/>
          <w:numId w:val="34"/>
        </w:numPr>
        <w:rPr>
          <w:rFonts w:ascii="Arial" w:cs="Arial" w:eastAsia="Arial" w:hAnsi="Arial"/>
          <w:sz w:val="14"/>
          <w:szCs w:val="14"/>
          <w:color w:val="auto"/>
        </w:rPr>
      </w:pPr>
      <w:r>
        <w:rPr>
          <w:rFonts w:ascii="Arial" w:cs="Arial" w:eastAsia="Arial" w:hAnsi="Arial"/>
          <w:sz w:val="14"/>
          <w:szCs w:val="14"/>
          <w:color w:val="auto"/>
        </w:rPr>
        <w:t>Since January 1, 2018, the Company and each of its Subsidiaries has complied in all material respects with all Laws relating to the hiring of employees and the employment of labor, including provisions thereof relating to wages, hours, collective bargaining, employment discrimination, civil rights, safety and health, workers’ compensation, pay equity, classification of employees, and the collection and payment of withholding and/or social security Taxes. Since January 1, 2018, the Company and each of its Subsidiaries has met in all material respects all requirements required by Law or regulation relating to the employment of foreign citizens, including all requirements of Form I-9 Employment Verification, and neither the Company nor any of its Subsidiaries currently employs, and has never employed, any Person who was not permitted to work in the jurisdiction in which such Person was employed. Since January 1, 2018, to the Knowledge of the Company, the Company and each of its Subsidiaries has complied in all material respects with all Laws that could require overtime to be paid to any current or former employee of the Company and its Subsidiaries, and no employee has ever brought or, to the Knowledge of the Company, threatened to bring a claim for unpaid compensation or employee benefits, including overtime amounts.</w:t>
      </w:r>
    </w:p>
    <w:p>
      <w:pPr>
        <w:spacing w:after="0" w:line="143" w:lineRule="exact"/>
        <w:rPr>
          <w:rFonts w:ascii="Arial" w:cs="Arial" w:eastAsia="Arial" w:hAnsi="Arial"/>
          <w:sz w:val="14"/>
          <w:szCs w:val="14"/>
          <w:color w:val="auto"/>
        </w:rPr>
      </w:pPr>
    </w:p>
    <w:p>
      <w:pPr>
        <w:jc w:val="both"/>
        <w:ind w:firstLine="1143"/>
        <w:spacing w:after="0" w:line="262" w:lineRule="auto"/>
        <w:tabs>
          <w:tab w:leader="none" w:pos="13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is delinquent in material payments to any of its current or former employees for any wages, salaries, commissions, bonuses or other direct compensation for any services performed by them or amounts required to be reimbursed to such employees or in payments owed upon any termination of the employment of any such employees.</w:t>
      </w:r>
    </w:p>
    <w:p>
      <w:pPr>
        <w:spacing w:after="0" w:line="162" w:lineRule="exact"/>
        <w:rPr>
          <w:rFonts w:ascii="Arial" w:cs="Arial" w:eastAsia="Arial" w:hAnsi="Arial"/>
          <w:sz w:val="16"/>
          <w:szCs w:val="16"/>
          <w:color w:val="auto"/>
        </w:rPr>
      </w:pPr>
    </w:p>
    <w:p>
      <w:pPr>
        <w:ind w:firstLine="1143"/>
        <w:spacing w:after="0" w:line="275" w:lineRule="auto"/>
        <w:tabs>
          <w:tab w:leader="none" w:pos="13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is no unfair labor practice complaint pending, or to the Knowledge of the Company, threatened against or involving the Company or any of its Subsidiaries pending before the National Labor Relations Board or any other Governmental Authority.</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is no labor strike, material dispute, slowdown or stoppage actually pending or, to the Knowledge of the Company, threatened against or involving the Company or any of its Subsidiaries. Since January 1, 2018, neither the Company nor any of its Subsidiaries has engaged in any location closing or employee layoff activities that would trigger notice or liability under the Worker Adjustment Retraining and Notification Act of 1988, as amended, or any similar state or local plant closing or mass layoff statute, rule or regulation.</w:t>
      </w:r>
    </w:p>
    <w:p>
      <w:pPr>
        <w:spacing w:after="0" w:line="164" w:lineRule="exact"/>
        <w:rPr>
          <w:rFonts w:ascii="Arial" w:cs="Arial" w:eastAsia="Arial" w:hAnsi="Arial"/>
          <w:sz w:val="16"/>
          <w:szCs w:val="16"/>
          <w:color w:val="auto"/>
        </w:rPr>
      </w:pPr>
    </w:p>
    <w:p>
      <w:pPr>
        <w:jc w:val="both"/>
        <w:ind w:firstLine="1143"/>
        <w:spacing w:after="0" w:line="258"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labor union represents any employees of the Company or any of its Subsidiaries with regard to their employment with the Company or any of its Subsidiaries. Since January 1, 2018, to the Knowledge of the Company, no labor union has taken any action with respect to organizing the employees of the Company or any of its Subsidiaries regarding their employment with the Company or any of its Subsidiaries. Neither the Company nor any of its Subsidiaries is a party to or bound by any collective bargaining or similar agreement or union contract.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6" w:name="page37"/>
    <w:bookmarkEnd w:id="36"/>
    <w:p>
      <w:pPr>
        <w:jc w:val="both"/>
        <w:ind w:firstLine="1143"/>
        <w:spacing w:after="0" w:line="276" w:lineRule="auto"/>
        <w:tabs>
          <w:tab w:leader="none" w:pos="1378"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the Knowledge of the Company, (i) no Key Employee or officer of the Company or any of its Subsidiaries is a party to or is bound by any confidentiality agreement, non-competition agreement or other contract (with any Person) that would materially interfere with: (A) the performance by such officer or Key Employee of any of his or her duties or responsibilities as an officer or employee of the Company or any of its Subsidiaries or (B) the Company’s business or operations; or (ii) no Key Employee or officer of the Company or any of its Subsidiaries, or any group of officers of the Company, has given written notice of their interest to terminate their employment with the Company, nor does the Company have any intention to terminate the employment of any of the foregoing.</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7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3.21(g)</w:t>
      </w:r>
      <w:r>
        <w:rPr>
          <w:rFonts w:ascii="Arial" w:cs="Arial" w:eastAsia="Arial" w:hAnsi="Arial"/>
          <w:sz w:val="16"/>
          <w:szCs w:val="16"/>
          <w:color w:val="auto"/>
        </w:rPr>
        <w:t>, the employment of each of the Key Employees is terminable at will without any penalty or severance obligation of any kind on the part of the employer. All material sums due for employee compensation and benefits and all vacation time owing to any employees of the Company or any of its Subsidiaries have been duly and adequately accrued on the accounting records of the Company and its Subsidiaries.</w:t>
      </w:r>
    </w:p>
    <w:p>
      <w:pPr>
        <w:spacing w:after="0" w:line="162" w:lineRule="exact"/>
        <w:rPr>
          <w:rFonts w:ascii="Arial" w:cs="Arial" w:eastAsia="Arial" w:hAnsi="Arial"/>
          <w:sz w:val="16"/>
          <w:szCs w:val="16"/>
          <w:color w:val="auto"/>
        </w:rPr>
      </w:pPr>
    </w:p>
    <w:p>
      <w:pPr>
        <w:jc w:val="both"/>
        <w:ind w:firstLine="1143"/>
        <w:spacing w:after="0" w:line="253" w:lineRule="auto"/>
        <w:tabs>
          <w:tab w:leader="none" w:pos="13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Since January 1, 2018, with regard to any individual who performs or performed services for the Company and who is not treated as an employee for Tax purposes by the Company and each of its Subsidiaries, to the Knowledge of the Company, the Company and its Subsidiaries have complied in all material respects with applicable Laws concerning independent contractors, including for Tax withholding purposes or Benefit Arrangement purposes and, to the Knowledge of the Company, neither the Company nor any Subsidiary has any Liability by reason of any individual who performs or performed services for the Company or any Subsidiary, in any capacity, being improperly excluded from participating in any Benefit Arrangement. Since January 1, 2018, to the Knowledge of the Company, each of the employees of the Company and the Subsidiaries has been properly classified by the Company and the Subsidiaries as “exempt” or “non-exempt” under applicable Law except as would not be material and adverse to the Company.</w:t>
      </w:r>
    </w:p>
    <w:p>
      <w:pPr>
        <w:spacing w:after="0" w:line="171" w:lineRule="exact"/>
        <w:rPr>
          <w:rFonts w:ascii="Arial" w:cs="Arial" w:eastAsia="Arial" w:hAnsi="Arial"/>
          <w:sz w:val="16"/>
          <w:szCs w:val="16"/>
          <w:color w:val="auto"/>
        </w:rPr>
      </w:pPr>
    </w:p>
    <w:p>
      <w:pPr>
        <w:ind w:firstLine="1143"/>
        <w:spacing w:after="0" w:line="275" w:lineRule="auto"/>
        <w:tabs>
          <w:tab w:leader="none" w:pos="1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3.21(i)</w:t>
      </w:r>
      <w:r>
        <w:rPr>
          <w:rFonts w:ascii="Arial" w:cs="Arial" w:eastAsia="Arial" w:hAnsi="Arial"/>
          <w:sz w:val="16"/>
          <w:szCs w:val="16"/>
          <w:color w:val="auto"/>
        </w:rPr>
        <w:t>, since January 1, 2018 neither the Company nor any of its Subsidiaries has entered into any settlement agreement related to allegations of sexual harassment or sexual misconduct by any director, officer or employee.</w:t>
      </w:r>
    </w:p>
    <w:p>
      <w:pPr>
        <w:spacing w:after="0" w:line="151" w:lineRule="exact"/>
        <w:rPr>
          <w:rFonts w:ascii="Arial" w:cs="Arial" w:eastAsia="Arial" w:hAnsi="Arial"/>
          <w:sz w:val="16"/>
          <w:szCs w:val="16"/>
          <w:color w:val="auto"/>
        </w:rPr>
      </w:pPr>
    </w:p>
    <w:p>
      <w:pPr>
        <w:jc w:val="both"/>
        <w:ind w:firstLine="1143"/>
        <w:spacing w:after="0" w:line="253" w:lineRule="auto"/>
        <w:tabs>
          <w:tab w:leader="none" w:pos="136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current and former employee and officer, and where appropriate, each consultant, of the Company and its Subsidiaries has executed a form of proprietary information and/or inventions agreement or similar agreement. To the Knowledge of the Company, no current or former employees, officers or consultants are or were, as the case may be, in violation thereof, and the Company will take reasonable efforts to prevent any violation prior to Closing. Other than with respect to exclusions previously accepted by the Company involving works or inventions unrelated to the business of the Company and its Subsidiaries, no current or former employee, officer or consultant of the Company or any of its Subsidiaries has disclosed excluded works or inventions made prior to his or her employment or consulting relationship with the Company or any of its Subsidiaries from his, her or its assignment of inventions pursuant to such employee, officer or consultant’s proprietary information and inventions agreement.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4" w:lineRule="auto"/>
        <w:tabs>
          <w:tab w:leader="none" w:pos="136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Schedule 3.22(a)</w:t>
      </w:r>
      <w:r>
        <w:rPr>
          <w:rFonts w:ascii="Arial" w:cs="Arial" w:eastAsia="Arial" w:hAnsi="Arial"/>
          <w:sz w:val="14"/>
          <w:szCs w:val="14"/>
          <w:color w:val="auto"/>
        </w:rPr>
        <w:t xml:space="preserve"> sets forth an accurate and complete list of all material “</w:t>
      </w:r>
      <w:r>
        <w:rPr>
          <w:rFonts w:ascii="Arial" w:cs="Arial" w:eastAsia="Arial" w:hAnsi="Arial"/>
          <w:sz w:val="14"/>
          <w:szCs w:val="14"/>
          <w:u w:val="single" w:color="auto"/>
          <w:color w:val="auto"/>
        </w:rPr>
        <w:t>Benefit Arrangements</w:t>
      </w:r>
      <w:r>
        <w:rPr>
          <w:rFonts w:ascii="Arial" w:cs="Arial" w:eastAsia="Arial" w:hAnsi="Arial"/>
          <w:sz w:val="14"/>
          <w:szCs w:val="14"/>
          <w:color w:val="auto"/>
        </w:rPr>
        <w:t>.” For purposes of this Agreement, “Benefit Arrangements” means all “employee benefit plans” (as defined in Section 3(3) of the Employee Retirement Income Security Act of 1974, as amended (“</w:t>
      </w:r>
      <w:r>
        <w:rPr>
          <w:rFonts w:ascii="Arial" w:cs="Arial" w:eastAsia="Arial" w:hAnsi="Arial"/>
          <w:sz w:val="14"/>
          <w:szCs w:val="14"/>
          <w:u w:val="single" w:color="auto"/>
          <w:color w:val="auto"/>
        </w:rPr>
        <w:t>ERISA</w:t>
      </w:r>
      <w:r>
        <w:rPr>
          <w:rFonts w:ascii="Arial" w:cs="Arial" w:eastAsia="Arial" w:hAnsi="Arial"/>
          <w:sz w:val="14"/>
          <w:szCs w:val="14"/>
          <w:color w:val="auto"/>
        </w:rPr>
        <w:t>”)), whether or not subject to ERISA, and any other bonus, profit sharing, compensation, pension, severance, savings, deferred compensation, fringe benefit, insurance, welfare, post-retirement health or welfare benefit, health, life, stock option, stock purchase, restricted stock, company car, scholarship, relocation, disability, accident, sick pay, sick leave, accrued leave, vacation, holiday, termination, unemployment, individual employment, consulting, executive compensation, incentive, commission, payroll practices, retention, change in control, non-competition, or other plan, agreement, policy, trust fund, or arrangement (whether written or unwritten, insured or self-insured, formal or informal) maintained, sponsored, or contributed to (or with respect to which any obligation to contribute has been undertaken) by the Company or any of its Subsidiaries on behalf of any employee, officer, director, consultant or other service provider of the Company or any Subsidiary or under which the Company or any of its Subsidiaries has any potential Liability.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7" w:name="page38"/>
    <w:bookmarkEnd w:id="37"/>
    <w:p>
      <w:pPr>
        <w:jc w:val="both"/>
        <w:ind w:firstLine="1143"/>
        <w:spacing w:after="0" w:line="255" w:lineRule="auto"/>
        <w:tabs>
          <w:tab w:leader="none" w:pos="13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each Benefit Arrangement, the Company has provided to Parent or its counsel a true and complete copy, to the extent applicable, of: (i) each writing constituting a part of such Benefit Arrangement and all amendments thereto, (ii) annual report and accompanying schedule for the previous three years; (iii) the current summary plan description and any material modifications thereto; (iv) the most recent annual financial and actuarial reports; (v) the most recent determination or opinion letter received by the Company or any Subsidiary from the IRS regarding the tax-qualified status of such Benefit Arrangement and (vi) written results of all required compliance testing for the previous three years.</w:t>
      </w:r>
    </w:p>
    <w:p>
      <w:pPr>
        <w:spacing w:after="0" w:line="169" w:lineRule="exact"/>
        <w:rPr>
          <w:rFonts w:ascii="Arial" w:cs="Arial" w:eastAsia="Arial" w:hAnsi="Arial"/>
          <w:sz w:val="16"/>
          <w:szCs w:val="16"/>
          <w:color w:val="auto"/>
        </w:rPr>
      </w:pPr>
    </w:p>
    <w:p>
      <w:pPr>
        <w:jc w:val="both"/>
        <w:ind w:firstLine="1143"/>
        <w:spacing w:after="0" w:line="290" w:lineRule="auto"/>
        <w:tabs>
          <w:tab w:leader="none" w:pos="1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With respect to each Benefit Arrangement, (i) each Benefit Arrangement has been established, maintained and administered in all material respects in accordance with its express terms and with the requirements of ERISA, the Code and other applicable Law; (ii) there are no pending or, to the Knowledge of the Company, threatened actions, claims or lawsuits against or relating to the Benefit Arrangement or, to the Knowledge of the Company, against any fiduciary of the Benefit Arrangement with respect to the operation of such arrangements (other than routine benefits claims); (iii) each Benefit Arrangement intended to be qualified under Section 401(a) of the Code has received a favorable determination, or may rely upon a favorable opinion letter, from the Internal Revenue Service that it is so qualified and nothing has occurred since the date of such letter with respect to the operation of such Benefit Arrangement which could cause the loss of such qualification or the imposition of any material liability, penalty or tax under ERISA or the Code; (iv) no such Benefit Arrangement is under audit or investigation by any Governmental Authority or regulatory authority; (v) all payments required to be made by the Company or any of its Subsidiaries under any Benefit Arrangement, any contract, or by Law (including all contributions (including all employer contributions and employee salary reduction contributions), insurance premiums or intercompany charges) since January 1, 2018 have been timely made or properly accrued and reflected in the most recent consolidated balance sheet prior to the date hereof, in accordance with the provisions of each of the Benefit Arrangement, applicable Law and GAAP, in each case, in all material respects; and (vi) to the Knowledge of the Company, there are no facts or circumstances that would be reasonably likely to subject the Company to any assessable payment under Section 4980H of the Code with respect to any period prior to the Closing Date.</w:t>
      </w:r>
    </w:p>
    <w:p>
      <w:pPr>
        <w:spacing w:after="0" w:line="151" w:lineRule="exact"/>
        <w:rPr>
          <w:rFonts w:ascii="Arial" w:cs="Arial" w:eastAsia="Arial" w:hAnsi="Arial"/>
          <w:sz w:val="14"/>
          <w:szCs w:val="14"/>
          <w:color w:val="auto"/>
        </w:rPr>
      </w:pPr>
    </w:p>
    <w:p>
      <w:pPr>
        <w:jc w:val="both"/>
        <w:ind w:right="20" w:firstLine="1143"/>
        <w:spacing w:after="0" w:line="292" w:lineRule="auto"/>
        <w:tabs>
          <w:tab w:leader="none" w:pos="1375" w:val="left"/>
        </w:tabs>
        <w:numPr>
          <w:ilvl w:val="0"/>
          <w:numId w:val="37"/>
        </w:numPr>
        <w:rPr>
          <w:rFonts w:ascii="Arial" w:cs="Arial" w:eastAsia="Arial" w:hAnsi="Arial"/>
          <w:sz w:val="14"/>
          <w:szCs w:val="14"/>
          <w:color w:val="auto"/>
        </w:rPr>
      </w:pPr>
      <w:r>
        <w:rPr>
          <w:rFonts w:ascii="Arial" w:cs="Arial" w:eastAsia="Arial" w:hAnsi="Arial"/>
          <w:sz w:val="14"/>
          <w:szCs w:val="14"/>
          <w:color w:val="auto"/>
        </w:rPr>
        <w:t>Since January 1, 2018, no Benefit Arrangement is, and none of the Company, any of its Subsidiaries, any corporation, trade, business, or entity that would be deemed a “single employer” with the Company or any Subsidiary within the meaning of Section 414(b), (c), (m), or (o) of the Code or Section 4001 of ERISA (each, an “</w:t>
      </w:r>
      <w:r>
        <w:rPr>
          <w:rFonts w:ascii="Arial" w:cs="Arial" w:eastAsia="Arial" w:hAnsi="Arial"/>
          <w:sz w:val="14"/>
          <w:szCs w:val="14"/>
          <w:u w:val="single" w:color="auto"/>
          <w:color w:val="auto"/>
        </w:rPr>
        <w:t>ERISA Affiliate</w:t>
      </w:r>
      <w:r>
        <w:rPr>
          <w:rFonts w:ascii="Arial" w:cs="Arial" w:eastAsia="Arial" w:hAnsi="Arial"/>
          <w:sz w:val="14"/>
          <w:szCs w:val="14"/>
          <w:color w:val="auto"/>
        </w:rPr>
        <w:t>”), or any of their respective predecessors has contributed to, contributes to, has been required to contribute to, or otherwise participated in or participates in or in any way has any Liability with respect to any plan subject to Section 412, 430 or 4971 of the Code, Section 302 or Title IV of ERISA, including any “multiemployer plan” (within the meaning of Sections 3(37) or 4001(a)(3) of ERISA or Section 414(f) of the Code), a “multiple employer plan” (as defined in Section 413 of the Code), a “multiple employer welfare arrangement” (as defined in Section 3(40) of ERISA), any single employer pension plan (within the meaning of Section 4001(a)(15) of ERISA) which is subject to Sections 4063, 4064 and 4069 of ERISA or Section 413(c) of the Code, or a plan maintained in connection with any trust described in Section 501(c)(9) of the Code. Since January 1, 2018, no event has occurred and no condition exists that would subject the Company or the Subsidiaries by reason of its affiliation with any current or former ERISA Affiliate to any material and unpaid (i) Tax, penalty, fine, (ii) Lien or (iii) other Liability imposed by ERISA, the Code or other applicable Laws. None of the Benefit Arrangements provide retiree health or life insurance benefits except as may be required by Section 4980B of the Code and Section 601 of ERISA, or any other applicable Law.</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8" w:name="page39"/>
    <w:bookmarkEnd w:id="38"/>
    <w:p>
      <w:pPr>
        <w:jc w:val="both"/>
        <w:ind w:firstLine="1143"/>
        <w:spacing w:after="0" w:line="254" w:lineRule="auto"/>
        <w:tabs>
          <w:tab w:leader="none" w:pos="13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Except as specified in </w:t>
      </w:r>
      <w:r>
        <w:rPr>
          <w:rFonts w:ascii="Arial" w:cs="Arial" w:eastAsia="Arial" w:hAnsi="Arial"/>
          <w:sz w:val="16"/>
          <w:szCs w:val="16"/>
          <w:u w:val="single" w:color="auto"/>
          <w:color w:val="auto"/>
        </w:rPr>
        <w:t>Schedule 3.22(e)</w:t>
      </w:r>
      <w:r>
        <w:rPr>
          <w:rFonts w:ascii="Arial" w:cs="Arial" w:eastAsia="Arial" w:hAnsi="Arial"/>
          <w:sz w:val="16"/>
          <w:szCs w:val="16"/>
          <w:color w:val="auto"/>
        </w:rPr>
        <w:t>, neither the execution, delivery and performance of this Agreement or the other Transaction Documents to which the Company is a party nor the consummation of the Transactions will (either alone or in combination with another event) (i) result in any severance or other payment becoming due, or increase the amount of any compensation or benefits due, to any current or former employee, officer, director, consultant or other service provider of the Company and its Subsidiaries; (ii) limit or restrict the right of the Company or any Subsidiary to merge, amend or terminate any Benefit Arrangement; or (iii) result in the acceleration of the time of payment or vesting, or result in any payment or funding (through a grantor trust or otherwise) of any such compensation or benefits under, or increase the amount of compensation or benefits due under, any Benefit Arrangement.</w:t>
      </w:r>
    </w:p>
    <w:p>
      <w:pPr>
        <w:spacing w:after="0" w:line="170" w:lineRule="exact"/>
        <w:rPr>
          <w:rFonts w:ascii="Arial" w:cs="Arial" w:eastAsia="Arial" w:hAnsi="Arial"/>
          <w:sz w:val="16"/>
          <w:szCs w:val="16"/>
          <w:color w:val="auto"/>
        </w:rPr>
      </w:pPr>
    </w:p>
    <w:p>
      <w:pPr>
        <w:jc w:val="both"/>
        <w:ind w:right="20" w:firstLine="1143"/>
        <w:spacing w:after="0" w:line="254" w:lineRule="auto"/>
        <w:tabs>
          <w:tab w:leader="none" w:pos="1377"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or the other Transaction Documents to which the Company is a party nor the consummation of the Transactions will (either alone or in combination with another event) result in any payment (whether in cash or property or the vesting of property) to any “disqualified individual” (as such term is defined in Treasury Regulations Section 1.280G-1) that could reasonably be construed, individually or in combination with any other such payment, to constitute an “excess parachute payment” (as defined in Section 280G(b)(1) of the Code) on account of the Transactions. No person is entitled to receive any additional payment (including any tax gross-up or other payment) from the Company or any of its Subsidiaries as a result of the imposition of the excise taxes required by Section 4999 of the Code or any taxes required by Section 409A of the Code.</w:t>
      </w:r>
    </w:p>
    <w:p>
      <w:pPr>
        <w:spacing w:after="0" w:line="170" w:lineRule="exact"/>
        <w:rPr>
          <w:rFonts w:ascii="Arial" w:cs="Arial" w:eastAsia="Arial" w:hAnsi="Arial"/>
          <w:sz w:val="16"/>
          <w:szCs w:val="16"/>
          <w:color w:val="auto"/>
        </w:rPr>
      </w:pPr>
    </w:p>
    <w:p>
      <w:pPr>
        <w:ind w:right="20" w:firstLine="1143"/>
        <w:spacing w:after="0" w:line="275" w:lineRule="auto"/>
        <w:tabs>
          <w:tab w:leader="none" w:pos="1403"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Benefit Arrangement that is a “nonqualified deferred compensation plan” (as defined in Section 409A(d)(1) of the Code) is in documentary compliance with, and has been administered in compliance with Section 409A of the Code.</w:t>
      </w:r>
    </w:p>
    <w:p>
      <w:pPr>
        <w:spacing w:after="0" w:line="151" w:lineRule="exact"/>
        <w:rPr>
          <w:rFonts w:ascii="Arial" w:cs="Arial" w:eastAsia="Arial" w:hAnsi="Arial"/>
          <w:sz w:val="16"/>
          <w:szCs w:val="16"/>
          <w:color w:val="auto"/>
        </w:rPr>
      </w:pPr>
    </w:p>
    <w:p>
      <w:pPr>
        <w:ind w:right="20" w:firstLine="1143"/>
        <w:spacing w:after="0" w:line="349" w:lineRule="auto"/>
        <w:tabs>
          <w:tab w:leader="none" w:pos="13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Each Benefit Arrangement that is subject to the Patient Protection and Affordable Care Act, as amended by the Health Care and Education Reconciliation Act of 2010 (the “Affordable Care Act”) has been established, maintained and administered in compliance with the requirements of the Affordable Care Act.</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6" w:lineRule="auto"/>
        <w:tabs>
          <w:tab w:leader="none" w:pos="1364"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Schedule 3.23</w:t>
      </w:r>
      <w:r>
        <w:rPr>
          <w:rFonts w:ascii="Arial" w:cs="Arial" w:eastAsia="Arial" w:hAnsi="Arial"/>
          <w:sz w:val="14"/>
          <w:szCs w:val="14"/>
          <w:color w:val="auto"/>
        </w:rPr>
        <w:t xml:space="preserve"> sets forth a true, complete and correct list of the following (each such arrangement of the type required to be set forth thereon, whether or not actually set forth thereon, an “</w:t>
      </w:r>
      <w:r>
        <w:rPr>
          <w:rFonts w:ascii="Arial" w:cs="Arial" w:eastAsia="Arial" w:hAnsi="Arial"/>
          <w:sz w:val="14"/>
          <w:szCs w:val="14"/>
          <w:u w:val="single" w:color="auto"/>
          <w:color w:val="auto"/>
        </w:rPr>
        <w:t>Affiliate Transaction</w:t>
      </w:r>
      <w:r>
        <w:rPr>
          <w:rFonts w:ascii="Arial" w:cs="Arial" w:eastAsia="Arial" w:hAnsi="Arial"/>
          <w:sz w:val="14"/>
          <w:szCs w:val="14"/>
          <w:color w:val="auto"/>
        </w:rPr>
        <w:t>”): (i) each Contract entered into between January 1, 2018 and the date hereof, between the Company or any of its Subsidiaries, on the one hand, and any current or former Affiliate of the Company or any of its Subsidiaries on the other hand; and (ii) all Indebtedness (for monies actually borrowed or lent) owed during the period beginning January 1, 2018 and ended on the date hereof by any current or former Affiliate to the Company or any of its Subsidiaries.</w:t>
      </w:r>
    </w:p>
    <w:p>
      <w:pPr>
        <w:spacing w:after="0" w:line="134" w:lineRule="exact"/>
        <w:rPr>
          <w:rFonts w:ascii="Arial" w:cs="Arial" w:eastAsia="Arial" w:hAnsi="Arial"/>
          <w:sz w:val="14"/>
          <w:szCs w:val="14"/>
          <w:color w:val="auto"/>
        </w:rPr>
      </w:pPr>
    </w:p>
    <w:p>
      <w:pPr>
        <w:ind w:left="1360" w:hanging="217"/>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None of the Stockholders nor any of their Affiliates own or have any rights in or to any of the material Assets, properties or rights used by the Company.</w:t>
      </w:r>
    </w:p>
    <w:p>
      <w:pPr>
        <w:spacing w:after="0" w:line="22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Material 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3.24</w:t>
      </w:r>
      <w:r>
        <w:rPr>
          <w:rFonts w:ascii="Arial" w:cs="Arial" w:eastAsia="Arial" w:hAnsi="Arial"/>
          <w:sz w:val="16"/>
          <w:szCs w:val="16"/>
          <w:color w:val="auto"/>
        </w:rPr>
        <w:t xml:space="preserve"> sets forth a true, complete and correct list, as of the date hereof, of each of the following Contracts (other than Benefit Arrangements) to which the Company or any of its Subsidiaries is a party (each such Contract of the type required to be set forth thereon, whether or not actually set forth thereof,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162" w:lineRule="exact"/>
        <w:rPr>
          <w:sz w:val="20"/>
          <w:szCs w:val="20"/>
          <w:color w:val="auto"/>
        </w:rPr>
      </w:pPr>
    </w:p>
    <w:p>
      <w:pPr>
        <w:jc w:val="both"/>
        <w:ind w:right="20" w:firstLine="1143"/>
        <w:spacing w:after="0" w:line="262" w:lineRule="auto"/>
        <w:tabs>
          <w:tab w:leader="none" w:pos="13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Collective bargaining agreement or other Contract with any labor organization, union or association or Contract with a professional employer organization, or other Contract providing for co-employment of employees of the Company or any of its Subsidiaries, or Contract with a professional employer organization or co-employer organization or other Contract provision for co-employment of employees of the Company or its Subsidiaries;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9" w:name="page40"/>
    <w:bookmarkEnd w:id="39"/>
    <w:p>
      <w:pPr>
        <w:ind w:right="20" w:firstLine="1143"/>
        <w:spacing w:after="0" w:line="275" w:lineRule="auto"/>
        <w:tabs>
          <w:tab w:leader="none" w:pos="13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 that provides for a payment or benefit, accelerated vesting, upon the execution of this Agreement, the other Transaction Documents to which the Company is a party or the Closing in connection with any of the Transactions;</w:t>
      </w:r>
    </w:p>
    <w:p>
      <w:pPr>
        <w:spacing w:after="0" w:line="151" w:lineRule="exact"/>
        <w:rPr>
          <w:rFonts w:ascii="Arial" w:cs="Arial" w:eastAsia="Arial" w:hAnsi="Arial"/>
          <w:sz w:val="16"/>
          <w:szCs w:val="16"/>
          <w:color w:val="auto"/>
        </w:rPr>
      </w:pPr>
    </w:p>
    <w:p>
      <w:pPr>
        <w:ind w:firstLine="1143"/>
        <w:spacing w:after="0" w:line="275" w:lineRule="auto"/>
        <w:tabs>
          <w:tab w:leader="none" w:pos="13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 relating to Indebtedness, including the mortgaging, pledging or otherwise placing a Lien (other than Permitted Liens) on any Asset or group of Assets of the Company or any of its Subsidiaries and issuance of any Indebtedness by the Company or its Subsidiaries in excess of $150,000;</w:t>
      </w:r>
    </w:p>
    <w:p>
      <w:pPr>
        <w:spacing w:after="0" w:line="151" w:lineRule="exact"/>
        <w:rPr>
          <w:rFonts w:ascii="Arial" w:cs="Arial" w:eastAsia="Arial" w:hAnsi="Arial"/>
          <w:sz w:val="16"/>
          <w:szCs w:val="16"/>
          <w:color w:val="auto"/>
        </w:rPr>
      </w:pPr>
    </w:p>
    <w:p>
      <w:pPr>
        <w:ind w:firstLine="1143"/>
        <w:spacing w:after="0" w:line="275" w:lineRule="auto"/>
        <w:tabs>
          <w:tab w:leader="none" w:pos="13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Real Property Lease or Contract under which the Company or any of its Subsidiaries is the lessee of or the holder or operator of any material personal property owned by any other Person;</w:t>
      </w:r>
    </w:p>
    <w:p>
      <w:pPr>
        <w:spacing w:after="0" w:line="151" w:lineRule="exact"/>
        <w:rPr>
          <w:rFonts w:ascii="Arial" w:cs="Arial" w:eastAsia="Arial" w:hAnsi="Arial"/>
          <w:sz w:val="16"/>
          <w:szCs w:val="16"/>
          <w:color w:val="auto"/>
        </w:rPr>
      </w:pPr>
    </w:p>
    <w:p>
      <w:pPr>
        <w:ind w:firstLine="1143"/>
        <w:spacing w:after="0" w:line="275" w:lineRule="auto"/>
        <w:tabs>
          <w:tab w:leader="none" w:pos="1377"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 under which the Company or any of its Subsidiaries is the lessor of or permits any third Person to hold or operate any Owned Real Property, Leased Real Property or material personal property owned or controlled by the Company or any of its Subsidiaries;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IP Contracts;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Affiliate Contracts;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Contracts involving any Governmental Authority other than Contracts for the sale of the Company’s products in the Ordinary Course;</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Contracts related to joint ventures, partnerships, relationships for joint marketing (other than co-marketed items) or joint development with another Person;</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Contracts with Material Vendors.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Each Material Contract (x) is valid, binding and enforceable against the Company and its Subsidiaries, as the case may be, and, to the Knowledge of the Company, against each other party thereto, in accordance with its terms, except that such enforcement may be limited by bankruptcy, insolvency, reorganization, moratorium or other similar laws now or hereafter in effect relating to creditors’ rights and general principles of equity, and (y) is in full force and effect on the day hereof and the Company and its Subsidiaries, as the case may be, has performed all obligations, including the timely making of all payments, required to be performed by it under,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To the Knowledge of the Company, each other party to each Material Contract has performed all obligations required to be performed by it under, including, but not limited to, the timely making of any payments,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There has been made available to Parent a true, complete and correct copy of each of the Material Contracts listed on </w:t>
      </w:r>
      <w:r>
        <w:rPr>
          <w:rFonts w:ascii="Arial" w:cs="Arial" w:eastAsia="Arial" w:hAnsi="Arial"/>
          <w:sz w:val="15"/>
          <w:szCs w:val="15"/>
          <w:u w:val="single" w:color="auto"/>
          <w:color w:val="auto"/>
        </w:rPr>
        <w:t>Schedule 3.24</w:t>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0" w:name="page41"/>
    <w:bookmarkEnd w:id="40"/>
    <w:p>
      <w:pPr>
        <w:ind w:left="560"/>
        <w:spacing w:after="0"/>
        <w:rPr>
          <w:sz w:val="20"/>
          <w:szCs w:val="20"/>
          <w:color w:val="auto"/>
        </w:rPr>
      </w:pPr>
      <w:r>
        <w:rPr>
          <w:rFonts w:ascii="Arial" w:cs="Arial" w:eastAsia="Arial" w:hAnsi="Arial"/>
          <w:sz w:val="16"/>
          <w:szCs w:val="16"/>
          <w:color w:val="auto"/>
        </w:rPr>
        <w:t xml:space="preserve">Section 3.25 </w:t>
      </w:r>
      <w:r>
        <w:rPr>
          <w:rFonts w:ascii="Arial" w:cs="Arial" w:eastAsia="Arial" w:hAnsi="Arial"/>
          <w:sz w:val="16"/>
          <w:szCs w:val="16"/>
          <w:u w:val="single" w:color="auto"/>
          <w:color w:val="auto"/>
        </w:rPr>
        <w:t>Compliance with Privacy Laws, Privacy Policies and Certain Contracts</w:t>
      </w:r>
      <w:r>
        <w:rPr>
          <w:rFonts w:ascii="Arial" w:cs="Arial" w:eastAsia="Arial" w:hAnsi="Arial"/>
          <w:sz w:val="16"/>
          <w:szCs w:val="16"/>
          <w:color w:val="auto"/>
        </w:rPr>
        <w:t>.</w:t>
      </w:r>
    </w:p>
    <w:p>
      <w:pPr>
        <w:spacing w:after="0" w:line="198" w:lineRule="exact"/>
        <w:rPr>
          <w:sz w:val="20"/>
          <w:szCs w:val="20"/>
          <w:color w:val="auto"/>
        </w:rPr>
      </w:pPr>
    </w:p>
    <w:p>
      <w:pPr>
        <w:ind w:left="1360" w:hanging="217"/>
        <w:spacing w:after="0"/>
        <w:tabs>
          <w:tab w:leader="none" w:pos="1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3.25(a)</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560" w:firstLine="1156"/>
        <w:spacing w:after="0" w:line="262" w:lineRule="auto"/>
        <w:tabs>
          <w:tab w:leader="none" w:pos="1902"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Company, its officers, directors, managers, employees, to the Knowledge of the Company, the Company’s agents, subcontractors and vendors to whom Company has given access to Personal Data or Protected Health Information, are and have been at all times since the Company’s inception, in compliance in all material respects with all applicable Privacy Laws;</w:t>
      </w:r>
    </w:p>
    <w:p>
      <w:pPr>
        <w:spacing w:after="0" w:line="162" w:lineRule="exact"/>
        <w:rPr>
          <w:rFonts w:ascii="Arial" w:cs="Arial" w:eastAsia="Arial" w:hAnsi="Arial"/>
          <w:sz w:val="16"/>
          <w:szCs w:val="16"/>
          <w:color w:val="auto"/>
        </w:rPr>
      </w:pPr>
    </w:p>
    <w:p>
      <w:pPr>
        <w:jc w:val="both"/>
        <w:ind w:left="560" w:firstLine="1156"/>
        <w:spacing w:after="0" w:line="262" w:lineRule="auto"/>
        <w:tabs>
          <w:tab w:leader="none" w:pos="19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since the Company’s inception, the Company has not been charged in or identified as a target or subject of, or threatened to be charged in or identified as a target or subject of, an investigation, audit or inquiry under any Privacy Law and (B) to the Knowledge of the Company, the Company is not currently under investigation or review with respect to any suspected or actual violation of any Privacy Law;</w:t>
      </w:r>
    </w:p>
    <w:p>
      <w:pPr>
        <w:spacing w:after="0" w:line="162" w:lineRule="exact"/>
        <w:rPr>
          <w:rFonts w:ascii="Arial" w:cs="Arial" w:eastAsia="Arial" w:hAnsi="Arial"/>
          <w:sz w:val="16"/>
          <w:szCs w:val="16"/>
          <w:color w:val="auto"/>
        </w:rPr>
      </w:pPr>
    </w:p>
    <w:p>
      <w:pPr>
        <w:jc w:val="both"/>
        <w:ind w:left="560" w:right="20" w:firstLine="1156"/>
        <w:spacing w:after="0" w:line="287" w:lineRule="auto"/>
        <w:tabs>
          <w:tab w:leader="none" w:pos="1999" w:val="left"/>
        </w:tabs>
        <w:numPr>
          <w:ilvl w:val="1"/>
          <w:numId w:val="42"/>
        </w:numPr>
        <w:rPr>
          <w:rFonts w:ascii="Arial" w:cs="Arial" w:eastAsia="Arial" w:hAnsi="Arial"/>
          <w:sz w:val="15"/>
          <w:szCs w:val="15"/>
          <w:color w:val="auto"/>
        </w:rPr>
      </w:pPr>
      <w:r>
        <w:rPr>
          <w:rFonts w:ascii="Arial" w:cs="Arial" w:eastAsia="Arial" w:hAnsi="Arial"/>
          <w:sz w:val="15"/>
          <w:szCs w:val="15"/>
          <w:color w:val="auto"/>
        </w:rPr>
        <w:t>since the Company’s inception, there has been no loss, damage or unauthorized access, use, disclosure or modification, or breach of security, with respect to the Company’s collection, creation, use, disclosure, transmission, storage or maintenance of Personal Data or Protected Health Information maintained by or on behalf of the Company (including, to the Knowledge of the Company, by any agent, subcontractor or vendor of the Company);</w:t>
      </w:r>
    </w:p>
    <w:p>
      <w:pPr>
        <w:spacing w:after="0" w:line="146" w:lineRule="exact"/>
        <w:rPr>
          <w:rFonts w:ascii="Arial" w:cs="Arial" w:eastAsia="Arial" w:hAnsi="Arial"/>
          <w:sz w:val="15"/>
          <w:szCs w:val="15"/>
          <w:color w:val="auto"/>
        </w:rPr>
      </w:pPr>
    </w:p>
    <w:p>
      <w:pPr>
        <w:jc w:val="both"/>
        <w:ind w:left="560" w:right="20" w:firstLine="1156"/>
        <w:spacing w:after="0" w:line="255" w:lineRule="auto"/>
        <w:tabs>
          <w:tab w:leader="none" w:pos="1987"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Person, including any Governmental Authority, has made any written claim or commenced any Proceeding with respect to any violation of any Privacy Law by the Company or, and, to the Knowledge of the Company, a subcontractor, agent or vendor of the Company, and the Company has not been given written notice of any criminal, civil or administrative violation of any Privacy Law, in any case including any claim or action with respect to any loss, damage or unauthorized access, use, disclosure, modification, or breach of security, of Personal Data or Protected Health Information maintained by or on behalf of the Company (including by any agent, subcontractor or vendor of the Company); and</w:t>
      </w:r>
    </w:p>
    <w:p>
      <w:pPr>
        <w:spacing w:after="0" w:line="169" w:lineRule="exact"/>
        <w:rPr>
          <w:rFonts w:ascii="Arial" w:cs="Arial" w:eastAsia="Arial" w:hAnsi="Arial"/>
          <w:sz w:val="16"/>
          <w:szCs w:val="16"/>
          <w:color w:val="auto"/>
        </w:rPr>
      </w:pPr>
    </w:p>
    <w:p>
      <w:pPr>
        <w:jc w:val="both"/>
        <w:ind w:left="560" w:right="20" w:firstLine="1156"/>
        <w:spacing w:after="0" w:line="262" w:lineRule="auto"/>
        <w:tabs>
          <w:tab w:leader="none" w:pos="1949" w:val="left"/>
        </w:tabs>
        <w:numPr>
          <w:ilvl w:val="1"/>
          <w:numId w:val="42"/>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subcontractor agent or vendor of the Company, has incurred any breach of “unsecured protected health information” (as defined in 45 C.F.R. Part 164, Subpart D) and has not been required to report any breach of such “unsecured protected health information”.</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4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has implemented, maintains and at all times since the Company’s inception has maintained reasonable and appropriate policies and procedures to maintain the privacy and security of Personal Data and Protected Health Information in accordance with the Privacy Laws (collectively the “</w:t>
      </w:r>
      <w:r>
        <w:rPr>
          <w:rFonts w:ascii="Arial" w:cs="Arial" w:eastAsia="Arial" w:hAnsi="Arial"/>
          <w:sz w:val="16"/>
          <w:szCs w:val="16"/>
          <w:u w:val="single" w:color="auto"/>
          <w:color w:val="auto"/>
        </w:rPr>
        <w:t>Privacy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The Company complies in all respects with all applicable Privacy Laws, including regulations promulgated by the U.S. Federal Trade Commission and the U.S. Department of Health and Human Services, and any of their respective sub-agencies, as well as any state agency or similar Governmental Authority. The Company’s use and disclosure of Personal Data or Protected Health Information is and at all times since the Company’s inception has been in compliance with such Privacy Statements, the Privacy Laws and with all applicable Contracts to which the Company is a party.</w:t>
      </w:r>
    </w:p>
    <w:p>
      <w:pPr>
        <w:spacing w:after="0" w:line="170" w:lineRule="exact"/>
        <w:rPr>
          <w:rFonts w:ascii="Arial" w:cs="Arial" w:eastAsia="Arial" w:hAnsi="Arial"/>
          <w:sz w:val="16"/>
          <w:szCs w:val="16"/>
          <w:color w:val="auto"/>
        </w:rPr>
      </w:pPr>
    </w:p>
    <w:p>
      <w:pPr>
        <w:ind w:right="20" w:firstLine="1143"/>
        <w:spacing w:after="0" w:line="275" w:lineRule="auto"/>
        <w:tabs>
          <w:tab w:leader="none" w:pos="13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activities conducted by the Company with respect to any Protected Health Information or Personal Data are permitted under applicable Privacy Laws, and the Contracts relating to Personal Data or Protected Health Information.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1" w:name="page42"/>
    <w:bookmarkEnd w:id="41"/>
    <w:p>
      <w:pPr>
        <w:ind w:right="20" w:firstLine="1143"/>
        <w:spacing w:after="0" w:line="275" w:lineRule="auto"/>
        <w:tabs>
          <w:tab w:leader="none" w:pos="1374"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Contract between the Company and a customer of the Company contains all the terms and conditions that the Company is required to include therein under the Company’s Contracts with its vendors and suppliers.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3.26 </w:t>
      </w:r>
      <w:r>
        <w:rPr>
          <w:rFonts w:ascii="Arial" w:cs="Arial" w:eastAsia="Arial" w:hAnsi="Arial"/>
          <w:sz w:val="16"/>
          <w:szCs w:val="16"/>
          <w:u w:val="single" w:color="auto"/>
          <w:color w:val="auto"/>
        </w:rPr>
        <w:t>Compliance with Health Care Laws and Certain Contracts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3.26(a)</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including the conduct of its business, is and has been at all times since the Company’s inception in compliance in all material respects with all applicable Health Care Laws;</w:t>
      </w:r>
    </w:p>
    <w:p>
      <w:pPr>
        <w:spacing w:after="0" w:line="151" w:lineRule="exact"/>
        <w:rPr>
          <w:rFonts w:ascii="Arial" w:cs="Arial" w:eastAsia="Arial" w:hAnsi="Arial"/>
          <w:sz w:val="16"/>
          <w:szCs w:val="16"/>
          <w:color w:val="auto"/>
        </w:rPr>
      </w:pPr>
    </w:p>
    <w:p>
      <w:pPr>
        <w:jc w:val="both"/>
        <w:ind w:right="20" w:firstLine="1143"/>
        <w:spacing w:after="0" w:line="287" w:lineRule="auto"/>
        <w:tabs>
          <w:tab w:leader="none" w:pos="1374"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since the Company’s inception, the Company has not been charged in or identified as a target or subject of, or threatened to be charged in or identified as a target or subject of, an investigation, audit or inquiry by any Person or Governmental Authority under any Health Care Law and (B) to the Knowledge of the Company, the Company is not currently under investigation or review with respect to any suspected or actual violation of any Health Care Law;</w:t>
      </w:r>
    </w:p>
    <w:p>
      <w:pPr>
        <w:spacing w:after="0" w:line="146" w:lineRule="exact"/>
        <w:rPr>
          <w:rFonts w:ascii="Arial" w:cs="Arial" w:eastAsia="Arial" w:hAnsi="Arial"/>
          <w:sz w:val="15"/>
          <w:szCs w:val="15"/>
          <w:color w:val="auto"/>
        </w:rPr>
      </w:pPr>
    </w:p>
    <w:p>
      <w:pPr>
        <w:jc w:val="both"/>
        <w:ind w:right="20" w:firstLine="1143"/>
        <w:spacing w:after="0" w:line="262" w:lineRule="auto"/>
        <w:tabs>
          <w:tab w:leader="none" w:pos="13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Person, including any Governmental Authority, has made any written claim or commenced any Proceeding with respect to any violation of any Health Care Law by the Company or, to the Knowledge of the Company, a subcontractor or agent of the Company, and the Company has not been given written notice of any potential criminal, civil or administrative violation of any Health Care Law;</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4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none of the Company or any of its current officers, directors, managers, employees or, to the Knowledge of the Company, any of its agents or subcontractors has engaged or is engaging, in any activities which are cause for civil monetary or criminal penalties or mandatory or permissive exclusion from any Medicare, Medicaid or any other similar reimbursement program (each, a “</w:t>
      </w:r>
      <w:r>
        <w:rPr>
          <w:rFonts w:ascii="Arial" w:cs="Arial" w:eastAsia="Arial" w:hAnsi="Arial"/>
          <w:sz w:val="16"/>
          <w:szCs w:val="16"/>
          <w:u w:val="single" w:color="auto"/>
          <w:color w:val="auto"/>
        </w:rPr>
        <w:t>Health Care Program</w:t>
      </w:r>
      <w:r>
        <w:rPr>
          <w:rFonts w:ascii="Arial" w:cs="Arial" w:eastAsia="Arial" w:hAnsi="Arial"/>
          <w:sz w:val="16"/>
          <w:szCs w:val="16"/>
          <w:color w:val="auto"/>
        </w:rPr>
        <w:t>”); and</w:t>
      </w:r>
    </w:p>
    <w:p>
      <w:pPr>
        <w:spacing w:after="0" w:line="162" w:lineRule="exact"/>
        <w:rPr>
          <w:rFonts w:ascii="Arial" w:cs="Arial" w:eastAsia="Arial" w:hAnsi="Arial"/>
          <w:sz w:val="16"/>
          <w:szCs w:val="16"/>
          <w:color w:val="auto"/>
        </w:rPr>
      </w:pPr>
    </w:p>
    <w:p>
      <w:pPr>
        <w:jc w:val="both"/>
        <w:ind w:right="20" w:firstLine="1143"/>
        <w:spacing w:after="0" w:line="287" w:lineRule="auto"/>
        <w:tabs>
          <w:tab w:leader="none" w:pos="1383"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none of the Company or its officers, directors, managers, employees, or, to the Knowledge of the Company, its agents or subcontractors has been, is currently or imminently will be excluded, debarred, suspended, or otherwise ineligible to participate in any Health Care Program or has been charged with or convicted of a criminal offense that falls within the scope of 42 U.S.C. § 1320a-7(a), but has not yet been excluded, debarred, suspended, or otherwise declared ineligible;</w:t>
      </w:r>
    </w:p>
    <w:p>
      <w:pPr>
        <w:spacing w:after="0" w:line="146" w:lineRule="exact"/>
        <w:rPr>
          <w:rFonts w:ascii="Arial" w:cs="Arial" w:eastAsia="Arial" w:hAnsi="Arial"/>
          <w:sz w:val="15"/>
          <w:szCs w:val="15"/>
          <w:color w:val="auto"/>
        </w:rPr>
      </w:pPr>
    </w:p>
    <w:p>
      <w:pPr>
        <w:ind w:right="20" w:firstLine="1143"/>
        <w:spacing w:after="0" w:line="309" w:lineRule="auto"/>
        <w:tabs>
          <w:tab w:leader="none" w:pos="1368"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has truthfully and accurately completed and submitted all applications, forms and filings required to be submitted to all Governmental Authorities, and their contractors, with respect to accessing eligibility information or claims systems, or submitting claims or appeals on behalf of its customers;</w:t>
      </w:r>
    </w:p>
    <w:p>
      <w:pPr>
        <w:spacing w:after="0" w:line="129" w:lineRule="exact"/>
        <w:rPr>
          <w:rFonts w:ascii="Arial" w:cs="Arial" w:eastAsia="Arial" w:hAnsi="Arial"/>
          <w:sz w:val="15"/>
          <w:szCs w:val="15"/>
          <w:color w:val="auto"/>
        </w:rPr>
      </w:pPr>
    </w:p>
    <w:p>
      <w:pPr>
        <w:ind w:right="20" w:firstLine="1143"/>
        <w:spacing w:after="0" w:line="275" w:lineRule="auto"/>
        <w:tabs>
          <w:tab w:leader="none" w:pos="13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has obtained, maintains and has maintained at all times all required registrations and enrollments with all Governmental Authorities, with respect to accessing eligibility information or claims systems, or submitting claims or appeals on behalf of its customers; and</w:t>
      </w:r>
    </w:p>
    <w:p>
      <w:pPr>
        <w:spacing w:after="0" w:line="151"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has made available to Parent all written communications with Governmental Authorities, or their contractors, regarding disputes, inquiries or investigations pertaining to the Company’s access to such claims system and has resolved all such disputes, inquiries, and investigations.</w:t>
      </w:r>
    </w:p>
    <w:p>
      <w:pPr>
        <w:spacing w:after="0" w:line="129"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3.27 </w:t>
      </w:r>
      <w:r>
        <w:rPr>
          <w:rFonts w:ascii="Arial" w:cs="Arial" w:eastAsia="Arial" w:hAnsi="Arial"/>
          <w:sz w:val="14"/>
          <w:szCs w:val="14"/>
          <w:u w:val="single" w:color="auto"/>
          <w:color w:val="auto"/>
        </w:rPr>
        <w:t>SEC Matters</w:t>
      </w:r>
      <w:r>
        <w:rPr>
          <w:rFonts w:ascii="Arial" w:cs="Arial" w:eastAsia="Arial" w:hAnsi="Arial"/>
          <w:sz w:val="14"/>
          <w:szCs w:val="14"/>
          <w:color w:val="auto"/>
        </w:rPr>
        <w:t>. The information relating to the Company supplied by the Company for inclusion in the Form S-4 or the Proxy Statement, as applicable, will not as of the Form S-4 Effective Date and date on which the Proxy Statement (or any amendment or supplement thereto) is first distributed to Parent Stockholders or at the time of Parent Stockholder Meeting contain any statement which, at such time and in light of the circumstances under which they were made, are false or misleading with respect to any material fact, or omit to state any material fact required to be stated therein or necessary in order to make the statement therein not false or misleading.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2" w:name="page43"/>
    <w:bookmarkEnd w:id="42"/>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3.28 </w:t>
      </w:r>
      <w:r>
        <w:rPr>
          <w:rFonts w:ascii="Arial" w:cs="Arial" w:eastAsia="Arial" w:hAnsi="Arial"/>
          <w:sz w:val="15"/>
          <w:szCs w:val="15"/>
          <w:u w:val="single" w:color="auto"/>
          <w:color w:val="auto"/>
        </w:rPr>
        <w:t>Brokers and Other Advisors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3.28</w:t>
      </w:r>
      <w:r>
        <w:rPr>
          <w:rFonts w:ascii="Arial" w:cs="Arial" w:eastAsia="Arial" w:hAnsi="Arial"/>
          <w:sz w:val="15"/>
          <w:szCs w:val="15"/>
          <w:color w:val="auto"/>
        </w:rPr>
        <w:t>, no broker, investment banker, financial advisor or other Person is entitled to any broker’s, finder’s, financial advisor’s or other similar fee or commission in connection with the Transactions based upon arrangements made by or on behalf of Company.</w:t>
      </w:r>
    </w:p>
    <w:p>
      <w:pPr>
        <w:spacing w:after="0" w:line="129"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3.29 </w:t>
      </w:r>
      <w:r>
        <w:rPr>
          <w:rFonts w:ascii="Arial" w:cs="Arial" w:eastAsia="Arial" w:hAnsi="Arial"/>
          <w:sz w:val="14"/>
          <w:szCs w:val="14"/>
          <w:u w:val="single" w:color="auto"/>
          <w:color w:val="auto"/>
        </w:rPr>
        <w:t>Disclaimer of Other Representations and Warranties</w:t>
      </w:r>
      <w:r>
        <w:rPr>
          <w:rFonts w:ascii="Arial" w:cs="Arial" w:eastAsia="Arial" w:hAnsi="Arial"/>
          <w:sz w:val="14"/>
          <w:szCs w:val="14"/>
          <w:color w:val="auto"/>
        </w:rPr>
        <w:t xml:space="preserve">. Except for the representations and warranties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none of the Company, the Company Subsidiaries or any other Person makes any express or implied representation or warranty, either written or oral, with respect the Company or any Company Subsidiary, and the Company and the Company Subsidiaries expressly disclaim any other representations or warranties, whether made by the Company, any Company Subsidiary or any other Person (including their respective Affiliates, officers, directors, managers, employees, agents, representatives or advisors). Without limiting the generality of the foregoing, except for the representations and warranties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(as modified by the Disclosure Schedules), the Company hereby expressly disclaims any other representation, warranty, projection, forecast, statement, or information made, communicated, or furnished (orally or in writing) to Parent or its Affiliates or representatives (including any opinion, information, projection or advice that may heretofore have been or may hereafter be made available to Parent or its Affiliates or representatives, whether in any “data rooms,” “management presentations,” or “break-out sessions”, in response to questions submitted by or on behalf of Parent or otherwise by any director, manager, officer, employee, agent, advisor, consultant, or representative of the Company or any of their respective Affiliates).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AND WARRANTIES OF PARENT AND MERGER SUB</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Except as disclosed in the Parent SEC Documents, filed with or furnished to the SEC prior to the date of this Agreement (other than any risk factor disclosures or other similar cautionary or predictive statements therein), Parent and Merger Sub, jointly and severally, represent and warrant to the Company that each of the following representations and warranties are true, correct and complete as of the date of this Agreement and as of the Closing Date:</w:t>
      </w:r>
    </w:p>
    <w:p>
      <w:pPr>
        <w:spacing w:after="0" w:line="162"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Organization, Qualification and Standing</w:t>
      </w:r>
      <w:r>
        <w:rPr>
          <w:rFonts w:ascii="Arial" w:cs="Arial" w:eastAsia="Arial" w:hAnsi="Arial"/>
          <w:sz w:val="14"/>
          <w:szCs w:val="14"/>
          <w:color w:val="auto"/>
        </w:rPr>
        <w:t>. Each of Parent and Merger Sub are duly incorporated, validly existing and in good standing under the Laws of the State of Delaware and each is qualified to do business and in good standing in every jurisdiction in which its operations require it to be so qualified. The Organizational Documents of each of Parent and Merger Sub are in full force and effect. Neither Parent nor Merger Sub is not in violation of its Organizational Documents.</w:t>
      </w:r>
    </w:p>
    <w:p>
      <w:pPr>
        <w:spacing w:after="0" w:line="127"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Authority; Enforceability</w:t>
      </w:r>
      <w:r>
        <w:rPr>
          <w:rFonts w:ascii="Arial" w:cs="Arial" w:eastAsia="Arial" w:hAnsi="Arial"/>
          <w:sz w:val="15"/>
          <w:szCs w:val="15"/>
          <w:color w:val="auto"/>
        </w:rPr>
        <w:t>. Each of Parent and Merger Sub has all necessary corporate power and authority to execute and deliver this Agreement and the other Transaction Documents to which it is a party and to perform their respective obligations hereunder and to consummate the Transactions. The execution, delivery and performance by Parent and Merger Sub of this Agreement and the other Transaction Documents to which either is a party, and the consummation by Parent and Merger Sub of the Transactions, has been duly authorized and approved by their respective boards of directors and no other corporate action on the part of Parent or Merger Sub is necessary to authorize the execution, delivery and performance by Parent or Merger Sub of this Agreement, the other Transaction Documents to which either is a party, and the consummation by them of the Transactions. This Agreement and the other Transaction Documents to which either is a party have been duly executed and delivered by Parent and Merger Sub and, assuming due authorization, execution and delivery hereof by the Company, constitutes a legal, valid and binding obligation of Parent and Merger Sub, enforceable against each of them in accordance with its terms, subject to the effect of any applicable bankruptcy, reorganization, insolvency, moratorium, or similar Law affecting creditors’ rights generally and subject, as to enforceability, to the effect of general principles of equity (regardless of whether such enforceability is considered in a proceeding in equity or at Law).</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3" w:name="page44"/>
    <w:bookmarkEnd w:id="43"/>
    <w:p>
      <w:pPr>
        <w:jc w:val="both"/>
        <w:ind w:left="4" w:firstLine="574"/>
        <w:spacing w:after="0" w:line="289"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Non-contravention</w:t>
      </w:r>
      <w:r>
        <w:rPr>
          <w:rFonts w:ascii="Arial" w:cs="Arial" w:eastAsia="Arial" w:hAnsi="Arial"/>
          <w:sz w:val="14"/>
          <w:szCs w:val="14"/>
          <w:color w:val="auto"/>
        </w:rPr>
        <w:t xml:space="preserve">. Neither the execution and delivery of this Agreement or the other Transaction Documents to which either is a party by Parent or Merger Sub, nor the consummation by Parent and Merger Sub of the Transactions, nor compliance by Parent or Merger Sub with any of the terms or provisions hereof, will (a) conflict with or violate any provision of the Organizational Documents of Parent or Merger Sub or (b) assuming that the authorizations, consents and approvals referred to in Section 4.7 are obtained and the filings referred to in </w:t>
      </w:r>
      <w:r>
        <w:rPr>
          <w:rFonts w:ascii="Arial" w:cs="Arial" w:eastAsia="Arial" w:hAnsi="Arial"/>
          <w:sz w:val="14"/>
          <w:szCs w:val="14"/>
          <w:u w:val="single" w:color="auto"/>
          <w:color w:val="auto"/>
        </w:rPr>
        <w:t>Section 4.7</w:t>
      </w:r>
      <w:r>
        <w:rPr>
          <w:rFonts w:ascii="Arial" w:cs="Arial" w:eastAsia="Arial" w:hAnsi="Arial"/>
          <w:sz w:val="14"/>
          <w:szCs w:val="14"/>
          <w:color w:val="auto"/>
        </w:rPr>
        <w:t xml:space="preserve"> are made, (i) violate any Law applicable to Parent or Merger Sub or any of their respective properties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4552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jc w:val="both"/>
        <w:ind w:left="4" w:hanging="4"/>
        <w:spacing w:after="0" w:line="251" w:lineRule="auto"/>
        <w:tabs>
          <w:tab w:leader="none" w:pos="2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Merger Sub under, any of the terms, conditions or provisions of any contract or other agreement to which Parent or Merger Sub is a party, or by which they or any of their respective properties or assets may be bound or affected except, in the case of clause (ii), for such violations, conflicts, Losses, defaults, terminations, cancellations, accelerations or Liens as, individually or in the aggregate, would not reasonably be expected to prevent or materially impair the ability of Parent or Merger Sub to consummate the Transactions.</w:t>
      </w:r>
    </w:p>
    <w:p>
      <w:pPr>
        <w:spacing w:after="0" w:line="171" w:lineRule="exact"/>
        <w:rPr>
          <w:sz w:val="20"/>
          <w:szCs w:val="20"/>
          <w:color w:val="auto"/>
        </w:rPr>
      </w:pPr>
    </w:p>
    <w:p>
      <w:pPr>
        <w:jc w:val="both"/>
        <w:ind w:left="4" w:right="20" w:firstLine="574"/>
        <w:spacing w:after="0" w:line="306" w:lineRule="auto"/>
        <w:rPr>
          <w:sz w:val="20"/>
          <w:szCs w:val="20"/>
          <w:color w:val="auto"/>
        </w:rPr>
      </w:pPr>
      <w:r>
        <w:rPr>
          <w:rFonts w:ascii="Arial" w:cs="Arial" w:eastAsia="Arial" w:hAnsi="Arial"/>
          <w:sz w:val="14"/>
          <w:szCs w:val="14"/>
          <w:color w:val="auto"/>
        </w:rPr>
        <w:t xml:space="preserve">Section 4.4 </w:t>
      </w:r>
      <w:r>
        <w:rPr>
          <w:rFonts w:ascii="Arial" w:cs="Arial" w:eastAsia="Arial" w:hAnsi="Arial"/>
          <w:sz w:val="14"/>
          <w:szCs w:val="14"/>
          <w:u w:val="single" w:color="auto"/>
          <w:color w:val="auto"/>
        </w:rPr>
        <w:t>Brokers and Other Advisors</w:t>
      </w:r>
      <w:r>
        <w:rPr>
          <w:rFonts w:ascii="Arial" w:cs="Arial" w:eastAsia="Arial" w:hAnsi="Arial"/>
          <w:sz w:val="14"/>
          <w:szCs w:val="14"/>
          <w:color w:val="auto"/>
        </w:rPr>
        <w:t>. Except for the deferred underwriting commissions in the amount of $5,836,250, in the aggregate, payable to SVB Leerink LLC (“</w:t>
      </w:r>
      <w:r>
        <w:rPr>
          <w:rFonts w:ascii="Arial" w:cs="Arial" w:eastAsia="Arial" w:hAnsi="Arial"/>
          <w:sz w:val="14"/>
          <w:szCs w:val="14"/>
          <w:u w:val="single" w:color="auto"/>
          <w:color w:val="auto"/>
        </w:rPr>
        <w:t>SVB Leerink</w:t>
      </w:r>
      <w:r>
        <w:rPr>
          <w:rFonts w:ascii="Arial" w:cs="Arial" w:eastAsia="Arial" w:hAnsi="Arial"/>
          <w:sz w:val="14"/>
          <w:szCs w:val="14"/>
          <w:color w:val="auto"/>
        </w:rPr>
        <w:t>”) and Goldman Sachs &amp; Co. (“</w:t>
      </w:r>
      <w:r>
        <w:rPr>
          <w:rFonts w:ascii="Arial" w:cs="Arial" w:eastAsia="Arial" w:hAnsi="Arial"/>
          <w:sz w:val="14"/>
          <w:szCs w:val="14"/>
          <w:u w:val="single" w:color="auto"/>
          <w:color w:val="auto"/>
        </w:rPr>
        <w:t>Goldman Sachs</w:t>
      </w:r>
      <w:r>
        <w:rPr>
          <w:rFonts w:ascii="Arial" w:cs="Arial" w:eastAsia="Arial" w:hAnsi="Arial"/>
          <w:sz w:val="14"/>
          <w:szCs w:val="14"/>
          <w:color w:val="auto"/>
        </w:rPr>
        <w:t>”), as described in the Parent SEC Documents (the “</w:t>
      </w:r>
      <w:r>
        <w:rPr>
          <w:rFonts w:ascii="Arial" w:cs="Arial" w:eastAsia="Arial" w:hAnsi="Arial"/>
          <w:sz w:val="14"/>
          <w:szCs w:val="14"/>
          <w:u w:val="single" w:color="auto"/>
          <w:color w:val="auto"/>
        </w:rPr>
        <w:t>Business Combination Fees</w:t>
      </w:r>
      <w:r>
        <w:rPr>
          <w:rFonts w:ascii="Arial" w:cs="Arial" w:eastAsia="Arial" w:hAnsi="Arial"/>
          <w:sz w:val="14"/>
          <w:szCs w:val="14"/>
          <w:color w:val="auto"/>
        </w:rPr>
        <w:t>”), there is no investment banker, broker, finder or other intermediary which has been retained by or is authorized to act on behalf of the Parent or its Affiliates who might be entitled to any fee or commission from the Parent or any of its Affiliates upon consummation of the transactions contemplated by this Agreement or any of the Transaction Documents.</w:t>
      </w:r>
    </w:p>
    <w:p>
      <w:pPr>
        <w:spacing w:after="0" w:line="13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70" w:lineRule="auto"/>
        <w:tabs>
          <w:tab w:leader="none" w:pos="1376"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The authorized share capital of Parent consists of 30,000,000 shares of Parent Common Stock, of which 21,377,250 shares of Parent Common Stock are issued and outstanding as of the date hereof and 1,000,000 shares of Parent Preferred Stock, of which none are issued and outstanding as of the date hereof. All outstanding shares of Parent Common Stock are duly authorized, validly issued, fully paid and nonassessable and not subject to or issued in violation of any purchase option, right of first refusal, preemptive right, subscription right or any similar right under any provision of Delaware Law, Parent’s Organizational Documents or any contract to which Parent is a party or by which Parent is bound. Except as set forth in Parent’s Organizational Documents, there are no outstanding contractual obligations of Parent to repurchase, redeem or otherwise acquire any Parent Common Stock or any capital equity of Parent. Other than as set forth in the Parent SEC Documents, and any promissory notes that may be issued by the Sponsor to the Parent for working capital purposes that are set forth on </w:t>
      </w:r>
      <w:r>
        <w:rPr>
          <w:rFonts w:ascii="Arial" w:cs="Arial" w:eastAsia="Arial" w:hAnsi="Arial"/>
          <w:sz w:val="15"/>
          <w:szCs w:val="15"/>
          <w:u w:val="single" w:color="auto"/>
          <w:color w:val="auto"/>
        </w:rPr>
        <w:t>Schedule 4.5</w:t>
      </w:r>
      <w:r>
        <w:rPr>
          <w:rFonts w:ascii="Arial" w:cs="Arial" w:eastAsia="Arial" w:hAnsi="Arial"/>
          <w:sz w:val="15"/>
          <w:szCs w:val="15"/>
          <w:color w:val="auto"/>
        </w:rPr>
        <w:t xml:space="preserve"> there are no outstanding or authorized options, warrants, convertible securities or other rights, agreements, arrangements or commitments of any character relating to the capital stock of the Parent or obligating Parent to issue or sell any shares of capital stock of, or any other interest in, Parent. Parent does not have outstanding or authorized any stock appreciation, phantom stock, profit participation or similar rights. Except as set forth in the Parent SEC Documents, there are no voting trusts, stockholder agreements, proxies or other agreements or understandings in effect with respect to the voting or transfer of any of the shares of Parent Common Stock. There are no outstanding contractual obligations of the Parent to provide funds to, or make any investment (in the form of a loan, capital contribution or otherwise) in, any other Person.</w:t>
      </w:r>
    </w:p>
    <w:p>
      <w:pPr>
        <w:spacing w:after="0" w:line="2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44" w:name="page45"/>
    <w:bookmarkEnd w:id="44"/>
    <w:p>
      <w:pPr>
        <w:ind w:left="1140"/>
        <w:spacing w:after="0"/>
        <w:rPr>
          <w:sz w:val="20"/>
          <w:szCs w:val="20"/>
          <w:color w:val="auto"/>
        </w:rPr>
      </w:pPr>
      <w:r>
        <w:rPr>
          <w:rFonts w:ascii="Arial" w:cs="Arial" w:eastAsia="Arial" w:hAnsi="Arial"/>
          <w:sz w:val="14"/>
          <w:szCs w:val="14"/>
          <w:color w:val="auto"/>
        </w:rPr>
        <w:t>(b) Other than Merger Sub, Parent does not directly or indirectly own, or hold any rights to acquire, any capital stock or any other securities or interests in any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other Person.</w:t>
      </w:r>
    </w:p>
    <w:p>
      <w:pPr>
        <w:spacing w:after="0" w:line="18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Merger Consideration, when issued in accordance with this Agreement, will be duly authorized and validly issued, fully paid and nonassessable.</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Consents; Required Approvals</w:t>
      </w:r>
      <w:r>
        <w:rPr>
          <w:rFonts w:ascii="Arial" w:cs="Arial" w:eastAsia="Arial" w:hAnsi="Arial"/>
          <w:sz w:val="16"/>
          <w:szCs w:val="16"/>
          <w:color w:val="auto"/>
        </w:rPr>
        <w:t xml:space="preserve">. Assuming the truth and accuracy of the Company’s representations and warranties contained in </w:t>
      </w:r>
      <w:r>
        <w:rPr>
          <w:rFonts w:ascii="Arial" w:cs="Arial" w:eastAsia="Arial" w:hAnsi="Arial"/>
          <w:sz w:val="16"/>
          <w:szCs w:val="16"/>
          <w:u w:val="single" w:color="auto"/>
          <w:color w:val="auto"/>
        </w:rPr>
        <w:t>Section 3.3</w:t>
      </w:r>
      <w:r>
        <w:rPr>
          <w:rFonts w:ascii="Arial" w:cs="Arial" w:eastAsia="Arial" w:hAnsi="Arial"/>
          <w:sz w:val="16"/>
          <w:szCs w:val="16"/>
          <w:color w:val="auto"/>
        </w:rPr>
        <w:t>, no notices to, filings with, or authorizations, consents or approvals of any Governmental Authority are necessary for the execution, delivery or performance of this Agreement, the other Transaction Documents to which either is a party or the consummation by Parent and/or Merger Sub of the Transactions, except for (a) the filing of the Certificate of Merger with the Secretary of State of the State of Delaware by the Company, and (b) the HSR Filing.</w:t>
      </w:r>
    </w:p>
    <w:p>
      <w:pPr>
        <w:spacing w:after="0" w:line="165"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Section 4.8 </w:t>
      </w:r>
      <w:r>
        <w:rPr>
          <w:rFonts w:ascii="Arial" w:cs="Arial" w:eastAsia="Arial" w:hAnsi="Arial"/>
          <w:sz w:val="14"/>
          <w:szCs w:val="14"/>
          <w:u w:val="single" w:color="auto"/>
          <w:color w:val="auto"/>
        </w:rPr>
        <w:t>Trust Account</w:t>
      </w:r>
      <w:r>
        <w:rPr>
          <w:rFonts w:ascii="Arial" w:cs="Arial" w:eastAsia="Arial" w:hAnsi="Arial"/>
          <w:sz w:val="14"/>
          <w:szCs w:val="14"/>
          <w:color w:val="auto"/>
        </w:rPr>
        <w:t>. As of March 31, 2021, Parent has $166,809,388.80 in the trust account established by Parent for the benefit of its Parent Public Stockholders at Morgan Stanley Smith Barney LLC (the “</w:t>
      </w:r>
      <w:r>
        <w:rPr>
          <w:rFonts w:ascii="Arial" w:cs="Arial" w:eastAsia="Arial" w:hAnsi="Arial"/>
          <w:sz w:val="14"/>
          <w:szCs w:val="14"/>
          <w:u w:val="single" w:color="auto"/>
          <w:color w:val="auto"/>
        </w:rPr>
        <w:t>Trust Account</w:t>
      </w:r>
      <w:r>
        <w:rPr>
          <w:rFonts w:ascii="Arial" w:cs="Arial" w:eastAsia="Arial" w:hAnsi="Arial"/>
          <w:sz w:val="14"/>
          <w:szCs w:val="14"/>
          <w:color w:val="auto"/>
        </w:rPr>
        <w:t>”), and such monies are invested in “government securities” (as such term is defined in the Investment Company Act of 1940, as amended) and held in trust by Continental pursuant to the Investment Management Trust Agreement, dated as of September 2, 2020, between the Parent and Continental (the “</w:t>
      </w:r>
      <w:r>
        <w:rPr>
          <w:rFonts w:ascii="Arial" w:cs="Arial" w:eastAsia="Arial" w:hAnsi="Arial"/>
          <w:sz w:val="14"/>
          <w:szCs w:val="14"/>
          <w:u w:val="single" w:color="auto"/>
          <w:color w:val="auto"/>
        </w:rPr>
        <w:t>Trust Agreement</w:t>
      </w:r>
      <w:r>
        <w:rPr>
          <w:rFonts w:ascii="Arial" w:cs="Arial" w:eastAsia="Arial" w:hAnsi="Arial"/>
          <w:sz w:val="14"/>
          <w:szCs w:val="14"/>
          <w:color w:val="auto"/>
        </w:rPr>
        <w:t>”). The Trust Agreement is valid and in full force and effect and enforceable in accordance with its terms and has not been amended or modified. Parent has complied in all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by Continental. There are no separate agreements, side letters or other agreements or understandings (whether written or unwritten, express or implied) that would cause the description of the Trust Agreement in the Parent SEC Documents to be inaccurate in any material respect and/or that would entitle any Person (other than the payment of the Business Combination Fees payable to SVB Leerink and Goldman Sachs, for deferred underwriting commissions as described in the Parent SEC Documents and the Parent Public Stockholders who elect to redeem their shares of Parent Common Stock pursuant to Parent’s Certificate of Incorporation), to any portion of the proceeds in the Trust Account. Prior to the Closing, none of the funds held in the Trust Account may be released except (x) to pay income and other tax obligations from any interest income earned in the Trust Account or (y) to redeem Parent Common Stock in accordance with the provisions of the Parent’s Organizational Documents.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than any officers as described in the Parent SEC Documents and consultants and advisors in the Ordinary Course, Parent and Merger Sub have never employed any employees or retained any contractors.</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79"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than reimbursement of any out-of-pocket expenses incurred by Parent’s officers and directors in connection with activities on Parent’s behalf in an aggregate amount not in excess of the amount of cash held by Parent outside of the Trust Account, neither Parent nor Merger Sub has any unsatisfied material Liability with respect to any officer or director.</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86" w:val="left"/>
        </w:tabs>
        <w:numPr>
          <w:ilvl w:val="0"/>
          <w:numId w:val="47"/>
        </w:numPr>
        <w:rPr>
          <w:rFonts w:ascii="Arial" w:cs="Arial" w:eastAsia="Arial" w:hAnsi="Arial"/>
          <w:sz w:val="16"/>
          <w:szCs w:val="16"/>
          <w:color w:val="auto"/>
        </w:rPr>
      </w:pPr>
      <w:r>
        <w:rPr>
          <w:rFonts w:ascii="Arial" w:cs="Arial" w:eastAsia="Arial" w:hAnsi="Arial"/>
          <w:sz w:val="16"/>
          <w:szCs w:val="16"/>
          <w:color w:val="auto"/>
        </w:rPr>
        <w:t>Parent and Merger Sub have never, and do not currently, maintain, sponsor, or contribute to or have any Liability pursuant to any plan, program or arrangement that would fall under the definition of “Benefit Arrangement” determined as if such definition referenced Parent instead of the Company (“</w:t>
      </w:r>
      <w:r>
        <w:rPr>
          <w:rFonts w:ascii="Arial" w:cs="Arial" w:eastAsia="Arial" w:hAnsi="Arial"/>
          <w:sz w:val="16"/>
          <w:szCs w:val="16"/>
          <w:u w:val="single" w:color="auto"/>
          <w:color w:val="auto"/>
        </w:rPr>
        <w:t>Parent 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Arrangement</w:t>
      </w:r>
      <w:r>
        <w:rPr>
          <w:rFonts w:ascii="Arial" w:cs="Arial" w:eastAsia="Arial" w:hAnsi="Arial"/>
          <w:sz w:val="16"/>
          <w:szCs w:val="16"/>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5" w:name="page46"/>
    <w:bookmarkEnd w:id="45"/>
    <w:p>
      <w:pPr>
        <w:ind w:left="560"/>
        <w:spacing w:after="0"/>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any reference to “Parent” shall also include Merger Sub.</w:t>
      </w:r>
    </w:p>
    <w:p>
      <w:pPr>
        <w:spacing w:after="0" w:line="198" w:lineRule="exact"/>
        <w:rPr>
          <w:sz w:val="20"/>
          <w:szCs w:val="20"/>
          <w:color w:val="auto"/>
        </w:rPr>
      </w:pPr>
    </w:p>
    <w:p>
      <w:pPr>
        <w:jc w:val="both"/>
        <w:ind w:firstLine="1143"/>
        <w:spacing w:after="0" w:line="317" w:lineRule="auto"/>
        <w:tabs>
          <w:tab w:leader="none" w:pos="1371" w:val="left"/>
        </w:tabs>
        <w:numPr>
          <w:ilvl w:val="0"/>
          <w:numId w:val="48"/>
        </w:numPr>
        <w:rPr>
          <w:rFonts w:ascii="Arial" w:cs="Arial" w:eastAsia="Arial" w:hAnsi="Arial"/>
          <w:sz w:val="14"/>
          <w:szCs w:val="14"/>
          <w:color w:val="auto"/>
        </w:rPr>
      </w:pPr>
      <w:r>
        <w:rPr>
          <w:rFonts w:ascii="Arial" w:cs="Arial" w:eastAsia="Arial" w:hAnsi="Arial"/>
          <w:sz w:val="14"/>
          <w:szCs w:val="14"/>
          <w:color w:val="auto"/>
        </w:rPr>
        <w:t>Parent has filed (taking into account all applicable extensions) when due all income or other material Tax Returns required by applicable Law to be filed by Parent, all material Taxes (whether or not shown on any Tax Returns) due and owing by Parent have been paid, other than Taxes being contested in good faith and for which adequate reserves have been established in accordance with GAAP, and all such Tax Returns were complete and correct in all material respects as of the time of such filing.</w:t>
      </w:r>
    </w:p>
    <w:p>
      <w:pPr>
        <w:spacing w:after="0" w:line="126" w:lineRule="exact"/>
        <w:rPr>
          <w:rFonts w:ascii="Arial" w:cs="Arial" w:eastAsia="Arial" w:hAnsi="Arial"/>
          <w:sz w:val="14"/>
          <w:szCs w:val="14"/>
          <w:color w:val="auto"/>
        </w:rPr>
      </w:pPr>
    </w:p>
    <w:p>
      <w:pPr>
        <w:ind w:firstLine="1143"/>
        <w:spacing w:after="0" w:line="275" w:lineRule="auto"/>
        <w:tabs>
          <w:tab w:leader="none" w:pos="13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is no material Proceeding, audit or claim now in progress against Parent in respect of any Tax, nor has any Proceeding for additional Tax been asserted in writing by any Governmental Authority that has not been resolved or settled in full.</w:t>
      </w:r>
    </w:p>
    <w:p>
      <w:pPr>
        <w:spacing w:after="0" w:line="151"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written claim has been made by any Governmental Authority in a jurisdiction where Parent has not filed a Tax Return that it is or may be subject to Tax by such jurisdiction, nor is any such assertion, to the Knowledge of the Parent, threatened.</w:t>
      </w:r>
    </w:p>
    <w:p>
      <w:pPr>
        <w:spacing w:after="0" w:line="151" w:lineRule="exact"/>
        <w:rPr>
          <w:rFonts w:ascii="Arial" w:cs="Arial" w:eastAsia="Arial" w:hAnsi="Arial"/>
          <w:sz w:val="16"/>
          <w:szCs w:val="16"/>
          <w:color w:val="auto"/>
        </w:rPr>
      </w:pPr>
    </w:p>
    <w:p>
      <w:pPr>
        <w:ind w:firstLine="1143"/>
        <w:spacing w:after="0" w:line="275" w:lineRule="auto"/>
        <w:tabs>
          <w:tab w:leader="none" w:pos="13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is not a party to any Tax sharing agreement, Tax indemnification agreement, Tax allocation agreement or similar agreement (other than Contracts entered into in the Ordinary Course and not relating primarily to Taxes).</w:t>
      </w:r>
    </w:p>
    <w:p>
      <w:pPr>
        <w:spacing w:after="0" w:line="151" w:lineRule="exact"/>
        <w:rPr>
          <w:rFonts w:ascii="Arial" w:cs="Arial" w:eastAsia="Arial" w:hAnsi="Arial"/>
          <w:sz w:val="16"/>
          <w:szCs w:val="16"/>
          <w:color w:val="auto"/>
        </w:rPr>
      </w:pPr>
    </w:p>
    <w:p>
      <w:pPr>
        <w:ind w:right="20" w:firstLine="1143"/>
        <w:spacing w:after="0" w:line="275" w:lineRule="auto"/>
        <w:tabs>
          <w:tab w:leader="none" w:pos="139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withheld and paid all material Taxes required to be withheld in connection with any amounts paid or owing to any employee, creditor, independent contractor or other third party.</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5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is no outstanding request for any extension of time within which to pay any material Taxes or file any material Tax Returns (other than extensions requested in the Ordinary Course), and there has been no waiver or extension of any applicable statute of limitations for the assessment or collection of any material Taxes of Parent that will remain outstanding as of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not distributed the stock of another Person, or had its stock distributed by another Person, in a transaction that was purported or intended to be governed in whole or in part by Section 355 or Section 361 of the Code.</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are no Liens for Taxes upon any Assets of Parent other than Permitted Liens.</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not been a party to or bound by any closing agreement, private letter rulings, technical advice memoranda, offer in compromise, or any similar agreement with any Governmental Authority in respect of which Parent could have any material Tax Liability after the Closing. Parent does not have any request for a ruling in respect of Taxes pending between Parent and any Governmental Authority.</w:t>
      </w:r>
    </w:p>
    <w:p>
      <w:pPr>
        <w:spacing w:after="0" w:line="162" w:lineRule="exact"/>
        <w:rPr>
          <w:rFonts w:ascii="Arial" w:cs="Arial" w:eastAsia="Arial" w:hAnsi="Arial"/>
          <w:sz w:val="16"/>
          <w:szCs w:val="16"/>
          <w:color w:val="auto"/>
        </w:rPr>
      </w:pPr>
    </w:p>
    <w:p>
      <w:pPr>
        <w:jc w:val="both"/>
        <w:ind w:right="20" w:firstLine="1143"/>
        <w:spacing w:after="0" w:line="258" w:lineRule="auto"/>
        <w:tabs>
          <w:tab w:leader="none" w:pos="13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(i) has not been a member of an affiliated group filing a consolidated U.S. federal income Tax Return or other comparable group for state, local or foreign Tax purposes and (ii) has no Liability for the Taxes of any Person (other than Parent) under Treasury Regulations Section 1.1502-6 (or any similar provision of state, local, or foreign law), as a transferee or successor, by Contract (other than Contracts entered into in the Ordinary Course and not relating primarily to Taxes), or otherwise by Law.</w:t>
      </w:r>
    </w:p>
    <w:p>
      <w:pPr>
        <w:spacing w:after="0" w:line="164" w:lineRule="exact"/>
        <w:rPr>
          <w:rFonts w:ascii="Arial" w:cs="Arial" w:eastAsia="Arial" w:hAnsi="Arial"/>
          <w:sz w:val="16"/>
          <w:szCs w:val="16"/>
          <w:color w:val="auto"/>
        </w:rPr>
      </w:pPr>
    </w:p>
    <w:p>
      <w:pPr>
        <w:ind w:left="1360" w:hanging="217"/>
        <w:spacing w:after="0"/>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not participated in a “listed transaction” required to be disclosed pursuant to Treasury Regulations Section 1.6011-4(b).</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6" w:name="page47"/>
    <w:bookmarkEnd w:id="46"/>
    <w:p>
      <w:pPr>
        <w:jc w:val="both"/>
        <w:ind w:right="20" w:firstLine="1143"/>
        <w:spacing w:after="0" w:line="254" w:lineRule="auto"/>
        <w:tabs>
          <w:tab w:leader="none" w:pos="13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will not be required to include any material item of income in, or exclude any material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w:t>
      </w:r>
    </w:p>
    <w:p>
      <w:pPr>
        <w:spacing w:after="0" w:line="170" w:lineRule="exact"/>
        <w:rPr>
          <w:rFonts w:ascii="Arial" w:cs="Arial" w:eastAsia="Arial" w:hAnsi="Arial"/>
          <w:sz w:val="16"/>
          <w:szCs w:val="16"/>
          <w:color w:val="auto"/>
        </w:rPr>
      </w:pPr>
    </w:p>
    <w:p>
      <w:pPr>
        <w:ind w:right="20" w:firstLine="1143"/>
        <w:spacing w:after="0" w:line="275" w:lineRule="auto"/>
        <w:tabs>
          <w:tab w:leader="none" w:pos="14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is not required to include in income any amounts determined pursuant to Section 965 of the Code, or to make any deferred payments with respect to Section 965(h) of the Code.</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has not claimed any Tax credit or deferral pursuant to a COVID-19 Law.</w:t>
      </w:r>
    </w:p>
    <w:p>
      <w:pPr>
        <w:spacing w:after="0" w:line="198" w:lineRule="exact"/>
        <w:rPr>
          <w:rFonts w:ascii="Arial" w:cs="Arial" w:eastAsia="Arial" w:hAnsi="Arial"/>
          <w:sz w:val="16"/>
          <w:szCs w:val="16"/>
          <w:color w:val="auto"/>
        </w:rPr>
      </w:pPr>
    </w:p>
    <w:p>
      <w:pPr>
        <w:ind w:right="20" w:firstLine="1143"/>
        <w:spacing w:after="0" w:line="275" w:lineRule="auto"/>
        <w:tabs>
          <w:tab w:leader="none" w:pos="1383"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is not aware of the existence of any fact, nor has taken or agreed to take any action, that would reasonably be expected to prevent or impede the Merger from qualifying for the Intended Tax Treatment.</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Listing</w:t>
      </w:r>
      <w:r>
        <w:rPr>
          <w:rFonts w:ascii="Arial" w:cs="Arial" w:eastAsia="Arial" w:hAnsi="Arial"/>
          <w:sz w:val="15"/>
          <w:szCs w:val="15"/>
          <w:color w:val="auto"/>
        </w:rPr>
        <w:t>. Parent Common Stock is listed on Nasdaq with trading ticker BCTG. There is no Proceeding pending or, to the Knowledge of Parent, threatened against Parent by Nasdaq or the SEC with respect to any intention by such entity to prohibit or terminate the listing of Parent Common Stock on Nasdaq.</w:t>
      </w:r>
    </w:p>
    <w:p>
      <w:pPr>
        <w:spacing w:after="0" w:line="12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Reporting Company</w:t>
      </w:r>
      <w:r>
        <w:rPr>
          <w:rFonts w:ascii="Arial" w:cs="Arial" w:eastAsia="Arial" w:hAnsi="Arial"/>
          <w:sz w:val="16"/>
          <w:szCs w:val="16"/>
          <w:color w:val="auto"/>
        </w:rPr>
        <w:t>. Parent is a publicly held company subject to reporting obligations pursuant to Section 13 of the Exchange Act, and the shares of Parent Common Stock are registered pursuant to Section 12(b) of the Exchange Act. There is no Proceeding pending or, to Parent’s Knowledge, threatened in writing against Parent by the SEC with respect to the deregistration of Parent Common Stock under the Exchange Act. Parent has taken no action in an attempt to terminate the registration of Parent Common Stock under the Exchange Act.</w:t>
      </w:r>
    </w:p>
    <w:p>
      <w:pPr>
        <w:spacing w:after="0" w:line="16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u w:val="single" w:color="auto"/>
          <w:color w:val="auto"/>
        </w:rPr>
        <w:t>Undisclosed Liabilities</w:t>
      </w:r>
      <w:r>
        <w:rPr>
          <w:rFonts w:ascii="Arial" w:cs="Arial" w:eastAsia="Arial" w:hAnsi="Arial"/>
          <w:sz w:val="15"/>
          <w:szCs w:val="15"/>
          <w:color w:val="auto"/>
        </w:rPr>
        <w:t>. Parent has no Liabilities (absolute, accrued, contingent or otherwise) of a nature required to be disclosed on a balance sheet or in the related notes to the Parent Financial Statements that are, individually or in the aggregate, material to the business, results of operations or financial condition of Parent, except: (a) Liabilities provided for in or otherwise disclosed in the balance sheet included in the most recent Parent Financial Statements or in the notes to the most recent Parent Financial Statements, and (b) such Liabilities arising in the ordinary course of Parent’s business since the date of the most recent Parent Financial Statement, none of which, individually or in the aggregate, would have a Parent Material Adverse Effect taken as a whole.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Parent SEC Documents and Parent Financial Statements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73" w:val="left"/>
        </w:tabs>
        <w:numPr>
          <w:ilvl w:val="0"/>
          <w:numId w:val="50"/>
        </w:numPr>
        <w:rPr>
          <w:rFonts w:ascii="Arial" w:cs="Arial" w:eastAsia="Arial" w:hAnsi="Arial"/>
          <w:sz w:val="15"/>
          <w:szCs w:val="15"/>
          <w:color w:val="auto"/>
        </w:rPr>
      </w:pPr>
      <w:r>
        <w:rPr>
          <w:rFonts w:ascii="Arial" w:cs="Arial" w:eastAsia="Arial" w:hAnsi="Arial"/>
          <w:sz w:val="15"/>
          <w:szCs w:val="15"/>
          <w:color w:val="auto"/>
        </w:rPr>
        <w:t>Parent has timely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(the “</w:t>
      </w:r>
      <w:r>
        <w:rPr>
          <w:rFonts w:ascii="Arial" w:cs="Arial" w:eastAsia="Arial" w:hAnsi="Arial"/>
          <w:sz w:val="15"/>
          <w:szCs w:val="15"/>
          <w:u w:val="single" w:color="auto"/>
          <w:color w:val="auto"/>
        </w:rPr>
        <w:t>Parent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 Documents</w:t>
      </w:r>
      <w:r>
        <w:rPr>
          <w:rFonts w:ascii="Arial" w:cs="Arial" w:eastAsia="Arial" w:hAnsi="Arial"/>
          <w:sz w:val="15"/>
          <w:szCs w:val="15"/>
          <w:color w:val="auto"/>
        </w:rPr>
        <w:t>”), and will file all such forms, reports, schedules, statements and other documents required to be filed subsequent to the date of this Agreement (the “</w:t>
      </w:r>
      <w:r>
        <w:rPr>
          <w:rFonts w:ascii="Arial" w:cs="Arial" w:eastAsia="Arial" w:hAnsi="Arial"/>
          <w:sz w:val="15"/>
          <w:szCs w:val="15"/>
          <w:u w:val="single" w:color="auto"/>
          <w:color w:val="auto"/>
        </w:rPr>
        <w:t>Additional Parent SEC Documents</w:t>
      </w:r>
      <w:r>
        <w:rPr>
          <w:rFonts w:ascii="Arial" w:cs="Arial" w:eastAsia="Arial" w:hAnsi="Arial"/>
          <w:sz w:val="15"/>
          <w:szCs w:val="15"/>
          <w:color w:val="auto"/>
        </w:rPr>
        <w:t xml:space="preserve">”). Parent has heretofore furnished to the Company true and correct copies of all amendments and modification that have not been filed by Parent with the SEC to all agreements, documents and other instruments that previously had been filed by Parent with the SEC and are currently in effect. 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As used in this </w:t>
      </w:r>
      <w:r>
        <w:rPr>
          <w:rFonts w:ascii="Arial" w:cs="Arial" w:eastAsia="Arial" w:hAnsi="Arial"/>
          <w:sz w:val="15"/>
          <w:szCs w:val="15"/>
          <w:u w:val="single" w:color="auto"/>
          <w:color w:val="auto"/>
        </w:rPr>
        <w:t>Section 4.14</w:t>
      </w:r>
      <w:r>
        <w:rPr>
          <w:rFonts w:ascii="Arial" w:cs="Arial" w:eastAsia="Arial" w:hAnsi="Arial"/>
          <w:sz w:val="15"/>
          <w:szCs w:val="15"/>
          <w:color w:val="auto"/>
        </w:rPr>
        <w:t>, the term “file” shall be broadly construed to include any manner in which a document or information is furnished, supplied or otherwise made available to the SEC.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7" w:name="page48"/>
    <w:bookmarkEnd w:id="47"/>
    <w:p>
      <w:pPr>
        <w:jc w:val="both"/>
        <w:ind w:right="20" w:firstLine="1143"/>
        <w:spacing w:after="0" w:line="258" w:lineRule="auto"/>
        <w:tabs>
          <w:tab w:leader="none" w:pos="13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the financial statements (including, in each case, any notes thereto) contained or incorporated by reference in the Parent SEC Documents and Additional Parent SEC Documents is in conformity with GAAP (applied on a consistent 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164" w:lineRule="exact"/>
        <w:rPr>
          <w:rFonts w:ascii="Arial" w:cs="Arial" w:eastAsia="Arial" w:hAnsi="Arial"/>
          <w:sz w:val="16"/>
          <w:szCs w:val="16"/>
          <w:color w:val="auto"/>
        </w:rPr>
      </w:pPr>
    </w:p>
    <w:p>
      <w:pPr>
        <w:ind w:right="20" w:firstLine="1143"/>
        <w:spacing w:after="0" w:line="349" w:lineRule="auto"/>
        <w:tabs>
          <w:tab w:leader="none" w:pos="1366"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Parent has timely filed all certifications and statements required by (x) Rule 13a-14 or Rule 15d-14 under the Exchange Act or (y) 18 U.S.C. Section 1350 (Section 906 of the Sarbanes-Oxley Act of 2002) with respect to any Parent SEC Document (the “</w:t>
      </w:r>
      <w:r>
        <w:rPr>
          <w:rFonts w:ascii="Arial" w:cs="Arial" w:eastAsia="Arial" w:hAnsi="Arial"/>
          <w:sz w:val="14"/>
          <w:szCs w:val="14"/>
          <w:u w:val="single" w:color="auto"/>
          <w:color w:val="auto"/>
        </w:rPr>
        <w:t>Parent Certifications</w:t>
      </w:r>
      <w:r>
        <w:rPr>
          <w:rFonts w:ascii="Arial" w:cs="Arial" w:eastAsia="Arial" w:hAnsi="Arial"/>
          <w:sz w:val="14"/>
          <w:szCs w:val="14"/>
          <w:color w:val="auto"/>
        </w:rPr>
        <w:t>”). Each of the Parent Certifications is true and correct.</w:t>
      </w:r>
    </w:p>
    <w:p>
      <w:pPr>
        <w:spacing w:after="0" w:line="105" w:lineRule="exact"/>
        <w:rPr>
          <w:rFonts w:ascii="Arial" w:cs="Arial" w:eastAsia="Arial" w:hAnsi="Arial"/>
          <w:sz w:val="14"/>
          <w:szCs w:val="14"/>
          <w:color w:val="auto"/>
        </w:rPr>
      </w:pPr>
    </w:p>
    <w:p>
      <w:pPr>
        <w:jc w:val="both"/>
        <w:ind w:firstLine="1143"/>
        <w:spacing w:after="0" w:line="276" w:lineRule="auto"/>
        <w:tabs>
          <w:tab w:leader="none" w:pos="1383" w:val="left"/>
        </w:tabs>
        <w:numPr>
          <w:ilvl w:val="0"/>
          <w:numId w:val="51"/>
        </w:numPr>
        <w:rPr>
          <w:rFonts w:ascii="Arial" w:cs="Arial" w:eastAsia="Arial" w:hAnsi="Arial"/>
          <w:sz w:val="15"/>
          <w:szCs w:val="15"/>
          <w:color w:val="auto"/>
        </w:rPr>
      </w:pPr>
      <w:r>
        <w:rPr>
          <w:rFonts w:ascii="Arial" w:cs="Arial" w:eastAsia="Arial" w:hAnsi="Arial"/>
          <w:sz w:val="15"/>
          <w:szCs w:val="15"/>
          <w:color w:val="auto"/>
        </w:rPr>
        <w:t>Parent maintains disclosure controls and procedures required by Rule 13a-15 or Rule 15d-15 under the Exchange Act; such controls and procedures are reasonably designed to ensure that all material information concerning Parent and other material information required to be disclosed by Parent in the reports and other documents that it files or furnishes under the Exchange Act is made known on a timely basis to the individuals responsible for the preparation of Parent’s SEC filings and other public disclosure documents. Such disclosure controls and procedures are effective in timely alerting Parent’s principal executive officer and principal financial officer to material information required to be included in Parent’s periodic reports required under the Exchange Act.</w:t>
      </w:r>
    </w:p>
    <w:p>
      <w:pPr>
        <w:spacing w:after="0" w:line="155" w:lineRule="exact"/>
        <w:rPr>
          <w:rFonts w:ascii="Arial" w:cs="Arial" w:eastAsia="Arial" w:hAnsi="Arial"/>
          <w:sz w:val="15"/>
          <w:szCs w:val="15"/>
          <w:color w:val="auto"/>
        </w:rPr>
      </w:pPr>
    </w:p>
    <w:p>
      <w:pPr>
        <w:jc w:val="both"/>
        <w:ind w:firstLine="1143"/>
        <w:spacing w:after="0" w:line="293" w:lineRule="auto"/>
        <w:tabs>
          <w:tab w:leader="none" w:pos="1369"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Parent maintains a standard system of accounting established and administered in accordance with GAAP. Parent has designed and maintains a system of internal controls over financial reporting, as defined in Rules 13a-15(f) and 15d-15(f) of the Exchange Act, sufficient to provide reasonable assurances regarding the reliability of financial reporting and the preparation of financial statements for external purposes in accordance with GAAP. Parent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Parent has delivered to the Company, to the extent applicable, a true and complete copy of any disclosure (or, if unwritten, a summary thereof) by any representative of Parent to Parent’s independent auditors relating to any material weaknesses in internal controls and any significant deficiencies in the design or operation of internal controls that would adversely affect the ability of Parent to record, process, summarize and report financial data.</w:t>
      </w:r>
    </w:p>
    <w:p>
      <w:pPr>
        <w:spacing w:after="0" w:line="143" w:lineRule="exact"/>
        <w:rPr>
          <w:rFonts w:ascii="Arial" w:cs="Arial" w:eastAsia="Arial" w:hAnsi="Arial"/>
          <w:sz w:val="14"/>
          <w:szCs w:val="14"/>
          <w:color w:val="auto"/>
        </w:rPr>
      </w:pPr>
    </w:p>
    <w:p>
      <w:pPr>
        <w:ind w:right="20" w:firstLine="1143"/>
        <w:spacing w:after="0" w:line="275" w:lineRule="auto"/>
        <w:tabs>
          <w:tab w:leader="none" w:pos="135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Parent has no off-balance sheet arrangements. No financial statements other than those of Parent are required by GAAP to be included in the consolidated financial statements of Parent.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8" w:name="page49"/>
    <w:bookmarkEnd w:id="48"/>
    <w:p>
      <w:pPr>
        <w:jc w:val="both"/>
        <w:ind w:firstLine="1143"/>
        <w:spacing w:after="0" w:line="295" w:lineRule="auto"/>
        <w:tabs>
          <w:tab w:leader="none" w:pos="1382"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Neither Parent nor, to the Knowledge of Parent, any manager, director, officer, employee, auditor, accountant or representative of Parent has received or otherwise had or obtained knowledge of any complaint, allegation, assertion or claim, whether written or oral, regarding the accounting or auditing practices, procedures, methodologies or methods of Parent or their respective internal accounting controls, including any complaint, allegation, assertion or claim that Parent has engaged in questionable accounting or auditing practices or fraud. No attorney representing Parent, whether or not employed by Parent, has reported evidence of a material violation of securities laws, breach of fiduciary duty or similar violation by Parent or any of its officers, directors, employees or agents to the Parent board of directors (or any committee thereof) or to any director or officer of Parent. Since Parent’s inception, there have been no internal investigations regarding accounting or revenue recognition discussed with, reviewed by or initiated at the direction of the chief executive officer, chief financial officer, general counsel, the Parent board of directors or any committee thereof.</w:t>
      </w:r>
    </w:p>
    <w:p>
      <w:pPr>
        <w:spacing w:after="0" w:line="144" w:lineRule="exact"/>
        <w:rPr>
          <w:rFonts w:ascii="Arial" w:cs="Arial" w:eastAsia="Arial" w:hAnsi="Arial"/>
          <w:sz w:val="14"/>
          <w:szCs w:val="14"/>
          <w:color w:val="auto"/>
        </w:rPr>
      </w:pPr>
    </w:p>
    <w:p>
      <w:pPr>
        <w:ind w:left="1360" w:hanging="217"/>
        <w:spacing w:after="0"/>
        <w:tabs>
          <w:tab w:leader="none" w:pos="1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Parent is in compliance in all material respects with the applicable listing and corporate governance rules and regulations of Nasdaq.</w:t>
      </w:r>
    </w:p>
    <w:p>
      <w:pPr>
        <w:spacing w:after="0" w:line="198" w:lineRule="exact"/>
        <w:rPr>
          <w:rFonts w:ascii="Arial" w:cs="Arial" w:eastAsia="Arial" w:hAnsi="Arial"/>
          <w:sz w:val="16"/>
          <w:szCs w:val="16"/>
          <w:color w:val="auto"/>
        </w:rPr>
      </w:pPr>
    </w:p>
    <w:p>
      <w:pPr>
        <w:ind w:right="20" w:firstLine="1143"/>
        <w:spacing w:after="0" w:line="275" w:lineRule="auto"/>
        <w:tabs>
          <w:tab w:leader="none" w:pos="134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There are no outstanding loans or other extensions of credit made by Parent to any executive officer (as defined in Rule 3b-7 under the Exchange Act) or director of Parent and Parent has not taken any action prohibited by Section 402 of the Sarbanes-Oxley Act.</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39"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Except as and to the extent set forth in Parent SEC Documents, neither Parent nor Merger Sub has any Liability or obligation of a nature (whether accrued, absolute, contingent or otherwise) required to be reflected on a balance sheet prepared in accordance with GAAP, except for liabilities and obligations arising in the ordinary course of Parent’s and Merger Sub’s business.</w:t>
      </w:r>
    </w:p>
    <w:p>
      <w:pPr>
        <w:spacing w:after="0" w:line="162" w:lineRule="exact"/>
        <w:rPr>
          <w:rFonts w:ascii="Arial" w:cs="Arial" w:eastAsia="Arial" w:hAnsi="Arial"/>
          <w:sz w:val="16"/>
          <w:szCs w:val="16"/>
          <w:color w:val="auto"/>
        </w:rPr>
      </w:pPr>
    </w:p>
    <w:p>
      <w:pPr>
        <w:ind w:firstLine="1143"/>
        <w:spacing w:after="0" w:line="309" w:lineRule="auto"/>
        <w:tabs>
          <w:tab w:leader="none" w:pos="1385" w:val="left"/>
        </w:tabs>
        <w:numPr>
          <w:ilvl w:val="0"/>
          <w:numId w:val="52"/>
        </w:numPr>
        <w:rPr>
          <w:rFonts w:ascii="Arial" w:cs="Arial" w:eastAsia="Arial" w:hAnsi="Arial"/>
          <w:sz w:val="15"/>
          <w:szCs w:val="15"/>
          <w:color w:val="auto"/>
        </w:rPr>
      </w:pPr>
      <w:r>
        <w:rPr>
          <w:rFonts w:ascii="Arial" w:cs="Arial" w:eastAsia="Arial" w:hAnsi="Arial"/>
          <w:sz w:val="15"/>
          <w:szCs w:val="15"/>
          <w:color w:val="auto"/>
        </w:rPr>
        <w:t>As of the date hereof, there are no outstanding SEC comments from the SEC with respect to the Parent SEC Documents. To the Knowledge of Parent, none of the Parent SEC Documents filed on or prior to the date hereof is subject to ongoing SEC review or investigation as of the date hereof.</w:t>
      </w:r>
    </w:p>
    <w:p>
      <w:pPr>
        <w:spacing w:after="0" w:line="129"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4.15 </w:t>
      </w:r>
      <w:r>
        <w:rPr>
          <w:rFonts w:ascii="Arial" w:cs="Arial" w:eastAsia="Arial" w:hAnsi="Arial"/>
          <w:sz w:val="15"/>
          <w:szCs w:val="15"/>
          <w:u w:val="single" w:color="auto"/>
          <w:color w:val="auto"/>
        </w:rPr>
        <w:t>Business Activities</w:t>
      </w:r>
      <w:r>
        <w:rPr>
          <w:rFonts w:ascii="Arial" w:cs="Arial" w:eastAsia="Arial" w:hAnsi="Arial"/>
          <w:sz w:val="15"/>
          <w:szCs w:val="15"/>
          <w:color w:val="auto"/>
        </w:rPr>
        <w:t>. Since its incorporation, Parent has not conducted any business activities other than activities directed toward completing a business combination (as defined in Parent’s Organizational Documents). Merger Sub was formed solely for the purpose of engaging in the Transactions and have not engaged in any business activities or conducted any operations or incurred any obligation or Liability, other than as contemplated by this Agreement. Except as set forth in Parent’s Organizational Documents, there is no agreement, commitment, or Order binding upon Parent or to which Parent is a party that has or would reasonably be expected to have the effect of prohibiting or impairing any business practice of Parent, any acquisition of property by Parent or the conduct of business by Parent as currently conducted or as contemplated to be conducted as of the Closing. Other than Merger Sub, Parent does not own directly or indirectly any interest or investment (whether equity or debt) in any corporation, partnership, joint venture, business, trust or other entity.</w:t>
      </w:r>
    </w:p>
    <w:p>
      <w:pPr>
        <w:spacing w:after="0" w:line="156"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Parent Contracts</w:t>
      </w:r>
      <w:r>
        <w:rPr>
          <w:rFonts w:ascii="Arial" w:cs="Arial" w:eastAsia="Arial" w:hAnsi="Arial"/>
          <w:sz w:val="16"/>
          <w:szCs w:val="16"/>
          <w:color w:val="auto"/>
        </w:rPr>
        <w:t>. Except as disclosed in the Parent SEC Documents, as of the date hereof, Parent is not party to any Contract (other than nondisclosure agreements (containing customary terms) to which Parent is a party that were entered into in the Ordinary Course).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49" w:name="page50"/>
    <w:bookmarkEnd w:id="49"/>
    <w:p>
      <w:pPr>
        <w:jc w:val="both"/>
        <w:ind w:firstLine="574"/>
        <w:spacing w:after="0" w:line="288"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u w:val="single" w:color="auto"/>
          <w:color w:val="auto"/>
        </w:rPr>
        <w:t>PIPE Financing</w:t>
      </w:r>
      <w:r>
        <w:rPr>
          <w:rFonts w:ascii="Arial" w:cs="Arial" w:eastAsia="Arial" w:hAnsi="Arial"/>
          <w:sz w:val="14"/>
          <w:szCs w:val="14"/>
          <w:color w:val="auto"/>
        </w:rPr>
        <w:t>. Parent has delivered to the Company a true, correct and complete copy of each Subscription Agreement executed on or prior to the date hereof, pursuant to which certain Persons who have committed to purchasing Parent Common Stock in connection with the Transactions prior to the Closing (each, a “</w:t>
      </w:r>
      <w:r>
        <w:rPr>
          <w:rFonts w:ascii="Arial" w:cs="Arial" w:eastAsia="Arial" w:hAnsi="Arial"/>
          <w:sz w:val="14"/>
          <w:szCs w:val="14"/>
          <w:u w:val="single" w:color="auto"/>
          <w:color w:val="auto"/>
        </w:rPr>
        <w:t>Parent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Investor</w:t>
      </w:r>
      <w:r>
        <w:rPr>
          <w:rFonts w:ascii="Arial" w:cs="Arial" w:eastAsia="Arial" w:hAnsi="Arial"/>
          <w:sz w:val="14"/>
          <w:szCs w:val="14"/>
          <w:color w:val="auto"/>
        </w:rPr>
        <w:t xml:space="preserve">”). To the Knowledge of Parent, each Subscription Agreement is in full force and effect and is legal, valid and binding upon Parent and the applicable Parent Investor, enforceable in accordance with its terms. As of the date hereof, each Subscription Agreement has not been withdrawn, terminated, amended or modified since the date of delivery hereunder and prior to the execution of this Agreement, and, to the Knowledge of Parent, as of the date of this Agreement no such withdrawal, termination, amendment or modification is contemplated, and as of the date of this Agreement the commitments contained in each Subscription Agreement have not been withdrawn, terminated or rescinded by the applicable Parent Investor in any respect. As of the date hereof, there are no side letters or Contracts to which Parent or Merger Sub is a party related to the provision or funding, as applicable, of the purchases contemplated by each Subscription Agreement or the Transactions other than as expressly set forth in this Agreement, each Subscription Agreement or any other agreement entered into (or to be entered into) in connection with the Transactions delivered to the Company. Parent has, and to the Knowledge of Parent, each Investor has, complied with all of its obligations under each Subscription Agreement. There are no conditions precedent or other contingencies related to the consummation of the purchases set forth in each Subscription Agreement, other than as expressly set forth in each Subscription Agreement. No event has occurred which, with or without notice, lapse of time or both, would or would reasonably be expected to (i) constitute a default or breach on the part of Parent or, to the Knowledge of Parent as of the date hereof, any Parent Investor, (ii) assuming the conditions set forth in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will be satisfied, constitute a failure to satisfy a condition on the part of Parent or, to the Knowledge of Parent as of the date hereof, the applicable Parent Investor or (iii) assuming the conditions set forth in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will be satisfied, to the Knowledge of Parent as of the date hereof, result in any portion of the amounts to be paid by each Parent Investor in accordance with each Subscription Agreement being unavailable on the Closing Date. As of the date hereof, assuming the conditions set forth in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will be satisfied, Parent has no reason to believe that any of the conditions to the consummation of the purchases under each Subscription Agreement will not be satisfied, and, as of the date hereof, Parent is not aware of the existence of any fact or event that would or would reasonably be expected to cause such conditions not to be satisfied.</w:t>
      </w:r>
    </w:p>
    <w:p>
      <w:pPr>
        <w:spacing w:after="0" w:line="15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Litigation</w:t>
      </w:r>
      <w:r>
        <w:rPr>
          <w:rFonts w:ascii="Arial" w:cs="Arial" w:eastAsia="Arial" w:hAnsi="Arial"/>
          <w:sz w:val="16"/>
          <w:szCs w:val="16"/>
          <w:color w:val="auto"/>
        </w:rPr>
        <w:t>. (a) There is no Proceeding pending, or to the Knowledge of Parent, threatened against Parent or Merger Sub or any of their respective properties or rights, and (b) none of Parent nor Merger Sub is subject to any outstanding Order. As of the date hereof, there are no Proceedings (at Law or in equity) or investigations pending or, to the Knowledge of Parent, threatened, seeking to or that would reasonably be expected to prevent, hinder, modify, delay or challenge the Transactions.</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Parent acknowledges that it has conducted its own independent review and analysis of the business, operations, enrollment, assets, liabilities, results of operations, financial condition and prospects of the Company, and acknowledges that the Company has provided Parent with adequate access to the personnel, properties, premises and books and records of the Company for this purpose.</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Parent expressly for inclusion or incorporation by reference in the filings with the SEC and mailings to Parent’s stockholders with respect to the solicitation of proxies to approve the Transactions will, at the date of filing and/or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that is included in the Parent SEC Documents).</w:t>
      </w:r>
    </w:p>
    <w:p>
      <w:pPr>
        <w:spacing w:after="0" w:line="170"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Investment Company</w:t>
      </w:r>
      <w:r>
        <w:rPr>
          <w:rFonts w:ascii="Arial" w:cs="Arial" w:eastAsia="Arial" w:hAnsi="Arial"/>
          <w:sz w:val="16"/>
          <w:szCs w:val="16"/>
          <w:color w:val="auto"/>
        </w:rPr>
        <w:t>. Parent is not as of the date of this Agreement, nor upon the Closing will be, an “investment company,” a company controlled by an “investment company,” or an “affiliated person” of, or “promoter” or “principal underwriter” for, an “investment company,” as such terms are defined in the Investment Company Act of 1940, as amended.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0" w:name="page51"/>
    <w:bookmarkEnd w:id="50"/>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u w:val="single" w:color="auto"/>
          <w:color w:val="auto"/>
        </w:rPr>
        <w:t>Lockup</w:t>
      </w:r>
      <w:r>
        <w:rPr>
          <w:rFonts w:ascii="Arial" w:cs="Arial" w:eastAsia="Arial" w:hAnsi="Arial"/>
          <w:sz w:val="16"/>
          <w:szCs w:val="16"/>
          <w:color w:val="auto"/>
        </w:rPr>
        <w:t>. All existing lock up agreements between Parent and any of its stockholders or holders of any other securities of Parent entered into in connection with the IPO provide for a lock up period that is in full force and effect.</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4.23 </w:t>
      </w:r>
      <w:r>
        <w:rPr>
          <w:rFonts w:ascii="Arial" w:cs="Arial" w:eastAsia="Arial" w:hAnsi="Arial"/>
          <w:sz w:val="15"/>
          <w:szCs w:val="15"/>
          <w:u w:val="single" w:color="auto"/>
          <w:color w:val="auto"/>
        </w:rPr>
        <w:t>Insider Letter Agreement</w:t>
      </w:r>
      <w:r>
        <w:rPr>
          <w:rFonts w:ascii="Arial" w:cs="Arial" w:eastAsia="Arial" w:hAnsi="Arial"/>
          <w:sz w:val="15"/>
          <w:szCs w:val="15"/>
          <w:color w:val="auto"/>
        </w:rPr>
        <w:t>. The letter agreement, dated September 2, 2020, between Parent and the Insiders, pursuant to which the Insiders agreed that if Parent solicits approval of its stockholders of an initial business combination the Insiders will vote all shares of Parent Common Stock beneficially owned by such Insider whether acquired before, in or after the IPO, in favor of such business combination, is in full force and effect (the “</w:t>
      </w:r>
      <w:r>
        <w:rPr>
          <w:rFonts w:ascii="Arial" w:cs="Arial" w:eastAsia="Arial" w:hAnsi="Arial"/>
          <w:sz w:val="15"/>
          <w:szCs w:val="15"/>
          <w:u w:val="single" w:color="auto"/>
          <w:color w:val="auto"/>
        </w:rPr>
        <w:t>Insider Letter Agreement</w:t>
      </w:r>
      <w:r>
        <w:rPr>
          <w:rFonts w:ascii="Arial" w:cs="Arial" w:eastAsia="Arial" w:hAnsi="Arial"/>
          <w:sz w:val="15"/>
          <w:szCs w:val="15"/>
          <w:color w:val="auto"/>
        </w:rPr>
        <w:t>”).</w:t>
      </w:r>
    </w:p>
    <w:p>
      <w:pPr>
        <w:spacing w:after="0" w:line="146"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4.24 </w:t>
      </w:r>
      <w:r>
        <w:rPr>
          <w:rFonts w:ascii="Arial" w:cs="Arial" w:eastAsia="Arial" w:hAnsi="Arial"/>
          <w:sz w:val="15"/>
          <w:szCs w:val="15"/>
          <w:u w:val="single" w:color="auto"/>
          <w:color w:val="auto"/>
        </w:rPr>
        <w:t>Board Approval</w:t>
      </w:r>
      <w:r>
        <w:rPr>
          <w:rFonts w:ascii="Arial" w:cs="Arial" w:eastAsia="Arial" w:hAnsi="Arial"/>
          <w:sz w:val="15"/>
          <w:szCs w:val="15"/>
          <w:color w:val="auto"/>
        </w:rPr>
        <w:t>. Parent’s board of directors (including any required committee or subgroup of such boards) has, as of the date of this Agreement, unanimously (a) declared the advisability of the Merger and other transactions contemplated by this Agreement, (b) determined that the Merger and other transactions contemplated hereby are in the best interests of the stockholders of Parent, (c) determined that the transactions contemplated hereby constitutes a “business combination” as such term is defined in Parent’s Organizational Documents and (d) resolved to recommend that the stockholders of Parent approve each of the matters requiring the Parent Required Vote and directed that this Agreement and the Merger, be submitted for consideration by the stockholders of Parent.</w:t>
      </w:r>
    </w:p>
    <w:p>
      <w:pPr>
        <w:spacing w:after="0" w:line="15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Vote Required</w:t>
      </w:r>
      <w:r>
        <w:rPr>
          <w:rFonts w:ascii="Arial" w:cs="Arial" w:eastAsia="Arial" w:hAnsi="Arial"/>
          <w:sz w:val="16"/>
          <w:szCs w:val="16"/>
          <w:color w:val="auto"/>
        </w:rPr>
        <w:t>. The affirmative vote of the holders of a majority of the shares of Parent Common Stock entitled to vote thereon and present in person, virtually or by proxy at a meeting in which a quorum is present (the “</w:t>
      </w:r>
      <w:r>
        <w:rPr>
          <w:rFonts w:ascii="Arial" w:cs="Arial" w:eastAsia="Arial" w:hAnsi="Arial"/>
          <w:sz w:val="16"/>
          <w:szCs w:val="16"/>
          <w:u w:val="single" w:color="auto"/>
          <w:color w:val="auto"/>
        </w:rPr>
        <w:t>Parent Required Vote</w:t>
      </w:r>
      <w:r>
        <w:rPr>
          <w:rFonts w:ascii="Arial" w:cs="Arial" w:eastAsia="Arial" w:hAnsi="Arial"/>
          <w:sz w:val="16"/>
          <w:szCs w:val="16"/>
          <w:color w:val="auto"/>
        </w:rPr>
        <w:t>”) is the only vote of the holders of any class or series of Parent’s capital stock necessary to obtain approval of the Merger and this Agreement.</w:t>
      </w:r>
    </w:p>
    <w:p>
      <w:pPr>
        <w:spacing w:after="0" w:line="16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4.26 </w:t>
      </w:r>
      <w:r>
        <w:rPr>
          <w:rFonts w:ascii="Arial" w:cs="Arial" w:eastAsia="Arial" w:hAnsi="Arial"/>
          <w:sz w:val="15"/>
          <w:szCs w:val="15"/>
          <w:u w:val="single" w:color="auto"/>
          <w:color w:val="auto"/>
        </w:rPr>
        <w:t>Disclaimer of Other Representations and Warranties</w:t>
      </w:r>
      <w:r>
        <w:rPr>
          <w:rFonts w:ascii="Arial" w:cs="Arial" w:eastAsia="Arial" w:hAnsi="Arial"/>
          <w:sz w:val="15"/>
          <w:szCs w:val="15"/>
          <w:color w:val="auto"/>
        </w:rPr>
        <w:t xml:space="preserve">. Except for the representations and warranties contained in this </w:t>
      </w:r>
      <w:r>
        <w:rPr>
          <w:rFonts w:ascii="Arial" w:cs="Arial" w:eastAsia="Arial" w:hAnsi="Arial"/>
          <w:sz w:val="15"/>
          <w:szCs w:val="15"/>
          <w:u w:val="single" w:color="auto"/>
          <w:color w:val="auto"/>
        </w:rPr>
        <w:t>Article IV</w:t>
      </w:r>
      <w:r>
        <w:rPr>
          <w:rFonts w:ascii="Arial" w:cs="Arial" w:eastAsia="Arial" w:hAnsi="Arial"/>
          <w:sz w:val="15"/>
          <w:szCs w:val="15"/>
          <w:color w:val="auto"/>
        </w:rPr>
        <w:t>, none of Parent, Parent’s Affiliates or any other Person makes any express or implied representation or warranty with respect to Parent, and Parent expressly disclaims any other representations or warranties, whether made by Parent or any other Person (including its Affiliates, officers, directors, employees, agents, representatives or advisors).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COVENANTS AND AGREEMENTS OF THE COMPANY</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of the Company</w:t>
      </w:r>
      <w:r>
        <w:rPr>
          <w:rFonts w:ascii="Arial" w:cs="Arial" w:eastAsia="Arial" w:hAnsi="Arial"/>
          <w:sz w:val="16"/>
          <w:szCs w:val="16"/>
          <w:color w:val="auto"/>
        </w:rPr>
        <w:t xml:space="preserve">. Except as contemplated by this Agreement, set forth on Schedule 5.1, or as required by applicable Law, during the period from the date of this Agreement until the earlier of the Effective Time or valid termination of this Agreement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without the prior written consent of Parent (which consent shall not be unreasonably withheld, conditioned or delayed and may be given as set forth below), the Company and each of its Subsidiaries (a) shall use commercially reasonable efforts to (i) conduct its business in the Ordinary Course, and (ii) preserve its goodwill, keep available the services of its officers and employees, and maintain satisfactory relationships with customers and vendors and (b) shall not:</w:t>
      </w:r>
    </w:p>
    <w:p>
      <w:pPr>
        <w:spacing w:after="0" w:line="170" w:lineRule="exact"/>
        <w:rPr>
          <w:sz w:val="20"/>
          <w:szCs w:val="20"/>
          <w:color w:val="auto"/>
        </w:rPr>
      </w:pPr>
    </w:p>
    <w:p>
      <w:pPr>
        <w:ind w:left="1900" w:hanging="184"/>
        <w:spacing w:after="0"/>
        <w:tabs>
          <w:tab w:leader="none" w:pos="1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 its Organizational Documents;</w:t>
      </w:r>
    </w:p>
    <w:p>
      <w:pPr>
        <w:spacing w:after="0" w:line="198" w:lineRule="exact"/>
        <w:rPr>
          <w:rFonts w:ascii="Arial" w:cs="Arial" w:eastAsia="Arial" w:hAnsi="Arial"/>
          <w:sz w:val="16"/>
          <w:szCs w:val="16"/>
          <w:color w:val="auto"/>
        </w:rPr>
      </w:pPr>
    </w:p>
    <w:p>
      <w:pPr>
        <w:ind w:left="560" w:right="20" w:firstLine="1156"/>
        <w:spacing w:after="0" w:line="275" w:lineRule="auto"/>
        <w:tabs>
          <w:tab w:leader="none" w:pos="19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adopt a plan or agreement of liquidation, dissolution, restructuring, merger, consolidation, recapitalization or other reorganization, or otherwise merge or consolidate with or into any other Person;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1" w:name="page52"/>
    <w:bookmarkEnd w:id="51"/>
    <w:p>
      <w:pPr>
        <w:jc w:val="both"/>
        <w:ind w:left="-9" w:firstLine="1156"/>
        <w:spacing w:after="0" w:line="270" w:lineRule="auto"/>
        <w:tabs>
          <w:tab w:leader="none" w:pos="1427" w:val="left"/>
        </w:tabs>
        <w:numPr>
          <w:ilvl w:val="1"/>
          <w:numId w:val="54"/>
        </w:numPr>
        <w:rPr>
          <w:rFonts w:ascii="Arial" w:cs="Arial" w:eastAsia="Arial" w:hAnsi="Arial"/>
          <w:sz w:val="15"/>
          <w:szCs w:val="15"/>
          <w:color w:val="auto"/>
        </w:rPr>
      </w:pPr>
      <w:r>
        <w:rPr>
          <w:rFonts w:ascii="Arial" w:cs="Arial" w:eastAsia="Arial" w:hAnsi="Arial"/>
          <w:sz w:val="15"/>
          <w:szCs w:val="15"/>
          <w:color w:val="auto"/>
        </w:rPr>
        <w:t>(A) issue, sell, pledge, amend, grant, create a Lien upon, or authorize the issuance, sale, pledge, amendment, grant or creation of a Lien upon, any equity interests of the Company or any of its Subsidiaries, or Company Options, convertible securities, or other commitments or instruments pursuant to which the Company or any of its Subsidiaries may become obligated to issue or sell any of its shares of capital stock or other securities, or the holders may have the right to vote (or convertible into, or exchangeable for, securities having the right to vote) on any matters on which stockholders of the Company or its Subsidiaries may vote, other than the (1) issuance of shares of Company Capital Stock upon the exercise, exchange or conversion of Company Options, convertible securities or other commitments or instruments or (2) the issuance of Company Options in accordance with the Company Stock Plan as in effect of the date hereof; (B) split, combine, subdivide or reclassify any of its shares of capital stock, (C) declare, set aside or pay any dividend or other distribution with respect to shares of its capital stock other than dividends from a Subsidiary of the Company, or (D) redeem, purchase or otherwise acquire any of its shares of capital stock, other than (1) forfeitures of unvested Company Options, (2) redemptions, repurchases or acquisitions of unvested Company Restricted Stock from former employees, non-employee directors and consultants, or (3) the acquisition by the Company of shares of Company Common Stock in connection with the surrender of shares of Company Common Stock by holders of Company Options in order to pay the exercise price of the Company Options;</w:t>
      </w:r>
    </w:p>
    <w:p>
      <w:pPr>
        <w:spacing w:after="0" w:line="159" w:lineRule="exact"/>
        <w:rPr>
          <w:rFonts w:ascii="Arial" w:cs="Arial" w:eastAsia="Arial" w:hAnsi="Arial"/>
          <w:sz w:val="15"/>
          <w:szCs w:val="15"/>
          <w:color w:val="auto"/>
        </w:rPr>
      </w:pPr>
    </w:p>
    <w:p>
      <w:pPr>
        <w:jc w:val="both"/>
        <w:ind w:left="-9" w:firstLine="1156"/>
        <w:spacing w:after="0" w:line="255" w:lineRule="auto"/>
        <w:tabs>
          <w:tab w:leader="none" w:pos="1432"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(A) make, cancel or compromise any loans, advances, guarantees or capital contributions to any Person other than (1) a Subsidiary of the Company or (2) not in excess of $500,000 in the aggregate or (B) incur, assume, accelerate or guarantee any Indebtedness other than (1) Indebtedness under the Credit Agreement as amended as of the date hereof and as amended or restated from time to time with respect to any amendment or restatement of the Credit Agreement for purposes of funding any activity of the Company or its Subsidiaries that does not require Parent consent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(2) not in excess of $500,000 in the aggregate;</w:t>
      </w:r>
    </w:p>
    <w:p>
      <w:pPr>
        <w:spacing w:after="0" w:line="169" w:lineRule="exact"/>
        <w:rPr>
          <w:rFonts w:ascii="Arial" w:cs="Arial" w:eastAsia="Arial" w:hAnsi="Arial"/>
          <w:sz w:val="16"/>
          <w:szCs w:val="16"/>
          <w:color w:val="auto"/>
        </w:rPr>
      </w:pPr>
    </w:p>
    <w:p>
      <w:pPr>
        <w:ind w:left="1371" w:hanging="224"/>
        <w:spacing w:after="0"/>
        <w:tabs>
          <w:tab w:leader="none" w:pos="1371" w:val="left"/>
        </w:tabs>
        <w:numPr>
          <w:ilvl w:val="1"/>
          <w:numId w:val="54"/>
        </w:numPr>
        <w:rPr>
          <w:rFonts w:ascii="Arial" w:cs="Arial" w:eastAsia="Arial" w:hAnsi="Arial"/>
          <w:sz w:val="14"/>
          <w:szCs w:val="14"/>
          <w:color w:val="auto"/>
        </w:rPr>
      </w:pPr>
      <w:r>
        <w:rPr>
          <w:rFonts w:ascii="Arial" w:cs="Arial" w:eastAsia="Arial" w:hAnsi="Arial"/>
          <w:sz w:val="14"/>
          <w:szCs w:val="14"/>
          <w:color w:val="auto"/>
        </w:rPr>
        <w:t>make or commit to make any capital expenditures except (A) as contemplated by the Company’s current budget, (B) in the Ordinary Course, or</w:t>
      </w:r>
    </w:p>
    <w:p>
      <w:pPr>
        <w:spacing w:after="0" w:line="42" w:lineRule="exact"/>
        <w:rPr>
          <w:rFonts w:ascii="Arial" w:cs="Arial" w:eastAsia="Arial" w:hAnsi="Arial"/>
          <w:sz w:val="14"/>
          <w:szCs w:val="14"/>
          <w:color w:val="auto"/>
        </w:rPr>
      </w:pPr>
    </w:p>
    <w:p>
      <w:pPr>
        <w:ind w:left="251" w:hanging="251"/>
        <w:spacing w:after="0"/>
        <w:tabs>
          <w:tab w:leader="none" w:pos="251"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expenditures as do not exceed $500,000 in the aggregate;</w:t>
      </w:r>
    </w:p>
    <w:p>
      <w:pPr>
        <w:spacing w:after="0" w:line="185" w:lineRule="exact"/>
        <w:rPr>
          <w:rFonts w:ascii="Arial" w:cs="Arial" w:eastAsia="Arial" w:hAnsi="Arial"/>
          <w:sz w:val="16"/>
          <w:szCs w:val="16"/>
          <w:color w:val="auto"/>
        </w:rPr>
      </w:pPr>
    </w:p>
    <w:p>
      <w:pPr>
        <w:jc w:val="both"/>
        <w:ind w:left="-9" w:right="20" w:firstLine="1156"/>
        <w:spacing w:after="0" w:line="262" w:lineRule="auto"/>
        <w:tabs>
          <w:tab w:leader="none" w:pos="1408" w:val="left"/>
        </w:tabs>
        <w:numPr>
          <w:ilvl w:val="1"/>
          <w:numId w:val="55"/>
        </w:numPr>
        <w:rPr>
          <w:rFonts w:ascii="Arial" w:cs="Arial" w:eastAsia="Arial" w:hAnsi="Arial"/>
          <w:sz w:val="16"/>
          <w:szCs w:val="16"/>
          <w:color w:val="auto"/>
        </w:rPr>
      </w:pPr>
      <w:r>
        <w:rPr>
          <w:rFonts w:ascii="Arial" w:cs="Arial" w:eastAsia="Arial" w:hAnsi="Arial"/>
          <w:sz w:val="16"/>
          <w:szCs w:val="16"/>
          <w:color w:val="auto"/>
        </w:rPr>
        <w:t>acquire, transfer, mortgage, assign, sell, lease, create a Lien upon (other than Permitted Liens) or otherwise dispose of or pledge, any Asset of the Company or any of its Subsidiaries other than (A) in the Ordinary Course. (B) any such tangible Assets at the end of their useful lives, (C) out of redundancy, (D) pursuant to Contracts in effect as of the date hereof, or (E) in the aggregate up to $500,000;</w:t>
      </w:r>
    </w:p>
    <w:p>
      <w:pPr>
        <w:spacing w:after="0" w:line="162" w:lineRule="exact"/>
        <w:rPr>
          <w:rFonts w:ascii="Arial" w:cs="Arial" w:eastAsia="Arial" w:hAnsi="Arial"/>
          <w:sz w:val="16"/>
          <w:szCs w:val="16"/>
          <w:color w:val="auto"/>
        </w:rPr>
      </w:pPr>
    </w:p>
    <w:p>
      <w:pPr>
        <w:ind w:left="-9" w:right="20" w:firstLine="1156"/>
        <w:spacing w:after="0" w:line="309" w:lineRule="auto"/>
        <w:tabs>
          <w:tab w:leader="none" w:pos="1457" w:val="left"/>
        </w:tabs>
        <w:numPr>
          <w:ilvl w:val="1"/>
          <w:numId w:val="55"/>
        </w:numPr>
        <w:rPr>
          <w:rFonts w:ascii="Arial" w:cs="Arial" w:eastAsia="Arial" w:hAnsi="Arial"/>
          <w:sz w:val="15"/>
          <w:szCs w:val="15"/>
          <w:color w:val="auto"/>
        </w:rPr>
      </w:pPr>
      <w:r>
        <w:rPr>
          <w:rFonts w:ascii="Arial" w:cs="Arial" w:eastAsia="Arial" w:hAnsi="Arial"/>
          <w:sz w:val="15"/>
          <w:szCs w:val="15"/>
          <w:color w:val="auto"/>
        </w:rPr>
        <w:t>commence any Proceeding or release, assign, compromise, settle, waive or abandon any pending or threatened Proceeding, other than any such Proceeding that would not reasonably be expected to result in damages or otherwise have a value, individually in excess of $500,000;</w:t>
      </w:r>
    </w:p>
    <w:p>
      <w:pPr>
        <w:spacing w:after="0" w:line="129" w:lineRule="exact"/>
        <w:rPr>
          <w:rFonts w:ascii="Arial" w:cs="Arial" w:eastAsia="Arial" w:hAnsi="Arial"/>
          <w:sz w:val="15"/>
          <w:szCs w:val="15"/>
          <w:color w:val="auto"/>
        </w:rPr>
      </w:pPr>
    </w:p>
    <w:p>
      <w:pPr>
        <w:jc w:val="both"/>
        <w:ind w:left="-9" w:firstLine="1156"/>
        <w:spacing w:after="0" w:line="306" w:lineRule="auto"/>
        <w:tabs>
          <w:tab w:leader="none" w:pos="1498" w:val="left"/>
        </w:tabs>
        <w:numPr>
          <w:ilvl w:val="1"/>
          <w:numId w:val="55"/>
        </w:numPr>
        <w:rPr>
          <w:rFonts w:ascii="Arial" w:cs="Arial" w:eastAsia="Arial" w:hAnsi="Arial"/>
          <w:sz w:val="14"/>
          <w:szCs w:val="14"/>
          <w:color w:val="auto"/>
        </w:rPr>
      </w:pPr>
      <w:r>
        <w:rPr>
          <w:rFonts w:ascii="Arial" w:cs="Arial" w:eastAsia="Arial" w:hAnsi="Arial"/>
          <w:sz w:val="14"/>
          <w:szCs w:val="14"/>
          <w:color w:val="auto"/>
        </w:rPr>
        <w:t xml:space="preserve">except as required under the terms of any Benefit Arrangement disclosed in </w:t>
      </w:r>
      <w:r>
        <w:rPr>
          <w:rFonts w:ascii="Arial" w:cs="Arial" w:eastAsia="Arial" w:hAnsi="Arial"/>
          <w:sz w:val="14"/>
          <w:szCs w:val="14"/>
          <w:u w:val="single" w:color="auto"/>
          <w:color w:val="auto"/>
        </w:rPr>
        <w:t>Schedule 3.22</w:t>
      </w:r>
      <w:r>
        <w:rPr>
          <w:rFonts w:ascii="Arial" w:cs="Arial" w:eastAsia="Arial" w:hAnsi="Arial"/>
          <w:sz w:val="14"/>
          <w:szCs w:val="14"/>
          <w:color w:val="auto"/>
        </w:rPr>
        <w:t>, applicable Law or in the Ordinary Course: (1) grant or announce any increase in salaries, bonuses, severance, termination, retention or change-in-control pay, or other compensation and benefits payable or to become payable by the Company or any of its Subsidiaries to any current or former employee, or (2) adopt, establish or enter into any plan, policy or arrangement that would constitute a Benefit Arrangement if it were in existence on the date hereof, other than in the case of the renewal of group health or welfare plans;</w:t>
      </w:r>
    </w:p>
    <w:p>
      <w:pPr>
        <w:spacing w:after="0" w:line="231" w:lineRule="exact"/>
        <w:rPr>
          <w:sz w:val="20"/>
          <w:szCs w:val="20"/>
          <w:color w:val="auto"/>
        </w:rPr>
      </w:pPr>
    </w:p>
    <w:p>
      <w:pPr>
        <w:ind w:left="497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52" w:name="page53"/>
    <w:bookmarkEnd w:id="52"/>
    <w:p>
      <w:pPr>
        <w:ind w:left="560" w:firstLine="1156"/>
        <w:spacing w:after="0" w:line="275" w:lineRule="auto"/>
        <w:tabs>
          <w:tab w:leader="none" w:pos="20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enter into, amend, terminate or extend any collective bargaining agreement or any other agreement with, a labor or trade union, employee association or works council;</w:t>
      </w:r>
    </w:p>
    <w:p>
      <w:pPr>
        <w:spacing w:after="0" w:line="151" w:lineRule="exact"/>
        <w:rPr>
          <w:rFonts w:ascii="Arial" w:cs="Arial" w:eastAsia="Arial" w:hAnsi="Arial"/>
          <w:sz w:val="16"/>
          <w:szCs w:val="16"/>
          <w:color w:val="auto"/>
        </w:rPr>
      </w:pPr>
    </w:p>
    <w:p>
      <w:pPr>
        <w:ind w:left="1940" w:hanging="224"/>
        <w:spacing w:after="0"/>
        <w:tabs>
          <w:tab w:leader="none" w:pos="19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change its fiscal year or any material method of accounting or material accounting practice, except for any such change required by GAAP;</w:t>
      </w:r>
    </w:p>
    <w:p>
      <w:pPr>
        <w:spacing w:after="0" w:line="209" w:lineRule="exact"/>
        <w:rPr>
          <w:rFonts w:ascii="Arial" w:cs="Arial" w:eastAsia="Arial" w:hAnsi="Arial"/>
          <w:sz w:val="15"/>
          <w:szCs w:val="15"/>
          <w:color w:val="auto"/>
        </w:rPr>
      </w:pPr>
    </w:p>
    <w:p>
      <w:pPr>
        <w:ind w:left="560" w:right="20" w:firstLine="1156"/>
        <w:spacing w:after="0" w:line="275" w:lineRule="auto"/>
        <w:tabs>
          <w:tab w:leader="none" w:pos="199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terminate (other than expiration in accordance with its terms) or amend any material term of any Material Contract in a manner that would adversely affect the Company following the Closing;</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20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assign, transfer, abandon, modify, waive, terminate, fail to renew, let lapse or otherwise fail to maintain or otherwise change any material Permit, except in the Ordinary Course;</w:t>
      </w:r>
    </w:p>
    <w:p>
      <w:pPr>
        <w:spacing w:after="0" w:line="151" w:lineRule="exact"/>
        <w:rPr>
          <w:rFonts w:ascii="Arial" w:cs="Arial" w:eastAsia="Arial" w:hAnsi="Arial"/>
          <w:sz w:val="16"/>
          <w:szCs w:val="16"/>
          <w:color w:val="auto"/>
        </w:rPr>
      </w:pPr>
    </w:p>
    <w:p>
      <w:pPr>
        <w:jc w:val="both"/>
        <w:ind w:left="560" w:firstLine="1156"/>
        <w:spacing w:after="0" w:line="280" w:lineRule="auto"/>
        <w:tabs>
          <w:tab w:leader="none" w:pos="2085" w:val="left"/>
        </w:tabs>
        <w:numPr>
          <w:ilvl w:val="0"/>
          <w:numId w:val="56"/>
        </w:numPr>
        <w:rPr>
          <w:rFonts w:ascii="Arial" w:cs="Arial" w:eastAsia="Arial" w:hAnsi="Arial"/>
          <w:sz w:val="15"/>
          <w:szCs w:val="15"/>
          <w:color w:val="auto"/>
        </w:rPr>
      </w:pPr>
      <w:r>
        <w:rPr>
          <w:rFonts w:ascii="Arial" w:cs="Arial" w:eastAsia="Arial" w:hAnsi="Arial"/>
          <w:sz w:val="15"/>
          <w:szCs w:val="15"/>
          <w:color w:val="auto"/>
        </w:rPr>
        <w:t>make (inconsistent with past practices), revoke or change any Tax election, adopt or change any Tax accounting method or period, file an amended Tax Return, enter into any closing agreement or settlement, settle any Tax claim or assessment, in each case unless such action would not have the effect of materially increasing the Tax Liability of Parent, the Company or their Affiliates for any taxable period (or portion thereof) beginning after the Closing Date or such action is required as a result of a final determination by a Governmental Authority or as otherwise required by applicable Law;</w:t>
      </w:r>
    </w:p>
    <w:p>
      <w:pPr>
        <w:spacing w:after="0" w:line="151" w:lineRule="exact"/>
        <w:rPr>
          <w:rFonts w:ascii="Arial" w:cs="Arial" w:eastAsia="Arial" w:hAnsi="Arial"/>
          <w:sz w:val="15"/>
          <w:szCs w:val="15"/>
          <w:color w:val="auto"/>
        </w:rPr>
      </w:pPr>
    </w:p>
    <w:p>
      <w:pPr>
        <w:jc w:val="both"/>
        <w:ind w:left="560" w:right="20" w:firstLine="1156"/>
        <w:spacing w:after="0" w:line="258" w:lineRule="auto"/>
        <w:tabs>
          <w:tab w:leader="none" w:pos="20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grant, modify, abandon, dispose of or terminate any rights relating to any Intellectual Property of the Company and its Subsidiaries, other than in the Ordinary Course, or otherwise permit any of its rights relating to any Intellectual Property to lapse (other than in the Ordinary Course, as required under any IP Contract made available to Parent prior to the execution of this Agreement, or registrations for trademarks that are no longer in use by, are not planned to be used in the future by, and are no longer being maintained by Company and its Subsidiaries);</w:t>
      </w:r>
    </w:p>
    <w:p>
      <w:pPr>
        <w:spacing w:after="0" w:line="164" w:lineRule="exact"/>
        <w:rPr>
          <w:rFonts w:ascii="Arial" w:cs="Arial" w:eastAsia="Arial" w:hAnsi="Arial"/>
          <w:sz w:val="16"/>
          <w:szCs w:val="16"/>
          <w:color w:val="auto"/>
        </w:rPr>
      </w:pPr>
    </w:p>
    <w:p>
      <w:pPr>
        <w:ind w:left="560" w:right="20" w:firstLine="1156"/>
        <w:spacing w:after="0" w:line="275" w:lineRule="auto"/>
        <w:tabs>
          <w:tab w:leader="none" w:pos="202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where such action or failure to act would reasonably be expected to prevent the Merger from qualifying for the Intended Tax Treatment; or</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agree or commit to do, or resolve, authorize or approve any action to do, any of the foregoing, or take any action or omission that would result</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in any of the foregoing.</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however, that nothing in the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require Company to do or not do anything that would be reasonably expected to violate applicable antitrust or</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Law, including the HSR Act.</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The Company shall be permitted to request consent from Parent in writing (including by electronic mail) by delivering written notice (including by electronic mail) to any of the individuals specified on Schedule 5.1. For purposes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Parent shall respond (including by return email) to such request as promptly as practicable, and if Parent does not respond (including by return email) to any request within two Business Days after the Company delivers such written request for consent to Parent (including at the email addresses set forth in Schedule 5.1 or such other email addresses as Parent shall specify in a notice delivered in accordance with </w:t>
      </w:r>
      <w:r>
        <w:rPr>
          <w:rFonts w:ascii="Arial" w:cs="Arial" w:eastAsia="Arial" w:hAnsi="Arial"/>
          <w:sz w:val="16"/>
          <w:szCs w:val="16"/>
          <w:u w:val="single" w:color="auto"/>
          <w:color w:val="auto"/>
        </w:rPr>
        <w:t>Section 10.10</w:t>
      </w:r>
      <w:r>
        <w:rPr>
          <w:rFonts w:ascii="Arial" w:cs="Arial" w:eastAsia="Arial" w:hAnsi="Arial"/>
          <w:sz w:val="16"/>
          <w:szCs w:val="16"/>
          <w:color w:val="auto"/>
        </w:rPr>
        <w:t>), Parent shall be deemed to have provided its prior written consent to the taking of such action.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3" w:name="page54"/>
    <w:bookmarkEnd w:id="53"/>
    <w:p>
      <w:pPr>
        <w:jc w:val="both"/>
        <w:ind w:firstLine="574"/>
        <w:spacing w:after="0" w:line="292"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Access to Information</w:t>
      </w:r>
      <w:r>
        <w:rPr>
          <w:rFonts w:ascii="Arial" w:cs="Arial" w:eastAsia="Arial" w:hAnsi="Arial"/>
          <w:sz w:val="14"/>
          <w:szCs w:val="14"/>
          <w:color w:val="auto"/>
        </w:rPr>
        <w:t xml:space="preserve">. From and after the date hereof until the earlier of the Closing or the termination of this Agreement in accordance with its terms, upon reasonable advance written notice, the Company shall provide to Parent and its authorized Representatives reasonable access (which access will be under the supervision of the Company’s personnel) to the personnel, books, records, properties, financial statements, internal and external audit reports, regulatory reports, Contracts, Permits, commitments and any other reasonably requested documents and other information of the Company and its Subsidiaries during normal business hours (in a manner so as to not interfere with the normal business operations of the Company or any of its Subsidiaries) and use commercially reasonable efforts to cause the employees, legal counsel, accountants and representatives of the Company to reasonably cooperate with the Parent in its investigation of the Company; provided that no investigation pursuant to this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shall affect any representation or warranty given by the Company. All of such information shall be treated as confidential information pursuant to the terms of the Non-Disclosure Agreement. Notwithstanding anything herein to the contrary, Parent and Merger Sub shall not, without the prior written consent of the Company, make inquiries of Persons having business relationships with the Company (including suppliers, customers and vendors) regarding the Company or such business relationships. From and after the Closing, the Non-Disclosure Agreement shall terminate and be of no force and effect with respect to any information relating to the Company and its Subsidiaries.</w:t>
      </w:r>
    </w:p>
    <w:p>
      <w:pPr>
        <w:spacing w:after="0" w:line="144"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Additional Financial Information</w:t>
      </w:r>
      <w:r>
        <w:rPr>
          <w:rFonts w:ascii="Arial" w:cs="Arial" w:eastAsia="Arial" w:hAnsi="Arial"/>
          <w:sz w:val="15"/>
          <w:szCs w:val="15"/>
          <w:color w:val="auto"/>
        </w:rPr>
        <w:t xml:space="preserve">. Within five Business Days following the execution of this Agreement, the Company shall provide Parent with the Company’s audited financial statements for the twelve month periods ended, December 31, 2020 and 2019 consisting of the audited consolidated balance sheets as of such dates, the audited consolidated income statements for the twelve month period ended on such date, and the audited consolidated cash flow statements for the twelve month period ended on such date (the “Year End Financials”). If the Company does not deliver the Year End Financials within such five Business Day period, Parent shall have the right to terminate this Agreement in accordance with </w:t>
      </w:r>
      <w:r>
        <w:rPr>
          <w:rFonts w:ascii="Arial" w:cs="Arial" w:eastAsia="Arial" w:hAnsi="Arial"/>
          <w:sz w:val="15"/>
          <w:szCs w:val="15"/>
          <w:u w:val="single" w:color="auto"/>
          <w:color w:val="auto"/>
        </w:rPr>
        <w:t>Article IX</w:t>
      </w:r>
      <w:r>
        <w:rPr>
          <w:rFonts w:ascii="Arial" w:cs="Arial" w:eastAsia="Arial" w:hAnsi="Arial"/>
          <w:sz w:val="15"/>
          <w:szCs w:val="15"/>
          <w:color w:val="auto"/>
        </w:rPr>
        <w:t>. Subsequent to the delivery of the Year End Financials, the Company’s consolidated interim financial information for each quarterly period thereafter shall be delivered to Parent no later than 40 calendar days following the end of each quarterly period (the “</w:t>
      </w:r>
      <w:r>
        <w:rPr>
          <w:rFonts w:ascii="Arial" w:cs="Arial" w:eastAsia="Arial" w:hAnsi="Arial"/>
          <w:sz w:val="15"/>
          <w:szCs w:val="15"/>
          <w:u w:val="single" w:color="auto"/>
          <w:color w:val="auto"/>
        </w:rPr>
        <w:t>Required Financial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Statements</w:t>
      </w:r>
      <w:r>
        <w:rPr>
          <w:rFonts w:ascii="Arial" w:cs="Arial" w:eastAsia="Arial" w:hAnsi="Arial"/>
          <w:sz w:val="15"/>
          <w:szCs w:val="15"/>
          <w:color w:val="auto"/>
        </w:rPr>
        <w:t xml:space="preserve">”). If the Company does not timely deliver the Required Financial Statements, Parent shall have the right to terminate this Agreement in accordance with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here. All of the financial statements to be delivered pursuant to this </w:t>
      </w:r>
      <w:r>
        <w:rPr>
          <w:rFonts w:ascii="Arial" w:cs="Arial" w:eastAsia="Arial" w:hAnsi="Arial"/>
          <w:sz w:val="15"/>
          <w:szCs w:val="15"/>
          <w:u w:val="single" w:color="auto"/>
          <w:color w:val="auto"/>
        </w:rPr>
        <w:t>Section 5.3</w:t>
      </w:r>
      <w:r>
        <w:rPr>
          <w:rFonts w:ascii="Arial" w:cs="Arial" w:eastAsia="Arial" w:hAnsi="Arial"/>
          <w:sz w:val="15"/>
          <w:szCs w:val="15"/>
          <w:color w:val="auto"/>
        </w:rPr>
        <w:t>, shall be prepared under U.S. GAAP in accordance with requirements of the PCAOB for public companies. The Year End Financials and the Required Financial Statements shall be accompanied by a certificate of the Chief Financial Officer of the Company to the effect that all such financial statements fairly present the financial position and results of operations of the Company as of the date or for the periods indicated, in accordance with U.S. GAAP, except as otherwise indicated in such statements and subject to year-end audit adjustments (other than with respect to the Year End Audited Financials for the period ending December 31, 2019). The Company will promptly provide additional Company financial information reasonably requested by Parent for inclusion in the Proxy Statement and any other filings to be made by Parent with the SEC.</w:t>
      </w:r>
    </w:p>
    <w:p>
      <w:pPr>
        <w:spacing w:after="0" w:line="164"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Prior to the Closing, the Company shall cause those persons set forth on </w:t>
      </w:r>
      <w:r>
        <w:rPr>
          <w:rFonts w:ascii="Arial" w:cs="Arial" w:eastAsia="Arial" w:hAnsi="Arial"/>
          <w:sz w:val="16"/>
          <w:szCs w:val="16"/>
          <w:u w:val="single" w:color="auto"/>
          <w:color w:val="auto"/>
        </w:rPr>
        <w:t>Schedule 5.4</w:t>
      </w:r>
      <w:r>
        <w:rPr>
          <w:rFonts w:ascii="Arial" w:cs="Arial" w:eastAsia="Arial" w:hAnsi="Arial"/>
          <w:sz w:val="16"/>
          <w:szCs w:val="16"/>
          <w:color w:val="auto"/>
        </w:rPr>
        <w:t xml:space="preserve"> to enter into an agreement with Parent to be effective as of the Closing, pursuant to which the Merger Consideration shall be subject to a lock-up for a period of 180 days (the “</w:t>
      </w:r>
      <w:r>
        <w:rPr>
          <w:rFonts w:ascii="Arial" w:cs="Arial" w:eastAsia="Arial" w:hAnsi="Arial"/>
          <w:sz w:val="16"/>
          <w:szCs w:val="16"/>
          <w:u w:val="single" w:color="auto"/>
          <w:color w:val="auto"/>
        </w:rPr>
        <w:t>Lock-Up Period</w:t>
      </w:r>
      <w:r>
        <w:rPr>
          <w:rFonts w:ascii="Arial" w:cs="Arial" w:eastAsia="Arial" w:hAnsi="Arial"/>
          <w:sz w:val="16"/>
          <w:szCs w:val="16"/>
          <w:color w:val="auto"/>
        </w:rPr>
        <w:t>”) from the Closing Date (the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Notice of Changes</w:t>
      </w:r>
      <w:r>
        <w:rPr>
          <w:rFonts w:ascii="Arial" w:cs="Arial" w:eastAsia="Arial" w:hAnsi="Arial"/>
          <w:sz w:val="15"/>
          <w:szCs w:val="15"/>
          <w:color w:val="auto"/>
        </w:rPr>
        <w:t xml:space="preserve">. The Company shall give prompt written notice to Parent of (a) any representation or warranty made by the Company contained in this Agreement becoming untrue or inaccurate such that the condition set forth in </w:t>
      </w:r>
      <w:r>
        <w:rPr>
          <w:rFonts w:ascii="Arial" w:cs="Arial" w:eastAsia="Arial" w:hAnsi="Arial"/>
          <w:sz w:val="15"/>
          <w:szCs w:val="15"/>
          <w:u w:val="single" w:color="auto"/>
          <w:color w:val="auto"/>
        </w:rPr>
        <w:t>Section 8.2(a)</w:t>
      </w:r>
      <w:r>
        <w:rPr>
          <w:rFonts w:ascii="Arial" w:cs="Arial" w:eastAsia="Arial" w:hAnsi="Arial"/>
          <w:sz w:val="15"/>
          <w:szCs w:val="15"/>
          <w:color w:val="auto"/>
        </w:rPr>
        <w:t xml:space="preserve"> would not be satisfied, (b) any breach of any covenant or agreement of the Company contained in this Agreement such that the condition set forth in </w:t>
      </w:r>
      <w:r>
        <w:rPr>
          <w:rFonts w:ascii="Arial" w:cs="Arial" w:eastAsia="Arial" w:hAnsi="Arial"/>
          <w:sz w:val="15"/>
          <w:szCs w:val="15"/>
          <w:u w:val="single" w:color="auto"/>
          <w:color w:val="auto"/>
        </w:rPr>
        <w:t>Section 8.2(b)</w:t>
      </w:r>
      <w:r>
        <w:rPr>
          <w:rFonts w:ascii="Arial" w:cs="Arial" w:eastAsia="Arial" w:hAnsi="Arial"/>
          <w:sz w:val="15"/>
          <w:szCs w:val="15"/>
          <w:color w:val="auto"/>
        </w:rPr>
        <w:t xml:space="preserve"> would not be satisfied (c) any event, circumstance or development that would reasonably be expected to have a Company Material Adverse Effect and (d) any Proceeding initiated by or against the Company or its Subsidiaries or any of their predecessors or against any officer or director of the Company or any of its Subsidiaries in their capacity as such in an amount in controversy equal to or greater than $500,000 as set out in the filings related to such Proceeding; provided, however, that in each case (i) no such notification shall affect the representations, warranties, covenants, agreements or conditions to the obligations of the Parties under this Agreement and (ii) no such notification shall be deemed to amend or supplement the Disclosure Schedules or to cure any breach of any covenant or agreement or inaccuracy of any representation or warranty.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4" w:name="page55"/>
    <w:bookmarkEnd w:id="54"/>
    <w:p>
      <w:pPr>
        <w:ind w:left="560"/>
        <w:spacing w:after="0"/>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D&amp;O Insurance; Indemnification of Officers and Directors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6" w:lineRule="auto"/>
        <w:tabs>
          <w:tab w:leader="none" w:pos="1383" w:val="left"/>
        </w:tabs>
        <w:numPr>
          <w:ilvl w:val="0"/>
          <w:numId w:val="57"/>
        </w:numPr>
        <w:rPr>
          <w:rFonts w:ascii="Arial" w:cs="Arial" w:eastAsia="Arial" w:hAnsi="Arial"/>
          <w:sz w:val="15"/>
          <w:szCs w:val="15"/>
          <w:color w:val="auto"/>
        </w:rPr>
      </w:pPr>
      <w:r>
        <w:rPr>
          <w:rFonts w:ascii="Arial" w:cs="Arial" w:eastAsia="Arial" w:hAnsi="Arial"/>
          <w:sz w:val="15"/>
          <w:szCs w:val="15"/>
          <w:color w:val="auto"/>
        </w:rPr>
        <w:t>From and after the Closing Date through the sixth anniversary of the Closing Date, Parent shall cause (i) the Organizational Documents of Parent to contain provisions no less favorable to the current or former directors, managers, officers or employees of the Company or Parent (collectively, “</w:t>
      </w:r>
      <w:r>
        <w:rPr>
          <w:rFonts w:ascii="Arial" w:cs="Arial" w:eastAsia="Arial" w:hAnsi="Arial"/>
          <w:sz w:val="15"/>
          <w:szCs w:val="15"/>
          <w:u w:val="single" w:color="auto"/>
          <w:color w:val="auto"/>
        </w:rPr>
        <w:t>D&amp;O Indemnitees</w:t>
      </w:r>
      <w:r>
        <w:rPr>
          <w:rFonts w:ascii="Arial" w:cs="Arial" w:eastAsia="Arial" w:hAnsi="Arial"/>
          <w:sz w:val="15"/>
          <w:szCs w:val="15"/>
          <w:color w:val="auto"/>
        </w:rPr>
        <w:t>”) with respect to limitation of certain liabilities, advancement of expenses and indemnification than are set forth as of the date of this Agreement in the Organizational Documents of the Company or Parent, as applicable, which provisions in each case, except as required by Law, shall not be amended, repealed or otherwise modified in a manner that would adversely affect the rights thereunder of the D&amp;O Indemnitees with respect to any acts or omissions occurring at or prior to the Closing.</w:t>
      </w:r>
    </w:p>
    <w:p>
      <w:pPr>
        <w:spacing w:after="0" w:line="155" w:lineRule="exact"/>
        <w:rPr>
          <w:rFonts w:ascii="Arial" w:cs="Arial" w:eastAsia="Arial" w:hAnsi="Arial"/>
          <w:sz w:val="15"/>
          <w:szCs w:val="15"/>
          <w:color w:val="auto"/>
        </w:rPr>
      </w:pPr>
    </w:p>
    <w:p>
      <w:pPr>
        <w:jc w:val="both"/>
        <w:ind w:firstLine="1143"/>
        <w:spacing w:after="0" w:line="262" w:lineRule="auto"/>
        <w:tabs>
          <w:tab w:leader="none" w:pos="13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Prior to the Closing Date, Parent may purchase, at the expense of the Surviving Corporation, a directors’ and officers’ liability tail insurance policy on terms and conditions satisfactory to Parent for all of the officers and directors of Parent as of immediately prior to the Merger, with respect to claims arising from facts and events that occurred prior to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are intended to be for the benefit of, and shall be enforceable by, each D&amp;O Indemnitee for all periods ending on or before the Closing Date and may not be changed with respect to any officer or director without his or her written consent.</w:t>
      </w:r>
    </w:p>
    <w:p>
      <w:pPr>
        <w:spacing w:after="0" w:line="151" w:lineRule="exact"/>
        <w:rPr>
          <w:rFonts w:ascii="Arial" w:cs="Arial" w:eastAsia="Arial" w:hAnsi="Arial"/>
          <w:sz w:val="16"/>
          <w:szCs w:val="16"/>
          <w:color w:val="auto"/>
        </w:rPr>
      </w:pPr>
    </w:p>
    <w:p>
      <w:pPr>
        <w:ind w:firstLine="1143"/>
        <w:spacing w:after="0" w:line="275" w:lineRule="auto"/>
        <w:tabs>
          <w:tab w:leader="none" w:pos="13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the Closing Date, Parent shall enter into customary indemnification agreements reasonably satisfactory to each of the Company and Parent with the post-Closing directors and officers of Parent, which indemnification agreements shall continue to be effective following the Closing.</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Tax Matters</w:t>
      </w:r>
      <w:r>
        <w:rPr>
          <w:rFonts w:ascii="Arial" w:cs="Arial" w:eastAsia="Arial" w:hAnsi="Arial"/>
          <w:sz w:val="16"/>
          <w:szCs w:val="16"/>
          <w:color w:val="auto"/>
        </w:rPr>
        <w:t>.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another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COVENANTS OF PARENT AND MERGER SUB</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Operations of Parent Prior to the Closing</w:t>
      </w:r>
      <w:r>
        <w:rPr>
          <w:rFonts w:ascii="Arial" w:cs="Arial" w:eastAsia="Arial" w:hAnsi="Arial"/>
          <w:sz w:val="16"/>
          <w:szCs w:val="16"/>
          <w:color w:val="auto"/>
        </w:rPr>
        <w:t>. Between the date hereof and the Closing, and except as contemplated by this Agreement or with the prior written approval of the Company (which consent shall not be unreasonably withheld, conditioned or delayed and may be given as set forth below), Parent shall, and shall cause Merger Sub (a) to use commercially reasonable efforts to (i) conduct their respective businesses in the Ordinary Course and (ii) keep available the services of their respective officers, and (b) to not take any of the following actions:</w:t>
      </w:r>
    </w:p>
    <w:p>
      <w:pPr>
        <w:spacing w:after="0" w:line="165" w:lineRule="exact"/>
        <w:rPr>
          <w:sz w:val="20"/>
          <w:szCs w:val="20"/>
          <w:color w:val="auto"/>
        </w:rPr>
      </w:pPr>
    </w:p>
    <w:p>
      <w:pPr>
        <w:ind w:left="560" w:right="20" w:firstLine="1156"/>
        <w:spacing w:after="0" w:line="275" w:lineRule="auto"/>
        <w:tabs>
          <w:tab w:leader="none" w:pos="1913"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any amendment or modification to any of Parent’s Organizational Documents or Merger Sub’s Organizational Documents, other than in connection with an amendment to extend the date by which the Merger may be consummated;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5" w:name="page56"/>
    <w:bookmarkEnd w:id="55"/>
    <w:p>
      <w:pPr>
        <w:ind w:left="-560" w:right="20" w:firstLine="1156"/>
        <w:spacing w:after="0" w:line="275" w:lineRule="auto"/>
        <w:tabs>
          <w:tab w:leader="none" w:pos="82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take any action in violation or contravention of any of Parent’s Organizational Documents, Merger Sub’s Organizational Documents, applicable Law or any applicable rules and regulations of the SEC or Nasdaq;</w:t>
      </w:r>
    </w:p>
    <w:p>
      <w:pPr>
        <w:spacing w:after="0" w:line="151" w:lineRule="exact"/>
        <w:rPr>
          <w:rFonts w:ascii="Arial" w:cs="Arial" w:eastAsia="Arial" w:hAnsi="Arial"/>
          <w:sz w:val="16"/>
          <w:szCs w:val="16"/>
          <w:color w:val="auto"/>
        </w:rPr>
      </w:pPr>
    </w:p>
    <w:p>
      <w:pPr>
        <w:ind w:left="880" w:hanging="284"/>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terminate or amend any material provision of any Contract to which Parent is a party to;</w:t>
      </w:r>
    </w:p>
    <w:p>
      <w:pPr>
        <w:spacing w:after="0" w:line="198" w:lineRule="exact"/>
        <w:rPr>
          <w:rFonts w:ascii="Arial" w:cs="Arial" w:eastAsia="Arial" w:hAnsi="Arial"/>
          <w:sz w:val="16"/>
          <w:szCs w:val="16"/>
          <w:color w:val="auto"/>
        </w:rPr>
      </w:pPr>
    </w:p>
    <w:p>
      <w:pPr>
        <w:jc w:val="both"/>
        <w:ind w:left="-560" w:firstLine="1156"/>
        <w:spacing w:after="0" w:line="280" w:lineRule="auto"/>
        <w:tabs>
          <w:tab w:leader="none" w:pos="859" w:val="left"/>
        </w:tabs>
        <w:numPr>
          <w:ilvl w:val="0"/>
          <w:numId w:val="59"/>
        </w:numPr>
        <w:rPr>
          <w:rFonts w:ascii="Arial" w:cs="Arial" w:eastAsia="Arial" w:hAnsi="Arial"/>
          <w:sz w:val="15"/>
          <w:szCs w:val="15"/>
          <w:color w:val="auto"/>
        </w:rPr>
      </w:pPr>
      <w:r>
        <w:rPr>
          <w:rFonts w:ascii="Arial" w:cs="Arial" w:eastAsia="Arial" w:hAnsi="Arial"/>
          <w:sz w:val="15"/>
          <w:szCs w:val="15"/>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or engage in any hedging transaction with a third Person with respect to such equity securities or other security interests, other than in connection with the PIPE Financing;</w:t>
      </w:r>
    </w:p>
    <w:p>
      <w:pPr>
        <w:spacing w:after="0" w:line="151" w:lineRule="exact"/>
        <w:rPr>
          <w:rFonts w:ascii="Arial" w:cs="Arial" w:eastAsia="Arial" w:hAnsi="Arial"/>
          <w:sz w:val="15"/>
          <w:szCs w:val="15"/>
          <w:color w:val="auto"/>
        </w:rPr>
      </w:pPr>
    </w:p>
    <w:p>
      <w:pPr>
        <w:ind w:left="820" w:hanging="224"/>
        <w:spacing w:after="0"/>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any redemption or purchase of its equity interests, except pursuant to the Offer;</w:t>
      </w:r>
    </w:p>
    <w:p>
      <w:pPr>
        <w:spacing w:after="0" w:line="198" w:lineRule="exact"/>
        <w:rPr>
          <w:rFonts w:ascii="Arial" w:cs="Arial" w:eastAsia="Arial" w:hAnsi="Arial"/>
          <w:sz w:val="16"/>
          <w:szCs w:val="16"/>
          <w:color w:val="auto"/>
        </w:rPr>
      </w:pPr>
    </w:p>
    <w:p>
      <w:pPr>
        <w:ind w:left="-560" w:firstLine="1156"/>
        <w:spacing w:after="0" w:line="275" w:lineRule="auto"/>
        <w:tabs>
          <w:tab w:leader="none" w:pos="888"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amend, modify, waive any provision of, terminate prior to its scheduled expiration date, or otherwise compromise in any way, the Trust Agreement or any other Contract related to the Trust Account;</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9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or allow to be made any reduction or increase in the Trust Amount, other than as expressly permitted by Parent’s Organizational Documents and the Trust Agreement;</w:t>
      </w:r>
    </w:p>
    <w:p>
      <w:pPr>
        <w:spacing w:after="0" w:line="151" w:lineRule="exact"/>
        <w:rPr>
          <w:rFonts w:ascii="Arial" w:cs="Arial" w:eastAsia="Arial" w:hAnsi="Arial"/>
          <w:sz w:val="16"/>
          <w:szCs w:val="16"/>
          <w:color w:val="auto"/>
        </w:rPr>
      </w:pPr>
    </w:p>
    <w:p>
      <w:pPr>
        <w:ind w:left="960" w:hanging="364"/>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amend, modify, waive any provision of, terminate, or otherwise compromise in any way, any Subscription Agreement;</w:t>
      </w:r>
    </w:p>
    <w:p>
      <w:pPr>
        <w:spacing w:after="0" w:line="198" w:lineRule="exact"/>
        <w:rPr>
          <w:rFonts w:ascii="Arial" w:cs="Arial" w:eastAsia="Arial" w:hAnsi="Arial"/>
          <w:sz w:val="16"/>
          <w:szCs w:val="16"/>
          <w:color w:val="auto"/>
        </w:rPr>
      </w:pPr>
    </w:p>
    <w:p>
      <w:pPr>
        <w:ind w:left="-560" w:firstLine="1156"/>
        <w:spacing w:after="0" w:line="309" w:lineRule="auto"/>
        <w:tabs>
          <w:tab w:leader="none" w:pos="862"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incur any loan or Indebtedness or issue or sell any debt securities or warrants or rights to acquire any debt securities of Parent or Merger Sub or assume, guarantee, endorse or otherwise as an accommodation become responsible for the obligations of any Person for Indebtedness;</w:t>
      </w:r>
    </w:p>
    <w:p>
      <w:pPr>
        <w:spacing w:after="0" w:line="129" w:lineRule="exact"/>
        <w:rPr>
          <w:rFonts w:ascii="Arial" w:cs="Arial" w:eastAsia="Arial" w:hAnsi="Arial"/>
          <w:sz w:val="15"/>
          <w:szCs w:val="15"/>
          <w:color w:val="auto"/>
        </w:rPr>
      </w:pPr>
    </w:p>
    <w:p>
      <w:pPr>
        <w:ind w:left="-560" w:right="20" w:firstLine="1156"/>
        <w:spacing w:after="0" w:line="275" w:lineRule="auto"/>
        <w:tabs>
          <w:tab w:leader="none" w:pos="816"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merge or consolidate with or acquire any other Person or business or be acquired by any other Person or enter into any joint venture, partnership, joint marketing or joint development with another Person;</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8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take any action or enter into any transaction, the effect of which might reasonably be expected to impair, delay, or prevent any required approvals, including expiration of the waiting period of the HSR Act, under antitrust or competition Law;</w:t>
      </w:r>
    </w:p>
    <w:p>
      <w:pPr>
        <w:spacing w:after="0" w:line="151" w:lineRule="exact"/>
        <w:rPr>
          <w:rFonts w:ascii="Arial" w:cs="Arial" w:eastAsia="Arial" w:hAnsi="Arial"/>
          <w:sz w:val="16"/>
          <w:szCs w:val="16"/>
          <w:color w:val="auto"/>
        </w:rPr>
      </w:pPr>
    </w:p>
    <w:p>
      <w:pPr>
        <w:ind w:left="920" w:hanging="324"/>
        <w:spacing w:after="0"/>
        <w:tabs>
          <w:tab w:leader="none" w:pos="9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adopt a plan of complete or partial liquidation, dissolution, merger, consolidation, restructuring, recapitalization or other reorganization;</w:t>
      </w:r>
    </w:p>
    <w:p>
      <w:pPr>
        <w:spacing w:after="0" w:line="209" w:lineRule="exact"/>
        <w:rPr>
          <w:rFonts w:ascii="Arial" w:cs="Arial" w:eastAsia="Arial" w:hAnsi="Arial"/>
          <w:sz w:val="15"/>
          <w:szCs w:val="15"/>
          <w:color w:val="auto"/>
        </w:rPr>
      </w:pPr>
    </w:p>
    <w:p>
      <w:pPr>
        <w:ind w:left="-560" w:right="20" w:firstLine="1156"/>
        <w:spacing w:after="0" w:line="275" w:lineRule="auto"/>
        <w:tabs>
          <w:tab w:leader="none" w:pos="9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adopt any Parent Benefit Arrangements not in existence as of the date hereof (excluding any renewal or replacement of any Parent Benefit Arrangements in existence as of the date hereof in the ordinary course), other than the Equity Incentive Plan;</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56" w:name="page57"/>
    <w:bookmarkEnd w:id="56"/>
    <w:p>
      <w:pPr>
        <w:jc w:val="both"/>
        <w:ind w:left="560" w:right="20" w:firstLine="1156"/>
        <w:spacing w:after="0" w:line="258" w:lineRule="auto"/>
        <w:tabs>
          <w:tab w:leader="none" w:pos="20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property or otherwise, with respect to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164" w:lineRule="exact"/>
        <w:rPr>
          <w:rFonts w:ascii="Arial" w:cs="Arial" w:eastAsia="Arial" w:hAnsi="Arial"/>
          <w:sz w:val="16"/>
          <w:szCs w:val="16"/>
          <w:color w:val="auto"/>
        </w:rPr>
      </w:pPr>
    </w:p>
    <w:p>
      <w:pPr>
        <w:jc w:val="both"/>
        <w:ind w:left="560" w:firstLine="1156"/>
        <w:spacing w:after="0" w:line="258" w:lineRule="auto"/>
        <w:tabs>
          <w:tab w:leader="none" w:pos="2038"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reclassify, combine, split, subdivide or redeem, or purchase or otherwise acquire, directly or indirectly,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164" w:lineRule="exact"/>
        <w:rPr>
          <w:rFonts w:ascii="Arial" w:cs="Arial" w:eastAsia="Arial" w:hAnsi="Arial"/>
          <w:sz w:val="16"/>
          <w:szCs w:val="16"/>
          <w:color w:val="auto"/>
        </w:rPr>
      </w:pPr>
    </w:p>
    <w:p>
      <w:pPr>
        <w:ind w:left="2060" w:hanging="344"/>
        <w:spacing w:after="0"/>
        <w:tabs>
          <w:tab w:leader="none" w:pos="20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its fiscal year or any material method of accounting or material accounting practice, except for any such change required by GAAP;</w:t>
      </w:r>
    </w:p>
    <w:p>
      <w:pPr>
        <w:spacing w:after="0" w:line="221" w:lineRule="exact"/>
        <w:rPr>
          <w:rFonts w:ascii="Arial" w:cs="Arial" w:eastAsia="Arial" w:hAnsi="Arial"/>
          <w:sz w:val="14"/>
          <w:szCs w:val="14"/>
          <w:color w:val="auto"/>
        </w:rPr>
      </w:pPr>
    </w:p>
    <w:p>
      <w:pPr>
        <w:ind w:left="560" w:right="20" w:firstLine="1156"/>
        <w:spacing w:after="0" w:line="309" w:lineRule="auto"/>
        <w:tabs>
          <w:tab w:leader="none" w:pos="2113"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make (inconsistent with past practice), revoke or change any material Tax election, adopt or change any material Tax accounting method or period, file an amended material Tax Return, enter into any material closing agreement, settlement or settle any material Tax claim or assessment;</w:t>
      </w:r>
    </w:p>
    <w:p>
      <w:pPr>
        <w:spacing w:after="0" w:line="129" w:lineRule="exact"/>
        <w:rPr>
          <w:rFonts w:ascii="Arial" w:cs="Arial" w:eastAsia="Arial" w:hAnsi="Arial"/>
          <w:sz w:val="15"/>
          <w:szCs w:val="15"/>
          <w:color w:val="auto"/>
        </w:rPr>
      </w:pPr>
    </w:p>
    <w:p>
      <w:pPr>
        <w:ind w:left="560" w:right="20" w:firstLine="1156"/>
        <w:spacing w:after="0" w:line="275" w:lineRule="auto"/>
        <w:tabs>
          <w:tab w:leader="none" w:pos="215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where such action or failure to act would reasonably be expected to prevent the Merger from qualifying for the Intended Tax Treatment; or</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agree or commit to do, or resolve, authorize or approve any action to do, any of the foregoing, or take any action or omission that would result</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in any of the foregoing.</w:t>
      </w:r>
    </w:p>
    <w:p>
      <w:pPr>
        <w:spacing w:after="0" w:line="18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 xml:space="preserve">Parent shall be permitted to request consent from the Company in writing (including by electronic mail) by delivering written notice (including by electronic mail) to any of the individuals specified on </w:t>
      </w:r>
      <w:r>
        <w:rPr>
          <w:rFonts w:ascii="Arial" w:cs="Arial" w:eastAsia="Arial" w:hAnsi="Arial"/>
          <w:sz w:val="15"/>
          <w:szCs w:val="15"/>
          <w:u w:val="single" w:color="auto"/>
          <w:color w:val="auto"/>
        </w:rPr>
        <w:t>Schedule 6.1(b)</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the Company shall respond (including by return email) to such request as promptly as practicable, and if the Company does not respond (including by return email) to any request within two Business Days after Parent delivers such written request for consent to the Company (including at the email addresses set forth in </w:t>
      </w:r>
      <w:r>
        <w:rPr>
          <w:rFonts w:ascii="Arial" w:cs="Arial" w:eastAsia="Arial" w:hAnsi="Arial"/>
          <w:sz w:val="15"/>
          <w:szCs w:val="15"/>
          <w:u w:val="single" w:color="auto"/>
          <w:color w:val="auto"/>
        </w:rPr>
        <w:t>Schedule 6.1(b)</w:t>
      </w:r>
      <w:r>
        <w:rPr>
          <w:rFonts w:ascii="Arial" w:cs="Arial" w:eastAsia="Arial" w:hAnsi="Arial"/>
          <w:sz w:val="15"/>
          <w:szCs w:val="15"/>
          <w:color w:val="auto"/>
        </w:rPr>
        <w:t xml:space="preserve"> or such other email addresses as Parent shall specify in a notice delivered in accordance with </w:t>
      </w:r>
      <w:r>
        <w:rPr>
          <w:rFonts w:ascii="Arial" w:cs="Arial" w:eastAsia="Arial" w:hAnsi="Arial"/>
          <w:sz w:val="15"/>
          <w:szCs w:val="15"/>
          <w:u w:val="single" w:color="auto"/>
          <w:color w:val="auto"/>
        </w:rPr>
        <w:t>Section 10.10</w:t>
      </w:r>
      <w:r>
        <w:rPr>
          <w:rFonts w:ascii="Arial" w:cs="Arial" w:eastAsia="Arial" w:hAnsi="Arial"/>
          <w:sz w:val="15"/>
          <w:szCs w:val="15"/>
          <w:color w:val="auto"/>
        </w:rPr>
        <w:t>), the Company shall be deemed to have provided its prior written consent to the taking of such action.</w:t>
      </w:r>
    </w:p>
    <w:p>
      <w:pPr>
        <w:spacing w:after="0" w:line="155"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Listing</w:t>
      </w:r>
      <w:r>
        <w:rPr>
          <w:rFonts w:ascii="Arial" w:cs="Arial" w:eastAsia="Arial" w:hAnsi="Arial"/>
          <w:sz w:val="15"/>
          <w:szCs w:val="15"/>
          <w:color w:val="auto"/>
        </w:rPr>
        <w:t>. Parent shall use its commercially reasonable efforts: (i) to maintain its existing listing on The Nasdaq Capital Market until the Closing Date and to obtain approval of the listing of the combined company on The Nasdaq Capital Market; (ii) without derogating from the generality of the requirements of clause “(i)” and to the extent required by the rules and regulations of Nasdaq, to (x) prepare and submit to Nasdaq a notification form for the listing of the shares of Parent Common Stock to be issued in the Merger and (y) to cause such shares to be approved for listing (subject to notice of issuance) on The Nasdaq Capital Market; and (iii) to the extent required by Nasdaq Marketplace Rule 5110, to file an initial listing application for the Parent Common Stock on Nasdaq (the “Nasdaq Listing Application”) and to cause such Nasdaq Listing Application to be conditionally approved prior to the Effective Time.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section.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7" w:name="page58"/>
    <w:bookmarkEnd w:id="57"/>
    <w:p>
      <w:pPr>
        <w:jc w:val="both"/>
        <w:ind w:firstLine="574"/>
        <w:spacing w:after="0" w:line="280"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Trust Account</w:t>
      </w:r>
      <w:r>
        <w:rPr>
          <w:rFonts w:ascii="Arial" w:cs="Arial" w:eastAsia="Arial" w:hAnsi="Arial"/>
          <w:sz w:val="15"/>
          <w:szCs w:val="15"/>
          <w:color w:val="auto"/>
        </w:rPr>
        <w:t>. Parent has established the Trust Account from the proceeds of the IPO and from certain private placements occurring simultaneously with the IPO for the benefit of the Parent Public Stockholders and certain parties (including the underwriters of the IPO). Prior to the Closing, Parent shall disburse monies from the Trust Account only (x) to pay income and other tax obligations from any interest income earned in the Trust Account or (y) to redeem Parent Common Stock in accordance with the provisions of Parent’s Organizational Documents. The Trust Agreement will not be amended or modified prior to the Effective Time.</w:t>
      </w:r>
    </w:p>
    <w:p>
      <w:pPr>
        <w:spacing w:after="0" w:line="15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Insider Letter Agreement</w:t>
      </w:r>
      <w:r>
        <w:rPr>
          <w:rFonts w:ascii="Arial" w:cs="Arial" w:eastAsia="Arial" w:hAnsi="Arial"/>
          <w:sz w:val="16"/>
          <w:szCs w:val="16"/>
          <w:color w:val="auto"/>
        </w:rPr>
        <w:t>. Parent shall ensure that the Insider Letter Agreement shall not be amended, modified, terminated, waived or supplemented and shall remain in full force and effect, and that the Insiders shall vote in favor of this Agreement and the Merger and the other Parent Proposals in accordance with the terms thereof.</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Parent Public Filings</w:t>
      </w:r>
      <w:r>
        <w:rPr>
          <w:rFonts w:ascii="Arial" w:cs="Arial" w:eastAsia="Arial" w:hAnsi="Arial"/>
          <w:sz w:val="16"/>
          <w:szCs w:val="16"/>
          <w:color w:val="auto"/>
        </w:rPr>
        <w:t>. From the date hereof through the Closing, Parent will keep current and timely file all reports required to be filed or furnished with the SEC and otherwise comply in all material respects with its reporting obligations under applicable Laws.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Closing, the board of directors of Parent, or an appropriate committee of “non-employee directors” (as defined in Rule 16b-3 of the Exchange Act) thereof, shall adopt a resolution consistent with the interpretive guidance of the SEC so that the acquisition of Merger Consideration pursuant to this Agreement and the other agreements contemplated hereby, by any person owning securities of the Company who is expected to become a director or officer (as defined under Rule 16a-1(f) under the Exchange Act) of Parent following the Closing shall be an exempt transaction for purposes of Section 16(b) of the Exchange Act pursuant to Rule 16b-3 thereunder.</w:t>
      </w:r>
    </w:p>
    <w:p>
      <w:pPr>
        <w:spacing w:after="0" w:line="170"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6.7 </w:t>
      </w:r>
      <w:r>
        <w:rPr>
          <w:rFonts w:ascii="Arial" w:cs="Arial" w:eastAsia="Arial" w:hAnsi="Arial"/>
          <w:sz w:val="15"/>
          <w:szCs w:val="15"/>
          <w:u w:val="single" w:color="auto"/>
          <w:color w:val="auto"/>
        </w:rPr>
        <w:t>Notice of Changes</w:t>
      </w:r>
      <w:r>
        <w:rPr>
          <w:rFonts w:ascii="Arial" w:cs="Arial" w:eastAsia="Arial" w:hAnsi="Arial"/>
          <w:sz w:val="15"/>
          <w:szCs w:val="15"/>
          <w:color w:val="auto"/>
        </w:rPr>
        <w:t xml:space="preserve">. Parent shall give prompt written notice to the Company of (a) any representation or warranty made by Parent or Merger Sub contained in this Agreement becoming untrue or inaccurate such that the condition set forth in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would not be satisfied, (b) any breach of any covenant or agreement of Parent or Merger Sub contained in this Agreement such that the condition set forth in </w:t>
      </w:r>
      <w:r>
        <w:rPr>
          <w:rFonts w:ascii="Arial" w:cs="Arial" w:eastAsia="Arial" w:hAnsi="Arial"/>
          <w:sz w:val="15"/>
          <w:szCs w:val="15"/>
          <w:u w:val="single" w:color="auto"/>
          <w:color w:val="auto"/>
        </w:rPr>
        <w:t>Section 8.3(b)</w:t>
      </w:r>
      <w:r>
        <w:rPr>
          <w:rFonts w:ascii="Arial" w:cs="Arial" w:eastAsia="Arial" w:hAnsi="Arial"/>
          <w:sz w:val="15"/>
          <w:szCs w:val="15"/>
          <w:color w:val="auto"/>
        </w:rPr>
        <w:t xml:space="preserve"> would not be satisfied, (c) any event, circumstance or development that would reasonably be expected to have a Parent Material Adverse Effect; and (d) any Proceeding initiated by or against the Parent or its Subsidiaries or any of their predecessors or against any officer or director of the Parent or any of its Subsidiaries in their capacity; provided, however, that in each case (i) no such notification shall affect the representations, warranties, covenants, agreements or conditions to the obligations of the Parties under this Agreement and (ii) no such notification shall be deemed to cure any breach of any covenant or agreement or inaccuracy of any representation or warranty.</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Adoption of Equity Incentive Plan</w:t>
      </w:r>
      <w:r>
        <w:rPr>
          <w:rFonts w:ascii="Arial" w:cs="Arial" w:eastAsia="Arial" w:hAnsi="Arial"/>
          <w:sz w:val="16"/>
          <w:szCs w:val="16"/>
          <w:color w:val="auto"/>
        </w:rPr>
        <w:t xml:space="preserve">. Prior to the Closing Date, Parent shall approve and adopt an Equity Incentive Plan in substantially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(with such changes as may be agreed in writing by Parent and the Company, the “</w:t>
      </w:r>
      <w:r>
        <w:rPr>
          <w:rFonts w:ascii="Arial" w:cs="Arial" w:eastAsia="Arial" w:hAnsi="Arial"/>
          <w:sz w:val="16"/>
          <w:szCs w:val="16"/>
          <w:u w:val="single" w:color="auto"/>
          <w:color w:val="auto"/>
        </w:rPr>
        <w:t>Equity Incentive Plan</w:t>
      </w:r>
      <w:r>
        <w:rPr>
          <w:rFonts w:ascii="Arial" w:cs="Arial" w:eastAsia="Arial" w:hAnsi="Arial"/>
          <w:sz w:val="16"/>
          <w:szCs w:val="16"/>
          <w:color w:val="auto"/>
        </w:rPr>
        <w:t xml:space="preserve">”) and an employee stock purchase plan in substantially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(with such changes as may be agreed in writing by Parent and the Company, the “</w:t>
      </w:r>
      <w:r>
        <w:rPr>
          <w:rFonts w:ascii="Arial" w:cs="Arial" w:eastAsia="Arial" w:hAnsi="Arial"/>
          <w:sz w:val="16"/>
          <w:szCs w:val="16"/>
          <w:u w:val="single" w:color="auto"/>
          <w:color w:val="auto"/>
        </w:rPr>
        <w:t>ESPP</w:t>
      </w:r>
      <w:r>
        <w:rPr>
          <w:rFonts w:ascii="Arial" w:cs="Arial" w:eastAsia="Arial" w:hAnsi="Arial"/>
          <w:sz w:val="16"/>
          <w:szCs w:val="16"/>
          <w:color w:val="auto"/>
        </w:rPr>
        <w:t>”) with share reserves and shares issuable to be included in the respective plans (as applicable) as are mutually agreed to by the parties prior to the Closing, subject to any applicable SEC disclosure requirements in connection therewith.</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color w:val="auto"/>
        </w:rPr>
        <w:t>ARTICLE VII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ACTIONS PRIOR TO THE CLOSING</w:t>
      </w:r>
    </w:p>
    <w:p>
      <w:pPr>
        <w:spacing w:after="0" w:line="222"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No Shop</w:t>
      </w:r>
      <w:r>
        <w:rPr>
          <w:rFonts w:ascii="Arial" w:cs="Arial" w:eastAsia="Arial" w:hAnsi="Arial"/>
          <w:sz w:val="15"/>
          <w:szCs w:val="15"/>
          <w:color w:val="auto"/>
        </w:rPr>
        <w:t xml:space="preserve">. From the date hereof through the earlier of (a) the Closing Date, and (b) the date that this Agreement is properly terminated in accordance with </w:t>
      </w:r>
      <w:r>
        <w:rPr>
          <w:rFonts w:ascii="Arial" w:cs="Arial" w:eastAsia="Arial" w:hAnsi="Arial"/>
          <w:sz w:val="15"/>
          <w:szCs w:val="15"/>
          <w:u w:val="single" w:color="auto"/>
          <w:color w:val="auto"/>
        </w:rPr>
        <w:t>Article VIII</w:t>
      </w:r>
      <w:r>
        <w:rPr>
          <w:rFonts w:ascii="Arial" w:cs="Arial" w:eastAsia="Arial" w:hAnsi="Arial"/>
          <w:sz w:val="15"/>
          <w:szCs w:val="15"/>
          <w:color w:val="auto"/>
        </w:rPr>
        <w:t>, neither the Company, on the one hand, nor the Parent, on the other hand, shall, and such Persons shall use commercially reasonable efforts to cause each of their respective members, officers, directors, Affiliates, managers, consultants, employees, representatives and agents not to, directly or indirectly, (i) encourage, solicit, initiate, engage, participate, enter into discussions or negotiations with, or make any proposal to, any Person concerning any Alternative Transaction, (ii) take any other action intended or designed to facilitate the efforts of any Person relating to a possible Alternative Transaction (including, without limitation, providing any due diligence materials), (iii) grant any waiver, amendment or release under any confidentiality agreement or the anti-takeover laws of any state, or (iv) approve, recommend or enter into any Alternative Transaction or any Contract related to any Alternative Transaction. In the event that there is an unsolicited proposal for, or an indication of an interest in entering into, an Alternative Transaction, communicated orally or in writing to the Company or Parent or any of their respective representatives or agents (each, an “</w:t>
      </w:r>
      <w:r>
        <w:rPr>
          <w:rFonts w:ascii="Arial" w:cs="Arial" w:eastAsia="Arial" w:hAnsi="Arial"/>
          <w:sz w:val="15"/>
          <w:szCs w:val="15"/>
          <w:u w:val="single" w:color="auto"/>
          <w:color w:val="auto"/>
        </w:rPr>
        <w:t>Alternative Proposal</w:t>
      </w:r>
      <w:r>
        <w:rPr>
          <w:rFonts w:ascii="Arial" w:cs="Arial" w:eastAsia="Arial" w:hAnsi="Arial"/>
          <w:sz w:val="15"/>
          <w:szCs w:val="15"/>
          <w:color w:val="auto"/>
        </w:rPr>
        <w:t>”), such party shall as promptly as practicable (and in any event within one Business Day after receipt) advise the other Party orally and in writing of such Alternative Proposal and the material terms and conditions of such Alternative Proposal (including any changes thereto). The Company and Parent shall keep the other Party informed on a reasonably current basis of material developments with respect to any such Alternative Proposal. From and after the date hereof, the Company, on the one hand, and the Parent, on the other hand, shall, instruct their officers and directors to, and such parties shall instruct and cause its representatives to, immediately cease and terminate all discussions and negotiations with any Persons that may be ongoing with respect to an Alternative Transaction.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Efforts to Consummate the Transactions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3" w:lineRule="auto"/>
        <w:tabs>
          <w:tab w:leader="none" w:pos="1443"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herein provided, each of Parent, Merger Sub and the Company shall use reasonable best efforts to take, or cause to be taken, all action and to do, or cause to be done, all things reasonably necessary, proper or advisable to consummate and make effective as promptly as practicable the Merger (including the satisfaction, but not waiver, of the closing conditions set forth in </w:t>
      </w:r>
      <w:r>
        <w:rPr>
          <w:rFonts w:ascii="Arial" w:cs="Arial" w:eastAsia="Arial" w:hAnsi="Arial"/>
          <w:sz w:val="15"/>
          <w:szCs w:val="15"/>
          <w:u w:val="single" w:color="auto"/>
          <w:color w:val="auto"/>
        </w:rPr>
        <w:t>Article VIII</w:t>
      </w:r>
      <w:r>
        <w:rPr>
          <w:rFonts w:ascii="Arial" w:cs="Arial" w:eastAsia="Arial" w:hAnsi="Arial"/>
          <w:sz w:val="15"/>
          <w:szCs w:val="15"/>
          <w:color w:val="auto"/>
        </w:rPr>
        <w:t>). Without limiting the foregoing, Parent will take all action necessary to cause Merger Sub to perform its obligations under this Agreement. Each of Parent, Merger Sub and the Company shall use reasonable best efforts to obtain consents of any Governmental Authority necessary to consummate the Transactions, including to make all filings contemplated under the HSR Act as promptly as practicable and, in any event, shall each file the Notification and Report Form under the HSR Act, if required, no more than ten (10) Business Days after the as of the date of this Agreement. The parties agree to request at the time of filing early termination of the applicable waiting period under the HSR Act.</w:t>
      </w:r>
    </w:p>
    <w:p>
      <w:pPr>
        <w:spacing w:after="0" w:line="156" w:lineRule="exact"/>
        <w:rPr>
          <w:rFonts w:ascii="Arial" w:cs="Arial" w:eastAsia="Arial" w:hAnsi="Arial"/>
          <w:sz w:val="15"/>
          <w:szCs w:val="15"/>
          <w:color w:val="auto"/>
        </w:rPr>
      </w:pPr>
    </w:p>
    <w:p>
      <w:pPr>
        <w:jc w:val="both"/>
        <w:ind w:firstLine="1143"/>
        <w:spacing w:after="0" w:line="290" w:lineRule="auto"/>
        <w:tabs>
          <w:tab w:leader="none" w:pos="1452" w:val="left"/>
        </w:tabs>
        <w:numPr>
          <w:ilvl w:val="0"/>
          <w:numId w:val="61"/>
        </w:numPr>
        <w:rPr>
          <w:rFonts w:ascii="Arial" w:cs="Arial" w:eastAsia="Arial" w:hAnsi="Arial"/>
          <w:sz w:val="14"/>
          <w:szCs w:val="14"/>
          <w:color w:val="auto"/>
        </w:rPr>
      </w:pPr>
      <w:r>
        <w:rPr>
          <w:rFonts w:ascii="Arial" w:cs="Arial" w:eastAsia="Arial" w:hAnsi="Arial"/>
          <w:sz w:val="14"/>
          <w:szCs w:val="14"/>
          <w:color w:val="auto"/>
        </w:rPr>
        <w:t>Without limiting the foregoing, the Parties agree to use reasonable best efforts to (1) promptly notify the other of, and if in writing, furnish the other with copies of (or, in the case of oral communications, advise the other of) any communications from or with any Governmental Authority with respect to the this Agreement or the Transactions contemplated hereby, (2) permit the other to review and discuss in advance, and consider in good faith the view of the other in connection with, any proposed written or oral communication with any Governmental Authority, (3) 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and participate therein, (4) furnish the other Party’s outside legal counsel with copies of all filings and communications between it and any such Governmental Authority with respect to this Agreement and the transactions contemplated hereby; provided that such material may (a) be redacted as necessary (I) to comply with contractual arrangements, (II) to address legal privilege concerns, or (III) to remove references concerning the valuation of the parties or (b) be designated as “outside counsel only,” which materials and the information contained therein shall be given only to outside counsel and previously-agreed outside economic consultants of the recipient and will not be disclosed by such outside counsel or outside economic consultants to employees, officers, or directors of the recipient without the advance written consent of the party providing such materials; and (5) furnish the other Party’s outside legal counsel with such necessary information and reasonable assistance as the other Party’s outside legal counsel may reasonably request in connection with its preparation of necessary submissions of information to any such Governmental Authority.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8" w:right="319" w:bottom="1440" w:gutter="0" w:footer="0" w:header="0"/>
        </w:sectPr>
      </w:pPr>
    </w:p>
    <w:bookmarkStart w:id="59" w:name="page60"/>
    <w:bookmarkEnd w:id="59"/>
    <w:p>
      <w:pPr>
        <w:jc w:val="both"/>
        <w:ind w:firstLine="1143"/>
        <w:spacing w:after="0" w:line="258" w:lineRule="auto"/>
        <w:tabs>
          <w:tab w:leader="none" w:pos="1479"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event any Proceeding by any Governmental Authority or other Person is commenced which questions the validity or legality of the Merger or seeks damages in connection therewith, Parent, Merger Sub and the Company agree to cooperate and use their reasonable best efforts to defend against such Proceeding and, if an injunction or other Order is issued in any such Proceeding, to use reasonable best efforts to have such injunction or other Order lifted, and to cooperate reasonably regarding any other impediment to the consummation of the Merger.</w:t>
      </w:r>
    </w:p>
    <w:p>
      <w:pPr>
        <w:spacing w:after="0" w:line="164" w:lineRule="exact"/>
        <w:rPr>
          <w:rFonts w:ascii="Arial" w:cs="Arial" w:eastAsia="Arial" w:hAnsi="Arial"/>
          <w:sz w:val="16"/>
          <w:szCs w:val="16"/>
          <w:color w:val="auto"/>
        </w:rPr>
      </w:pPr>
    </w:p>
    <w:p>
      <w:pPr>
        <w:jc w:val="both"/>
        <w:ind w:right="20" w:firstLine="1143"/>
        <w:spacing w:after="0" w:line="258" w:lineRule="auto"/>
        <w:tabs>
          <w:tab w:leader="none" w:pos="1464"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Notwithstanding the foregoing, nothing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require, or be construed to require, Parent, Merger Sub or the Company or any of their respective Affiliates to agree to (i) sell, hold, divest, discontinue or limit, before or after the Closing Date, any assets, businesses or interests of Parent, Merger Sub or the Company or any of their respective Affiliates; (ii) any conditions relating to, or changes or restrictions in, the operations of any such assets, businesses or interests; or (iii) any modification or waiver of the terms and conditions of this Agreement.</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4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Company shall use its commercially reasonable efforts to obtain or provide, as applicable, at the earliest practicable date, all consents, approvals and notices listed in </w:t>
      </w:r>
      <w:r>
        <w:rPr>
          <w:rFonts w:ascii="Arial" w:cs="Arial" w:eastAsia="Arial" w:hAnsi="Arial"/>
          <w:sz w:val="16"/>
          <w:szCs w:val="16"/>
          <w:u w:val="single" w:color="auto"/>
          <w:color w:val="auto"/>
        </w:rPr>
        <w:t>Schedule 7.2(e)</w:t>
      </w:r>
      <w:r>
        <w:rPr>
          <w:rFonts w:ascii="Arial" w:cs="Arial" w:eastAsia="Arial" w:hAnsi="Arial"/>
          <w:sz w:val="16"/>
          <w:szCs w:val="16"/>
          <w:color w:val="auto"/>
        </w:rPr>
        <w:t xml:space="preserve">. The Company shall keep Parent apprised of its efforts undertaken by reason of this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and the results of such efforts including by giving Parent copies of consents obtained and notices provided.</w:t>
      </w:r>
    </w:p>
    <w:p>
      <w:pPr>
        <w:spacing w:after="0" w:line="162"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color w:val="auto"/>
        </w:rPr>
        <w:t xml:space="preserve">Section 7.3 </w:t>
      </w:r>
      <w:r>
        <w:rPr>
          <w:rFonts w:ascii="Arial" w:cs="Arial" w:eastAsia="Arial" w:hAnsi="Arial"/>
          <w:sz w:val="14"/>
          <w:szCs w:val="14"/>
          <w:u w:val="single" w:color="auto"/>
          <w:color w:val="auto"/>
        </w:rPr>
        <w:t>PIPE Financing</w:t>
      </w:r>
      <w:r>
        <w:rPr>
          <w:rFonts w:ascii="Arial" w:cs="Arial" w:eastAsia="Arial" w:hAnsi="Arial"/>
          <w:sz w:val="14"/>
          <w:szCs w:val="14"/>
          <w:color w:val="auto"/>
        </w:rPr>
        <w:t>. Unless otherwise approved in writing by the Company, which approval shall not be unreasonably withheld, Parent shall not permit any amendment or modification to be made to, any waiver (in whole or in part) of, or provide consent to modify (including consent to terminate), any provision or remedy under, or any replacements of, any of the Subscription Agreements, in each case, other than as a result of any assignment or transfer contemplated therein or permitted thereby. Subject to the immediately preceding sentence and in the event that all conditions in the Subscription Agreements have been satisfied, Parent shall use its commercially reasonable efforts to take, or to cause to be taken, all actions required, necessary or that it otherwise deems to be proper or advisable to consummate the transactions contemplated by the Subscription Agreements on the terms described therein, including to enforce its rights under the Subscription Agreements to cause the PIPE Investors to pay to (or as directed by) Parent the applicable purchase price under each PIPE Investor’s applicable Subscription Agreement in accordance with its terms.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Cooperation with Proxy Statement; Other Filings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49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shall promptly provide to Parent such information concerning the Company and the Stockholders as is either required by the federal securities Laws, or reasonably requested by Parent for inclusion in the Form S-4 (as hereinafter defined) and Offer Documents (as hereinafter defined). As promptly as practicable after the receipt by Parent from the Company of all such information relating to the Company, Parent shall prepare and file with the SEC, and with all other applicable regulatory bodies, a Registration Statement on Form S-4 (the “</w:t>
      </w:r>
      <w:r>
        <w:rPr>
          <w:rFonts w:ascii="Arial" w:cs="Arial" w:eastAsia="Arial" w:hAnsi="Arial"/>
          <w:sz w:val="16"/>
          <w:szCs w:val="16"/>
          <w:u w:val="single" w:color="auto"/>
          <w:color w:val="auto"/>
        </w:rPr>
        <w:t>Form S-4</w:t>
      </w:r>
      <w:r>
        <w:rPr>
          <w:rFonts w:ascii="Arial" w:cs="Arial" w:eastAsia="Arial" w:hAnsi="Arial"/>
          <w:sz w:val="16"/>
          <w:szCs w:val="16"/>
          <w:color w:val="auto"/>
        </w:rPr>
        <w:t>”), which shall include proxy materials in the form of a proxy statement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for the purpose of soliciting proxies from holders of Parent Common Stock to, among other things, vote in favor of the adoption the Parent Proposals at the Parent Stockholder Meeting. All Parent Common Stock issuable in the Merger shall be registered in the Form S-4. Parent shall promptly respond to any SEC comments on the Form S-4.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60" w:name="page61"/>
    <w:bookmarkEnd w:id="60"/>
    <w:p>
      <w:pPr>
        <w:jc w:val="both"/>
        <w:ind w:firstLine="1143"/>
        <w:spacing w:after="0" w:line="292" w:lineRule="auto"/>
        <w:tabs>
          <w:tab w:leader="none" w:pos="1536" w:val="left"/>
        </w:tabs>
        <w:numPr>
          <w:ilvl w:val="0"/>
          <w:numId w:val="64"/>
        </w:numPr>
        <w:rPr>
          <w:rFonts w:ascii="Arial" w:cs="Arial" w:eastAsia="Arial" w:hAnsi="Arial"/>
          <w:sz w:val="14"/>
          <w:szCs w:val="14"/>
          <w:color w:val="auto"/>
        </w:rPr>
      </w:pPr>
      <w:r>
        <w:rPr>
          <w:rFonts w:ascii="Arial" w:cs="Arial" w:eastAsia="Arial" w:hAnsi="Arial"/>
          <w:sz w:val="14"/>
          <w:szCs w:val="14"/>
          <w:color w:val="auto"/>
        </w:rPr>
        <w:t>Parent (i) shall permit the Company and its counsel to review and comment on the Form S-4/Proxy Statement,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the Form S-4/Proxy Statement, or any exhibit, amendment or supplement thereto without the prior written consent of the Company, not to be unreasonably withheld, conditioned or delayed. As promptly as practicable after receipt thereof, Parent shall provide to the Company and its counsel notice and a copy of all correspondence (or, to the extent such correspondence is oral, a complete summary thereof), including any comments from the SEC or its staff, between Parent or any of its representatives, on the one hand, and the SEC, or its staff or other government officials, on the other hand, with respect to the Form S-4/Proxy Statement, and, in each case, shall consult with the Company and its counsel concerning any such correspondence. Parent shall not file any response letters to any comments from the SEC without the prior written consent of the Company, such consent not to be unreasonably withheld, conditioned or delayed. Parent will advise the Company, promptly after it receives notice thereof, of the time when the Form S-4/Proxy Statement or any amendment or supplement thereto has been filed with the SEC, when all SEC comments to the Form S-4/Proxy Statement have been cleared and when the Form S-4/Proxy Statement will be, and is, declared effective.</w:t>
      </w:r>
    </w:p>
    <w:p>
      <w:pPr>
        <w:spacing w:after="0" w:line="144" w:lineRule="exact"/>
        <w:rPr>
          <w:rFonts w:ascii="Arial" w:cs="Arial" w:eastAsia="Arial" w:hAnsi="Arial"/>
          <w:sz w:val="14"/>
          <w:szCs w:val="14"/>
          <w:color w:val="auto"/>
        </w:rPr>
      </w:pPr>
    </w:p>
    <w:p>
      <w:pPr>
        <w:jc w:val="both"/>
        <w:ind w:firstLine="1143"/>
        <w:spacing w:after="0" w:line="274" w:lineRule="auto"/>
        <w:tabs>
          <w:tab w:leader="none" w:pos="1491" w:val="left"/>
        </w:tabs>
        <w:numPr>
          <w:ilvl w:val="0"/>
          <w:numId w:val="64"/>
        </w:numPr>
        <w:rPr>
          <w:rFonts w:ascii="Arial" w:cs="Arial" w:eastAsia="Arial" w:hAnsi="Arial"/>
          <w:sz w:val="15"/>
          <w:szCs w:val="15"/>
          <w:color w:val="auto"/>
        </w:rPr>
      </w:pPr>
      <w:r>
        <w:rPr>
          <w:rFonts w:ascii="Arial" w:cs="Arial" w:eastAsia="Arial" w:hAnsi="Arial"/>
          <w:sz w:val="15"/>
          <w:szCs w:val="15"/>
          <w:color w:val="auto"/>
        </w:rPr>
        <w:t>Promptly following the date on which the Form S-4/Proxy Statement is declared effective by the SEC (the “</w:t>
      </w:r>
      <w:r>
        <w:rPr>
          <w:rFonts w:ascii="Arial" w:cs="Arial" w:eastAsia="Arial" w:hAnsi="Arial"/>
          <w:sz w:val="15"/>
          <w:szCs w:val="15"/>
          <w:u w:val="single" w:color="auto"/>
          <w:color w:val="auto"/>
        </w:rPr>
        <w:t>Form S-4 Effective Date</w:t>
      </w:r>
      <w:r>
        <w:rPr>
          <w:rFonts w:ascii="Arial" w:cs="Arial" w:eastAsia="Arial" w:hAnsi="Arial"/>
          <w:sz w:val="15"/>
          <w:szCs w:val="15"/>
          <w:color w:val="auto"/>
        </w:rPr>
        <w:t xml:space="preserve">”), Parent shall distribute the Proxy Statement to the holders of Parent Common Stock and, pursuant thereto, shall call a Parent Stockholder Meeting in accordance with its Organizational Documents and the DGCL to (i) solicit proxies from such holders to vote in favor of the adoption of this Agreement and the Merger and the approval of the other matters presented to Parent Stockholders for approval or adoption at Parent Stockholder Meeting, including, without limitation, the Parent Proposals (as hereinafter defined), and (ii) provide its stockholders the opportunity to elect to effect a redemption as contemplated in </w:t>
      </w:r>
      <w:r>
        <w:rPr>
          <w:rFonts w:ascii="Arial" w:cs="Arial" w:eastAsia="Arial" w:hAnsi="Arial"/>
          <w:sz w:val="15"/>
          <w:szCs w:val="15"/>
          <w:u w:val="single" w:color="auto"/>
          <w:color w:val="auto"/>
        </w:rPr>
        <w:t>Section 7.4(f)</w:t>
      </w:r>
      <w:r>
        <w:rPr>
          <w:rFonts w:ascii="Arial" w:cs="Arial" w:eastAsia="Arial" w:hAnsi="Arial"/>
          <w:sz w:val="15"/>
          <w:szCs w:val="15"/>
          <w:color w:val="auto"/>
        </w:rPr>
        <w:t xml:space="preserve"> below. The prospectus included in the Form S-4 shall be distributed to the Company Stockholders in connection with the solicitation of the Company Stockholder Approval.</w:t>
      </w:r>
    </w:p>
    <w:p>
      <w:pPr>
        <w:spacing w:after="0" w:line="156" w:lineRule="exact"/>
        <w:rPr>
          <w:rFonts w:ascii="Arial" w:cs="Arial" w:eastAsia="Arial" w:hAnsi="Arial"/>
          <w:sz w:val="15"/>
          <w:szCs w:val="15"/>
          <w:color w:val="auto"/>
        </w:rPr>
      </w:pPr>
    </w:p>
    <w:p>
      <w:pPr>
        <w:jc w:val="both"/>
        <w:ind w:right="20" w:firstLine="1143"/>
        <w:spacing w:after="0" w:line="290" w:lineRule="auto"/>
        <w:tabs>
          <w:tab w:leader="none" w:pos="1464" w:val="left"/>
        </w:tabs>
        <w:numPr>
          <w:ilvl w:val="0"/>
          <w:numId w:val="64"/>
        </w:numPr>
        <w:rPr>
          <w:rFonts w:ascii="Arial" w:cs="Arial" w:eastAsia="Arial" w:hAnsi="Arial"/>
          <w:sz w:val="14"/>
          <w:szCs w:val="14"/>
          <w:color w:val="auto"/>
        </w:rPr>
      </w:pPr>
      <w:r>
        <w:rPr>
          <w:rFonts w:ascii="Arial" w:cs="Arial" w:eastAsia="Arial" w:hAnsi="Arial"/>
          <w:sz w:val="14"/>
          <w:szCs w:val="14"/>
          <w:color w:val="auto"/>
        </w:rPr>
        <w:t>Parent and the Company shall comply with all applicable provisions of and rules under the Securities Act and Exchange Act and all applicable Laws of the State of Delaware and Nasdaq, in the preparation, filing and distribution of the Form S-4/Proxy Statement (or any amendment or supplement thereto), as applicable, the solicitation of proxies under the Proxy Statement and the calling and holding of Parent Stockholder Meeting. Without limiting the foregoing, Parent shall ensure that the Form S-4, as of the Form S-4 Effective Date, and the Proxy Statement, as of the date on which it is first distributed to Parent Stockholders, and as of the date of Parent Stockholder Meeting, does not contain any untrue statement of a material fact or omit to state a material fact necessary in order to make the statements made, in light of the circumstances under which they were made, not misleading (provided that Parent shall not be responsible for the accuracy or completeness of any information relating to the Company or any other information furnished by the Company for inclusion in the Form S-4/Proxy Statement). If at any time prior to Closing, a change in the information relating to Parent or any other information furnished by Parent for inclusion in the Form S-4/Proxy Statement, which would make the preceding sentence incorrect, should be discovered by Parent, it shall promptly notify the Company of such change. If at any time prior to Closing, a change in the information relating to the Company or any other information furnished by the Company for inclusion in the Form S-4/Proxy Statement, which would make the preceding sentence incorrect, should be discovered by the Company, it shall promptly notify Parent of such change. In connection therewith, the Company shall instruct the employees, counsel, financial advisors, auditors and other authorized representatives of the Company to reasonably cooperate with Parent as relevant if required to achieve the foregoing.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1" w:name="page62"/>
    <w:bookmarkEnd w:id="61"/>
    <w:p>
      <w:pPr>
        <w:jc w:val="both"/>
        <w:ind w:firstLine="1143"/>
        <w:spacing w:after="0" w:line="270" w:lineRule="auto"/>
        <w:tabs>
          <w:tab w:leader="none" w:pos="1455"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In the Proxy Statement, Parent shall seek, in accordance with Parent’s Organizational Documents and applicable securities Laws, rules and regulations, including the DGCL and rules and regulations of Nasdaq, from the holders of Parent Common Stock, approval of certain proposals, including (i) adoption and approval of the Second Amended and Restated Certificate of Incorporation of Parent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with effect from the Closing, increasing the number of authorized shares of Parent Common Stock for issuance, and changing Parent’s name to “Tango Therapeutics, Inc.” (including any separate or unbundled proposals as may be required to implement the foregoing); (ii) approval of the issuance of more than 20% of the issued and outstanding shares of Parent Common Stock to the Stockholders in connection with the Merger as well as any other approval that may be required under the Nasdaq rules; (iii) approval of the issuance of more than 20% of the issued and outstanding shares of Parent Common Stock in connection with the PIPE Financing; (iv) approval of the appointment of the Company’s Designees to the Post-Closing Board of Directors as contemplated by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1.6</w:t>
      </w:r>
      <w:r>
        <w:rPr>
          <w:rFonts w:ascii="Arial" w:cs="Arial" w:eastAsia="Arial" w:hAnsi="Arial"/>
          <w:sz w:val="15"/>
          <w:szCs w:val="15"/>
          <w:color w:val="auto"/>
        </w:rPr>
        <w:t xml:space="preserve">; (v) approval of the Equity Incentive Plan and the ESPP as provided in </w:t>
      </w:r>
      <w:r>
        <w:rPr>
          <w:rFonts w:ascii="Arial" w:cs="Arial" w:eastAsia="Arial" w:hAnsi="Arial"/>
          <w:sz w:val="15"/>
          <w:szCs w:val="15"/>
          <w:u w:val="single" w:color="auto"/>
          <w:color w:val="auto"/>
        </w:rPr>
        <w:t>Section 6.8</w:t>
      </w:r>
      <w:r>
        <w:rPr>
          <w:rFonts w:ascii="Arial" w:cs="Arial" w:eastAsia="Arial" w:hAnsi="Arial"/>
          <w:sz w:val="15"/>
          <w:szCs w:val="15"/>
          <w:color w:val="auto"/>
        </w:rPr>
        <w:t>; (vi) approval to adjourn the Parent Stockholder Meeting, if necessary, to permit further solicitation of proxies because there are not sufficient votes to either establish a quorum or to approve and adopt any of the foregoing, provided that, without the consent of the Company, in no event shall Parent adjourn the Parent Stockholders Meeting for more than ten (10) Business Days later than the most recently adjourned meeting; and (vii) approval to obtain any and all other mutually agreed upon approvals necessary or advisable to effect the consummation of the Merger (the proposals set forth in the forgoing clauses (i) through (vii) are referred to as the “</w:t>
      </w:r>
      <w:r>
        <w:rPr>
          <w:rFonts w:ascii="Arial" w:cs="Arial" w:eastAsia="Arial" w:hAnsi="Arial"/>
          <w:sz w:val="15"/>
          <w:szCs w:val="15"/>
          <w:u w:val="single" w:color="auto"/>
          <w:color w:val="auto"/>
        </w:rPr>
        <w:t>Parent Proposals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jc w:val="both"/>
        <w:ind w:right="20" w:firstLine="1143"/>
        <w:spacing w:after="0" w:line="297" w:lineRule="auto"/>
        <w:tabs>
          <w:tab w:leader="none" w:pos="1461" w:val="left"/>
        </w:tabs>
        <w:numPr>
          <w:ilvl w:val="0"/>
          <w:numId w:val="65"/>
        </w:numPr>
        <w:rPr>
          <w:rFonts w:ascii="Arial" w:cs="Arial" w:eastAsia="Arial" w:hAnsi="Arial"/>
          <w:sz w:val="14"/>
          <w:szCs w:val="14"/>
          <w:color w:val="auto"/>
        </w:rPr>
      </w:pPr>
      <w:r>
        <w:rPr>
          <w:rFonts w:ascii="Arial" w:cs="Arial" w:eastAsia="Arial" w:hAnsi="Arial"/>
          <w:sz w:val="14"/>
          <w:szCs w:val="14"/>
          <w:color w:val="auto"/>
        </w:rPr>
        <w:t>Parent, with the assistance of the Company, shall use its reasonable best efforts to cause the Form S-4/Proxy Statement to “clear” comments from the SEC and the Form S-4 to become effective as promptly as reasonably practicable. Concurrently with the dissemination of the Proxy Statement, Parent shall commence (within the meaning of Rule 14d-2 under the Exchange Act) an offer to the Parent Public Stockholders to redeem all or a portion of their Parent Common Stock, up to that number of Parent Common Stock that would permit Parent to maintain net tangible assets of at least $5,000,001, all in accordance with and as required by Parent’s Organizational Documents, applicable Law, and any applicable rules and regulations of the SEC (the “</w:t>
      </w:r>
      <w:r>
        <w:rPr>
          <w:rFonts w:ascii="Arial" w:cs="Arial" w:eastAsia="Arial" w:hAnsi="Arial"/>
          <w:sz w:val="14"/>
          <w:szCs w:val="14"/>
          <w:u w:val="single" w:color="auto"/>
          <w:color w:val="auto"/>
        </w:rPr>
        <w:t>Offer</w:t>
      </w:r>
      <w:r>
        <w:rPr>
          <w:rFonts w:ascii="Arial" w:cs="Arial" w:eastAsia="Arial" w:hAnsi="Arial"/>
          <w:sz w:val="14"/>
          <w:szCs w:val="14"/>
          <w:color w:val="auto"/>
        </w:rPr>
        <w:t>”). In accordance with Parent’s Organizational Documents, the proceeds held in the Trust Account will be used for the redemption of Parent Common Stock held by Parent Public Stockholders who have elected to redeem such Parent Common Stock.</w:t>
      </w:r>
    </w:p>
    <w:p>
      <w:pPr>
        <w:spacing w:after="0" w:line="143" w:lineRule="exact"/>
        <w:rPr>
          <w:rFonts w:ascii="Arial" w:cs="Arial" w:eastAsia="Arial" w:hAnsi="Arial"/>
          <w:sz w:val="14"/>
          <w:szCs w:val="14"/>
          <w:color w:val="auto"/>
        </w:rPr>
      </w:pPr>
    </w:p>
    <w:p>
      <w:pPr>
        <w:jc w:val="both"/>
        <w:ind w:right="20" w:firstLine="1143"/>
        <w:spacing w:after="0" w:line="258" w:lineRule="auto"/>
        <w:tabs>
          <w:tab w:leader="none" w:pos="1476"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Parent shall extend the Offer for any minimum period required by any rule, regulation, interpretation or position of the SEC, Nasdaq or the respective staff thereof that is applicable to the Offer, and pursuant to Parent’s Organizational Documents. Nothing in this </w:t>
      </w:r>
      <w:r>
        <w:rPr>
          <w:rFonts w:ascii="Arial" w:cs="Arial" w:eastAsia="Arial" w:hAnsi="Arial"/>
          <w:sz w:val="16"/>
          <w:szCs w:val="16"/>
          <w:u w:val="single" w:color="auto"/>
          <w:color w:val="auto"/>
        </w:rPr>
        <w:t>Section 7.4(g)</w:t>
      </w:r>
      <w:r>
        <w:rPr>
          <w:rFonts w:ascii="Arial" w:cs="Arial" w:eastAsia="Arial" w:hAnsi="Arial"/>
          <w:sz w:val="16"/>
          <w:szCs w:val="16"/>
          <w:color w:val="auto"/>
        </w:rPr>
        <w:t xml:space="preserve"> shall (i) impose any obligation on Parent to extend the Offer beyond the Outside Date or (ii) be deemed to impair, limit or otherwise restrict in any manner the right of Parent to terminate this Agreement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143"/>
        <w:spacing w:after="0" w:line="276" w:lineRule="auto"/>
        <w:tabs>
          <w:tab w:leader="none" w:pos="1476" w:val="left"/>
        </w:tabs>
        <w:numPr>
          <w:ilvl w:val="0"/>
          <w:numId w:val="65"/>
        </w:numPr>
        <w:rPr>
          <w:rFonts w:ascii="Arial" w:cs="Arial" w:eastAsia="Arial" w:hAnsi="Arial"/>
          <w:sz w:val="15"/>
          <w:szCs w:val="15"/>
          <w:color w:val="auto"/>
        </w:rPr>
      </w:pPr>
      <w:r>
        <w:rPr>
          <w:rFonts w:ascii="Arial" w:cs="Arial" w:eastAsia="Arial" w:hAnsi="Arial"/>
          <w:sz w:val="15"/>
          <w:szCs w:val="15"/>
          <w:color w:val="auto"/>
        </w:rPr>
        <w:t>Notwithstanding anything else to the contrary in this Agreement or any Transaction Document, Parents may make any public filing with respect to the Merger to the extent required by applicable Law; provided, however, Parent (i) shall permit the Company and its counsel to review and comment on any such filing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any such filing or any exhibit, amendment or supplement thereto without the prior written consent of the Company, not to be unreasonably withheld, conditioned or delayed.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Stockholder Vote; Recommendation of Parent’s Board of Directors</w:t>
      </w:r>
      <w:r>
        <w:rPr>
          <w:rFonts w:ascii="Arial" w:cs="Arial" w:eastAsia="Arial" w:hAnsi="Arial"/>
          <w:sz w:val="15"/>
          <w:szCs w:val="15"/>
          <w:color w:val="auto"/>
        </w:rPr>
        <w:t>. Parent, through Parent’s board of directors, shall recommend that Parent’s stockholders vote in favor of adopting and approving all Parent Proposals, and Parent shall include such recommendation in the Proxy Statement. Parent’s board of directors shall not withdraw, amend, qualify or modify its recommendation to the shareholders of Parent that they vote in favor of the Parent Proposals (together with any withdrawal, amendment, qualification or modification of its recommendation to the shareholders of Parent, a “</w:t>
      </w:r>
      <w:r>
        <w:rPr>
          <w:rFonts w:ascii="Arial" w:cs="Arial" w:eastAsia="Arial" w:hAnsi="Arial"/>
          <w:sz w:val="15"/>
          <w:szCs w:val="15"/>
          <w:u w:val="single" w:color="auto"/>
          <w:color w:val="auto"/>
        </w:rPr>
        <w:t>Modification in Recommendation</w:t>
      </w:r>
      <w:r>
        <w:rPr>
          <w:rFonts w:ascii="Arial" w:cs="Arial" w:eastAsia="Arial" w:hAnsi="Arial"/>
          <w:sz w:val="15"/>
          <w:szCs w:val="15"/>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2" w:name="page63"/>
    <w:bookmarkEnd w:id="62"/>
    <w:p>
      <w:pPr>
        <w:ind w:left="560"/>
        <w:spacing w:after="0"/>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Parent Stockholders’ Meeting</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2" w:lineRule="auto"/>
        <w:tabs>
          <w:tab w:leader="none" w:pos="1443" w:val="left"/>
        </w:tabs>
        <w:numPr>
          <w:ilvl w:val="0"/>
          <w:numId w:val="66"/>
        </w:numPr>
        <w:rPr>
          <w:rFonts w:ascii="Arial" w:cs="Arial" w:eastAsia="Arial" w:hAnsi="Arial"/>
          <w:sz w:val="14"/>
          <w:szCs w:val="14"/>
          <w:color w:val="auto"/>
        </w:rPr>
      </w:pPr>
      <w:r>
        <w:rPr>
          <w:rFonts w:ascii="Arial" w:cs="Arial" w:eastAsia="Arial" w:hAnsi="Arial"/>
          <w:sz w:val="14"/>
          <w:szCs w:val="14"/>
          <w:color w:val="auto"/>
        </w:rPr>
        <w:t>Parent shall take all action necessary under applicable Law to, in consultation with the Company, establish a record date for, call, give notice of and hold a meeting of the holders of Parent Common Stock to consider and vote on Parent Proposals at the Parent Stockholders’ Meeting. Parent Stockholders’ Meeting shall be held as promptly as practicable, in accordance with applicable Law and Parent’s Organizational Documents, after the Form S-4 Effective Date, but in no event later than 30 days following the Form S-4 Effective Date. Parent shall take reasonable measures to ensure that all proxies solicited in connection with Parent Stockholders’ Meeting are solicited in compliance with all applicable Law. Notwithstanding anything to the contrary contained herein, if on the date of the Parent Stockholders’ Meeting, or a date preceding the date on which the Parent Stockholders’ Meeting is scheduled, Parent (after consultation with the Company) reasonably believes that (i) it will not receive proxies sufficient to obtain the Parent Required Vote for each Parent Proposal, whether or not a quorum would be present or (ii) it will not have sufficient Parent Common Stock represented (whether in person or by proxy) to constitute a quorum necessary to conduct the business of the Parent Stockholders’ Meeting, Parent may postpone or adjourn, or make one or more successive postponements or adjournments of, the Parent Stockholders’ Meeting in compliance with the DGCL and Parent’s Organizational Documents, as long as the date of the Parent Stockholders’ Meeting is not postponed or adjourned more than an aggregate of 30 calendar days in connection with any postponements or adjournments.</w:t>
      </w:r>
    </w:p>
    <w:p>
      <w:pPr>
        <w:spacing w:after="0" w:line="144" w:lineRule="exact"/>
        <w:rPr>
          <w:rFonts w:ascii="Arial" w:cs="Arial" w:eastAsia="Arial" w:hAnsi="Arial"/>
          <w:sz w:val="14"/>
          <w:szCs w:val="14"/>
          <w:color w:val="auto"/>
        </w:rPr>
      </w:pPr>
    </w:p>
    <w:p>
      <w:pPr>
        <w:ind w:right="20" w:firstLine="1143"/>
        <w:spacing w:after="0" w:line="275" w:lineRule="auto"/>
        <w:tabs>
          <w:tab w:leader="none" w:pos="1464"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Promptly following the execution of this Agreement, Parent shall approve and adopt this Agreement and approve the Merger and the Transactions, in its capacity as the sole stockholder of Merger Sub.</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Form 8-K; Press Releases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80" w:lineRule="auto"/>
        <w:tabs>
          <w:tab w:leader="none" w:pos="1443" w:val="left"/>
        </w:tabs>
        <w:numPr>
          <w:ilvl w:val="0"/>
          <w:numId w:val="67"/>
        </w:numPr>
        <w:rPr>
          <w:rFonts w:ascii="Arial" w:cs="Arial" w:eastAsia="Arial" w:hAnsi="Arial"/>
          <w:sz w:val="15"/>
          <w:szCs w:val="15"/>
          <w:color w:val="auto"/>
        </w:rPr>
      </w:pPr>
      <w:r>
        <w:rPr>
          <w:rFonts w:ascii="Arial" w:cs="Arial" w:eastAsia="Arial" w:hAnsi="Arial"/>
          <w:sz w:val="15"/>
          <w:szCs w:val="15"/>
          <w:color w:val="auto"/>
        </w:rPr>
        <w:t>As promptly as practicable after execution of this Agreement, but no later than two Business Days thereafter, Parent will file a Current Report on Form 8-K pursuant to the Exchange Act to report the execution of this Agreement, a copy of which has been provided to the Company prior to the date of this Agreement and which the Company may review and comment upon prior to filing. Promptly after the execution of this Agreement, Parent and the Company shall also issue a joint press release announcing the execution of this Agreement, in form and substance mutually acceptable to Parent and the Company.</w:t>
      </w:r>
    </w:p>
    <w:p>
      <w:pPr>
        <w:spacing w:after="0" w:line="151" w:lineRule="exact"/>
        <w:rPr>
          <w:rFonts w:ascii="Arial" w:cs="Arial" w:eastAsia="Arial" w:hAnsi="Arial"/>
          <w:sz w:val="15"/>
          <w:szCs w:val="15"/>
          <w:color w:val="auto"/>
        </w:rPr>
      </w:pPr>
    </w:p>
    <w:p>
      <w:pPr>
        <w:jc w:val="both"/>
        <w:ind w:right="20" w:firstLine="1143"/>
        <w:spacing w:after="0" w:line="262" w:lineRule="auto"/>
        <w:tabs>
          <w:tab w:leader="none" w:pos="1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the Closing, Parent and the Company shall prepare a mutually agreeable press release announcing the consummation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Press Release</w:t>
      </w:r>
      <w:r>
        <w:rPr>
          <w:rFonts w:ascii="Arial" w:cs="Arial" w:eastAsia="Arial" w:hAnsi="Arial"/>
          <w:sz w:val="16"/>
          <w:szCs w:val="16"/>
          <w:color w:val="auto"/>
        </w:rPr>
        <w:t>”). Concurrently with the Closing, Parent shall distribute the Closing Press Release and, as soon as practicable thereafter, file a Current Report on Form 8-K with the SEC.</w:t>
      </w:r>
    </w:p>
    <w:p>
      <w:pPr>
        <w:spacing w:after="0" w:line="162"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7.8 </w:t>
      </w:r>
      <w:r>
        <w:rPr>
          <w:rFonts w:ascii="Arial" w:cs="Arial" w:eastAsia="Arial" w:hAnsi="Arial"/>
          <w:sz w:val="14"/>
          <w:szCs w:val="14"/>
          <w:u w:val="single" w:color="auto"/>
          <w:color w:val="auto"/>
        </w:rPr>
        <w:t>Fees and Expenses</w:t>
      </w:r>
      <w:r>
        <w:rPr>
          <w:rFonts w:ascii="Arial" w:cs="Arial" w:eastAsia="Arial" w:hAnsi="Arial"/>
          <w:sz w:val="14"/>
          <w:szCs w:val="14"/>
          <w:color w:val="auto"/>
        </w:rPr>
        <w:t xml:space="preserve">. Except as otherwise set forth in this Agreement, each party hereto shall be responsible for and pay its own expenses incurred in connection with this Agreement and the transactions contemplated hereby, including all fees of its legal counsel, financial advisers and accountants;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Closing shall occur, Parent shall pay or cause to be paid, the Company Transaction Expenses and the Parent Transaction Expenses related to the Merger and the Transactions. Notwithstanding the foregoing, fees for the HSR Filing shall be paid one-half by the Company and one-half by Parent. For the avoidance of doubt, any payments to be made (or to cause to be made) by Parent pursuant to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shall be paid upon consummation of the Merger and release of proceeds from the Trust Account.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3" w:name="page64"/>
    <w:bookmarkEnd w:id="63"/>
    <w:p>
      <w:pPr>
        <w:jc w:val="both"/>
        <w:ind w:firstLine="574"/>
        <w:spacing w:after="0" w:line="262"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Section 368 Reorganization</w:t>
      </w:r>
      <w:r>
        <w:rPr>
          <w:rFonts w:ascii="Arial" w:cs="Arial" w:eastAsia="Arial" w:hAnsi="Arial"/>
          <w:sz w:val="16"/>
          <w:szCs w:val="16"/>
          <w:color w:val="auto"/>
        </w:rPr>
        <w:t>. Notwithstanding any other provision in this Agreement, the Company Disclosure Schedule or the Parent Disclosure Schedule to the contrary, each of the Parties shall, and shall cause each of their respective Affiliates to, not take any action that would reasonably be expected to prevent or impede the treatment of the Merger as a “reorganization” within the meaning of Section 368(a) of the Code.</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Stockholder Litigation</w:t>
      </w:r>
      <w:r>
        <w:rPr>
          <w:rFonts w:ascii="Arial" w:cs="Arial" w:eastAsia="Arial" w:hAnsi="Arial"/>
          <w:sz w:val="16"/>
          <w:szCs w:val="16"/>
          <w:color w:val="auto"/>
        </w:rPr>
        <w:t>. In the event that any litigation related to this Agreement, any Transaction Documents or the transactions contemplated hereby or thereby is brought, or, to the Knowledge of Parent, threatened in writing, against Parent or the Board of Directors of Parent by any of Parent’s stockholders prior to the Closing, Parent shall promptly notify the Company of any such litigation and keep the Company reasonably informed with respect to the status thereof. Parent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prior written consent of the Company, such consent not to be unreasonably withheld, conditioned or delayed.</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VIII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CONDITIONS PRECEDENT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Conditions to Each Party’s Obligation to Effect the Merger</w:t>
      </w:r>
      <w:r>
        <w:rPr>
          <w:rFonts w:ascii="Arial" w:cs="Arial" w:eastAsia="Arial" w:hAnsi="Arial"/>
          <w:sz w:val="16"/>
          <w:szCs w:val="16"/>
          <w:color w:val="auto"/>
        </w:rPr>
        <w:t>. The respective obligations of each Party to effect the Merger shall be subject to the satisfaction (or waiver, if permissible under applicable Law) on or prior to the Closing Date of the following conditions:</w:t>
      </w:r>
    </w:p>
    <w:p>
      <w:pPr>
        <w:spacing w:after="0" w:line="152" w:lineRule="exact"/>
        <w:rPr>
          <w:sz w:val="20"/>
          <w:szCs w:val="20"/>
          <w:color w:val="auto"/>
        </w:rPr>
      </w:pPr>
    </w:p>
    <w:p>
      <w:pPr>
        <w:ind w:left="1440" w:hanging="297"/>
        <w:spacing w:after="0"/>
        <w:tabs>
          <w:tab w:leader="none" w:pos="14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There shall not be any Order or Law in effect that restrains, enjoins, prevents, prohibits or make illegal the consummation of the Merger;</w:t>
      </w:r>
    </w:p>
    <w:p>
      <w:pPr>
        <w:spacing w:after="0" w:line="198" w:lineRule="exact"/>
        <w:rPr>
          <w:rFonts w:ascii="Arial" w:cs="Arial" w:eastAsia="Arial" w:hAnsi="Arial"/>
          <w:sz w:val="16"/>
          <w:szCs w:val="16"/>
          <w:color w:val="auto"/>
        </w:rPr>
      </w:pPr>
    </w:p>
    <w:p>
      <w:pPr>
        <w:ind w:right="20" w:firstLine="1143"/>
        <w:spacing w:after="0" w:line="275" w:lineRule="auto"/>
        <w:tabs>
          <w:tab w:leader="none" w:pos="14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Merger and each of the Parent Proposals (other than the Parent Proposals described in </w:t>
      </w:r>
      <w:r>
        <w:rPr>
          <w:rFonts w:ascii="Arial" w:cs="Arial" w:eastAsia="Arial" w:hAnsi="Arial"/>
          <w:sz w:val="16"/>
          <w:szCs w:val="16"/>
          <w:u w:val="single" w:color="auto"/>
          <w:color w:val="auto"/>
        </w:rPr>
        <w:t>Section 7.4(e)(v)-(vii)</w:t>
      </w:r>
      <w:r>
        <w:rPr>
          <w:rFonts w:ascii="Arial" w:cs="Arial" w:eastAsia="Arial" w:hAnsi="Arial"/>
          <w:sz w:val="16"/>
          <w:szCs w:val="16"/>
          <w:color w:val="auto"/>
        </w:rPr>
        <w:t>) have been approved by the Parent Required Vote in accordance with the provisions of Parent’s Organizational Documents and the DGCL;</w:t>
      </w:r>
    </w:p>
    <w:p>
      <w:pPr>
        <w:spacing w:after="0" w:line="151" w:lineRule="exact"/>
        <w:rPr>
          <w:rFonts w:ascii="Arial" w:cs="Arial" w:eastAsia="Arial" w:hAnsi="Arial"/>
          <w:sz w:val="16"/>
          <w:szCs w:val="16"/>
          <w:color w:val="auto"/>
        </w:rPr>
      </w:pPr>
    </w:p>
    <w:p>
      <w:pPr>
        <w:ind w:right="20" w:firstLine="1143"/>
        <w:spacing w:after="0" w:line="275" w:lineRule="auto"/>
        <w:tabs>
          <w:tab w:leader="none" w:pos="144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Parent’s initial listing application in connection with the Transactions shall have been approved by Nasdaq so that immediately following the Merger, Parent satisfies any applicable initial and continuing listing requirements of Nasdaq;</w:t>
      </w:r>
    </w:p>
    <w:p>
      <w:pPr>
        <w:spacing w:after="0" w:line="151" w:lineRule="exact"/>
        <w:rPr>
          <w:rFonts w:ascii="Arial" w:cs="Arial" w:eastAsia="Arial" w:hAnsi="Arial"/>
          <w:sz w:val="16"/>
          <w:szCs w:val="16"/>
          <w:color w:val="auto"/>
        </w:rPr>
      </w:pPr>
    </w:p>
    <w:p>
      <w:pPr>
        <w:ind w:firstLine="1143"/>
        <w:spacing w:after="0" w:line="275" w:lineRule="auto"/>
        <w:tabs>
          <w:tab w:leader="none" w:pos="14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After giving effect to all redemptions of Parent Common Stock pursuant to the Offer, Parent shall have net tangible assets of at least $5,000,001 upon consummation of the Merger;</w:t>
      </w:r>
    </w:p>
    <w:p>
      <w:pPr>
        <w:spacing w:after="0" w:line="151" w:lineRule="exact"/>
        <w:rPr>
          <w:rFonts w:ascii="Arial" w:cs="Arial" w:eastAsia="Arial" w:hAnsi="Arial"/>
          <w:sz w:val="16"/>
          <w:szCs w:val="16"/>
          <w:color w:val="auto"/>
        </w:rPr>
      </w:pPr>
    </w:p>
    <w:p>
      <w:pPr>
        <w:ind w:left="1440" w:hanging="297"/>
        <w:spacing w:after="0"/>
        <w:tabs>
          <w:tab w:leader="none" w:pos="1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 consents, approvals and actions of, filings with and notices to any Governmental Authority required to consummate the Transactions shall have been</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made or obtained;</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Offer shall have been completed in accordance with the terms hereof and the Proxy Statement; and</w:t>
      </w:r>
    </w:p>
    <w:p>
      <w:pPr>
        <w:spacing w:after="0" w:line="198" w:lineRule="exact"/>
        <w:rPr>
          <w:rFonts w:ascii="Arial" w:cs="Arial" w:eastAsia="Arial" w:hAnsi="Arial"/>
          <w:sz w:val="16"/>
          <w:szCs w:val="16"/>
          <w:color w:val="auto"/>
        </w:rPr>
      </w:pPr>
    </w:p>
    <w:p>
      <w:pPr>
        <w:ind w:right="20" w:firstLine="1143"/>
        <w:spacing w:after="0" w:line="309" w:lineRule="auto"/>
        <w:tabs>
          <w:tab w:leader="none" w:pos="1476"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required filings under the HSR Act shall have been completed and any applicable waiting period, any extensions thereof, and any commitments by the parties not to close before a certain date under a timing agreement entered into with a Governmental Authority shall have expired or otherwise been terminated.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4" w:name="page65"/>
    <w:bookmarkEnd w:id="64"/>
    <w:p>
      <w:pPr>
        <w:ind w:right="20" w:firstLine="574"/>
        <w:spacing w:after="0" w:line="275"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are further subject to the satisfaction (or waiver, if permissible under applicable Law) on or prior to the Closing Date of the following conditions:</w:t>
      </w:r>
    </w:p>
    <w:p>
      <w:pPr>
        <w:spacing w:after="0" w:line="152" w:lineRule="exact"/>
        <w:rPr>
          <w:sz w:val="20"/>
          <w:szCs w:val="20"/>
          <w:color w:val="auto"/>
        </w:rPr>
      </w:pPr>
    </w:p>
    <w:p>
      <w:pPr>
        <w:jc w:val="both"/>
        <w:ind w:firstLine="1143"/>
        <w:spacing w:after="0" w:line="272" w:lineRule="auto"/>
        <w:tabs>
          <w:tab w:leader="none" w:pos="1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The Fundamental Representations (other than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set forth in this Agreement shall be true and correct in all material respects as of the date hereof and as of the Closing, except the Fundamental Representations (other than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made as of an earlier date or time, which need be true and correct only as of such earlier date or time.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shall be true and correct in all material respects as of the date hereof and as of the Closing, except (i) for the portions of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made as of an earlier date or time, which need be true and correct only as of such earlier date or time and (ii) for breaches of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that, in the aggregate, would not result in a misrepresentation as to securities of the Company valued at less than $250,000. The representations of the Company set forth in this Agreement other than the Fundamental Representations shall be true and correct as of the date hereof and as the Closing except (i) for representations and warranties that speak as of a specific date or time (which need be true and correct only as of such date or time) and (ii) for breaches of the representations and warranties of the Company set forth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(other than the Fundamental Representations) that, in the aggregate, would not have a Company Material Adverse Effect;</w:t>
      </w:r>
    </w:p>
    <w:p>
      <w:pPr>
        <w:spacing w:after="0" w:line="156" w:lineRule="exact"/>
        <w:rPr>
          <w:rFonts w:ascii="Arial" w:cs="Arial" w:eastAsia="Arial" w:hAnsi="Arial"/>
          <w:sz w:val="15"/>
          <w:szCs w:val="15"/>
          <w:color w:val="auto"/>
        </w:rPr>
      </w:pPr>
    </w:p>
    <w:p>
      <w:pPr>
        <w:ind w:left="1440" w:hanging="297"/>
        <w:spacing w:after="0"/>
        <w:tabs>
          <w:tab w:leader="none" w:pos="1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Company shall have performed in all material respects all obligations required to be performed by it under this Agreement at or prior to the Closing</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Date;</w:t>
      </w:r>
    </w:p>
    <w:p>
      <w:pPr>
        <w:spacing w:after="0" w:line="185" w:lineRule="exact"/>
        <w:rPr>
          <w:rFonts w:ascii="Arial" w:cs="Arial" w:eastAsia="Arial" w:hAnsi="Arial"/>
          <w:sz w:val="14"/>
          <w:szCs w:val="14"/>
          <w:color w:val="auto"/>
        </w:rPr>
      </w:pPr>
    </w:p>
    <w:p>
      <w:pPr>
        <w:ind w:firstLine="1143"/>
        <w:spacing w:after="0" w:line="275" w:lineRule="auto"/>
        <w:tabs>
          <w:tab w:leader="none" w:pos="1467" w:val="left"/>
        </w:tabs>
        <w:numPr>
          <w:ilvl w:val="0"/>
          <w:numId w:val="69"/>
        </w:numPr>
        <w:rPr>
          <w:rFonts w:ascii="Arial" w:cs="Arial" w:eastAsia="Arial" w:hAnsi="Arial"/>
          <w:sz w:val="16"/>
          <w:szCs w:val="16"/>
          <w:color w:val="auto"/>
        </w:rPr>
      </w:pPr>
      <w:r>
        <w:rPr>
          <w:rFonts w:ascii="Arial" w:cs="Arial" w:eastAsia="Arial" w:hAnsi="Arial"/>
          <w:sz w:val="16"/>
          <w:szCs w:val="16"/>
          <w:color w:val="auto"/>
        </w:rPr>
        <w:t>Since the date of this Agreement, here shall not be any event that is continuing that would individually, or in the aggregate, reasonably be expected to have a Company Material Adverse Effect;</w:t>
      </w:r>
    </w:p>
    <w:p>
      <w:pPr>
        <w:spacing w:after="0" w:line="151" w:lineRule="exact"/>
        <w:rPr>
          <w:rFonts w:ascii="Arial" w:cs="Arial" w:eastAsia="Arial" w:hAnsi="Arial"/>
          <w:sz w:val="16"/>
          <w:szCs w:val="16"/>
          <w:color w:val="auto"/>
        </w:rPr>
      </w:pPr>
    </w:p>
    <w:p>
      <w:pPr>
        <w:ind w:firstLine="1143"/>
        <w:spacing w:after="0" w:line="275" w:lineRule="auto"/>
        <w:tabs>
          <w:tab w:leader="none" w:pos="1476"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Parent shall have received a certificate, signed by the chief executive officer or chief financial officer of the Company, certifying as to the matters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1440" w:hanging="297"/>
        <w:spacing w:after="0"/>
        <w:tabs>
          <w:tab w:leader="none" w:pos="1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Preferred Stock Conversion shall have been consummated;</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shall have executed and delivered to the Parent a copy of each Transaction Document to which it is a party;</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Stockholders set forth on </w:t>
      </w:r>
      <w:r>
        <w:rPr>
          <w:rFonts w:ascii="Arial" w:cs="Arial" w:eastAsia="Arial" w:hAnsi="Arial"/>
          <w:sz w:val="16"/>
          <w:szCs w:val="16"/>
          <w:u w:val="single" w:color="auto"/>
          <w:color w:val="auto"/>
        </w:rPr>
        <w:t>Schedule 8.2(g)</w:t>
      </w:r>
      <w:r>
        <w:rPr>
          <w:rFonts w:ascii="Arial" w:cs="Arial" w:eastAsia="Arial" w:hAnsi="Arial"/>
          <w:sz w:val="16"/>
          <w:szCs w:val="16"/>
          <w:color w:val="auto"/>
        </w:rPr>
        <w:t xml:space="preserve"> shall have executed and delivered to Parent the applicable Lock-Up Agreements;</w:t>
      </w:r>
    </w:p>
    <w:p>
      <w:pPr>
        <w:spacing w:after="0" w:line="198"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Parent shall have received a certificate, signed by an officer of the Company, certifying that true, complete and correct copies of the Organizational Documents of the Company and each of its Subsidiaries, as in effect on the Closing Date, are attached to such certificate;</w:t>
      </w:r>
    </w:p>
    <w:p>
      <w:pPr>
        <w:spacing w:after="0" w:line="151" w:lineRule="exact"/>
        <w:rPr>
          <w:rFonts w:ascii="Arial" w:cs="Arial" w:eastAsia="Arial" w:hAnsi="Arial"/>
          <w:sz w:val="16"/>
          <w:szCs w:val="16"/>
          <w:color w:val="auto"/>
        </w:rPr>
      </w:pPr>
    </w:p>
    <w:p>
      <w:pPr>
        <w:ind w:right="20" w:firstLine="1143"/>
        <w:spacing w:after="0" w:line="309" w:lineRule="auto"/>
        <w:tabs>
          <w:tab w:leader="none" w:pos="1337"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Parent shall have received copies of third party consents set forth on </w:t>
      </w:r>
      <w:r>
        <w:rPr>
          <w:rFonts w:ascii="Arial" w:cs="Arial" w:eastAsia="Arial" w:hAnsi="Arial"/>
          <w:sz w:val="15"/>
          <w:szCs w:val="15"/>
          <w:u w:val="single" w:color="auto"/>
          <w:color w:val="auto"/>
        </w:rPr>
        <w:t>Schedule 8.2(j)</w:t>
      </w:r>
      <w:r>
        <w:rPr>
          <w:rFonts w:ascii="Arial" w:cs="Arial" w:eastAsia="Arial" w:hAnsi="Arial"/>
          <w:sz w:val="15"/>
          <w:szCs w:val="15"/>
          <w:color w:val="auto"/>
        </w:rPr>
        <w:t xml:space="preserve"> in form and substance reasonably satisfactory to the Parent, and no such consents have been revoked and the PIPE Financing and such listing shall have been approved by Nasdaq subject to official notice of issuance;</w:t>
      </w:r>
    </w:p>
    <w:p>
      <w:pPr>
        <w:spacing w:after="0" w:line="129" w:lineRule="exact"/>
        <w:rPr>
          <w:rFonts w:ascii="Arial" w:cs="Arial" w:eastAsia="Arial" w:hAnsi="Arial"/>
          <w:sz w:val="15"/>
          <w:szCs w:val="15"/>
          <w:color w:val="auto"/>
        </w:rPr>
      </w:pPr>
    </w:p>
    <w:p>
      <w:pPr>
        <w:jc w:val="both"/>
        <w:ind w:firstLine="1143"/>
        <w:spacing w:after="0" w:line="258" w:lineRule="auto"/>
        <w:tabs>
          <w:tab w:leader="none" w:pos="13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Parent shall have received a certificate, signed by an officer of the Company, certifying that true, complete and correct copies of the resolutions of the directors of the Company authorizing the execution and delivery of this Agreement and the other Transaction Documents to which it is a party and performance by the Company of the Transactions, including the Merger, having been duly and validly adopted and being in full force and effect as of the Closing Date, are attached to such certificate; and</w:t>
      </w:r>
    </w:p>
    <w:p>
      <w:pPr>
        <w:spacing w:after="0" w:line="164" w:lineRule="exact"/>
        <w:rPr>
          <w:rFonts w:ascii="Arial" w:cs="Arial" w:eastAsia="Arial" w:hAnsi="Arial"/>
          <w:sz w:val="16"/>
          <w:szCs w:val="16"/>
          <w:color w:val="auto"/>
        </w:rPr>
      </w:pPr>
    </w:p>
    <w:p>
      <w:pPr>
        <w:ind w:left="1360" w:hanging="217"/>
        <w:spacing w:after="0"/>
        <w:tabs>
          <w:tab w:leader="none" w:pos="1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shall have delivered to Parent a certificate of good standing with respect to the Company from State of Delaware.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5" w:name="page66"/>
    <w:bookmarkEnd w:id="65"/>
    <w:p>
      <w:pPr>
        <w:ind w:right="20" w:firstLine="574"/>
        <w:spacing w:after="0" w:line="275"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Conditions to Obligation of the Company</w:t>
      </w:r>
      <w:r>
        <w:rPr>
          <w:rFonts w:ascii="Arial" w:cs="Arial" w:eastAsia="Arial" w:hAnsi="Arial"/>
          <w:sz w:val="16"/>
          <w:szCs w:val="16"/>
          <w:color w:val="auto"/>
        </w:rPr>
        <w:t>. The obligation of the Company and the Stockholders to effect the Merger is further subject to the satisfaction (or waiver, if permissible under applicable Law) on or prior to the Closing Date of the following conditions:</w:t>
      </w:r>
    </w:p>
    <w:p>
      <w:pPr>
        <w:spacing w:after="0" w:line="152" w:lineRule="exact"/>
        <w:rPr>
          <w:sz w:val="20"/>
          <w:szCs w:val="20"/>
          <w:color w:val="auto"/>
        </w:rPr>
      </w:pPr>
    </w:p>
    <w:p>
      <w:pPr>
        <w:jc w:val="both"/>
        <w:ind w:firstLine="1143"/>
        <w:spacing w:after="0" w:line="287" w:lineRule="auto"/>
        <w:tabs>
          <w:tab w:leader="none" w:pos="1443"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representations and warranties of Parent and Merger Sub set forth in this Agreement shall be true and correct in all material respects, on and as of the Closing Date, as though made on and as of the Closing Date, except (i) to the extent of changes or developments contemplated by the terms of this Agreement and (ii) for such representations and warranties that speak as of a specific date or time (which need be true and correct only as of such date or time);</w:t>
      </w:r>
    </w:p>
    <w:p>
      <w:pPr>
        <w:spacing w:after="0" w:line="146" w:lineRule="exact"/>
        <w:rPr>
          <w:rFonts w:ascii="Arial" w:cs="Arial" w:eastAsia="Arial" w:hAnsi="Arial"/>
          <w:sz w:val="15"/>
          <w:szCs w:val="15"/>
          <w:color w:val="auto"/>
        </w:rPr>
      </w:pPr>
    </w:p>
    <w:p>
      <w:pPr>
        <w:ind w:left="1440" w:hanging="297"/>
        <w:spacing w:after="0"/>
        <w:tabs>
          <w:tab w:leader="none" w:pos="1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Parent and Merger Sub shall have performed in all material respects all obligations required to be performed by them under this Agreement at or prior to</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Closing Date;</w:t>
      </w:r>
    </w:p>
    <w:p>
      <w:pPr>
        <w:spacing w:after="0" w:line="185" w:lineRule="exact"/>
        <w:rPr>
          <w:rFonts w:ascii="Arial" w:cs="Arial" w:eastAsia="Arial" w:hAnsi="Arial"/>
          <w:sz w:val="14"/>
          <w:szCs w:val="14"/>
          <w:color w:val="auto"/>
        </w:rPr>
      </w:pPr>
    </w:p>
    <w:p>
      <w:pPr>
        <w:ind w:firstLine="1143"/>
        <w:spacing w:after="0" w:line="275" w:lineRule="auto"/>
        <w:tabs>
          <w:tab w:leader="none" w:pos="1467" w:val="left"/>
        </w:tabs>
        <w:numPr>
          <w:ilvl w:val="0"/>
          <w:numId w:val="70"/>
        </w:numPr>
        <w:rPr>
          <w:rFonts w:ascii="Arial" w:cs="Arial" w:eastAsia="Arial" w:hAnsi="Arial"/>
          <w:sz w:val="16"/>
          <w:szCs w:val="16"/>
          <w:color w:val="auto"/>
        </w:rPr>
      </w:pPr>
      <w:r>
        <w:rPr>
          <w:rFonts w:ascii="Arial" w:cs="Arial" w:eastAsia="Arial" w:hAnsi="Arial"/>
          <w:sz w:val="16"/>
          <w:szCs w:val="16"/>
          <w:color w:val="auto"/>
        </w:rPr>
        <w:t>Since the date of this Agreement, here shall not be any event that is continuing that would individually, or in the aggregate, reasonably be expected to have a Parent Material Adverse Effect;</w:t>
      </w:r>
    </w:p>
    <w:p>
      <w:pPr>
        <w:spacing w:after="0" w:line="151" w:lineRule="exact"/>
        <w:rPr>
          <w:rFonts w:ascii="Arial" w:cs="Arial" w:eastAsia="Arial" w:hAnsi="Arial"/>
          <w:sz w:val="16"/>
          <w:szCs w:val="16"/>
          <w:color w:val="auto"/>
        </w:rPr>
      </w:pPr>
    </w:p>
    <w:p>
      <w:pPr>
        <w:ind w:left="1440" w:hanging="297"/>
        <w:spacing w:after="0"/>
        <w:tabs>
          <w:tab w:leader="none" w:pos="14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Parent shall have executed and delivered to the Company copy of each Transaction Document to which it is a party;</w:t>
      </w:r>
    </w:p>
    <w:p>
      <w:pPr>
        <w:spacing w:after="0" w:line="198" w:lineRule="exact"/>
        <w:rPr>
          <w:rFonts w:ascii="Arial" w:cs="Arial" w:eastAsia="Arial" w:hAnsi="Arial"/>
          <w:sz w:val="16"/>
          <w:szCs w:val="16"/>
          <w:color w:val="auto"/>
        </w:rPr>
      </w:pPr>
    </w:p>
    <w:p>
      <w:pPr>
        <w:jc w:val="both"/>
        <w:ind w:right="20" w:firstLine="1143"/>
        <w:spacing w:after="0" w:line="273" w:lineRule="auto"/>
        <w:tabs>
          <w:tab w:leader="none" w:pos="1479" w:val="left"/>
        </w:tabs>
        <w:numPr>
          <w:ilvl w:val="0"/>
          <w:numId w:val="70"/>
        </w:numPr>
        <w:rPr>
          <w:rFonts w:ascii="Arial" w:cs="Arial" w:eastAsia="Arial" w:hAnsi="Arial"/>
          <w:sz w:val="15"/>
          <w:szCs w:val="15"/>
          <w:color w:val="auto"/>
        </w:rPr>
      </w:pPr>
      <w:r>
        <w:rPr>
          <w:rFonts w:ascii="Arial" w:cs="Arial" w:eastAsia="Arial" w:hAnsi="Arial"/>
          <w:sz w:val="15"/>
          <w:szCs w:val="15"/>
          <w:color w:val="auto"/>
        </w:rPr>
        <w:t>Parent shall have delivered to the Company a certificate, signed by an officer of the Company, certifying true, complete and correct copies of (i) the resolutions duly adopted by the Parent Required Vote at the Parent Stockholders’ Meeting and by the sole stockholder of the Merger Sub approving the Merger and the consummation of the Transactions contemplated by this Agreement and the other Transaction Documents; (ii) certified copies of the resolutions duly adopted by Parent’s board of directors and Merger Sub’s board of directors authorizing the execution, delivery and performance of this Agreement and the other Transaction Documents to which each is a party and performance by Parent and the Merger Sub of the Transactions, including the Merger, each having been duly and validly adopted and being in full force and effect as of the Closing Date; and (iii) written resignations, in forms satisfactory to the Company, dated as of the Closing Date and effective as of the Closing, executed by (X) all officers of Parent and (Y) all persons serving as directors of Parent immediately prior to the Closing;</w:t>
      </w:r>
    </w:p>
    <w:p>
      <w:pPr>
        <w:spacing w:after="0" w:line="156" w:lineRule="exact"/>
        <w:rPr>
          <w:rFonts w:ascii="Arial" w:cs="Arial" w:eastAsia="Arial" w:hAnsi="Arial"/>
          <w:sz w:val="15"/>
          <w:szCs w:val="15"/>
          <w:color w:val="auto"/>
        </w:rPr>
      </w:pPr>
    </w:p>
    <w:p>
      <w:pPr>
        <w:ind w:right="20" w:firstLine="1143"/>
        <w:spacing w:after="0" w:line="275" w:lineRule="auto"/>
        <w:tabs>
          <w:tab w:leader="none" w:pos="137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Parent shall have delivered to the Company a certificate, signed by an officer of Parent, certifying that true, complete and correct copies of the Organizational Documents of Parent and Merger Sub, as in effect on the Closing Date, are attached to such certificate;</w:t>
      </w:r>
    </w:p>
    <w:p>
      <w:pPr>
        <w:spacing w:after="0" w:line="151" w:lineRule="exact"/>
        <w:rPr>
          <w:rFonts w:ascii="Arial" w:cs="Arial" w:eastAsia="Arial" w:hAnsi="Arial"/>
          <w:sz w:val="16"/>
          <w:szCs w:val="16"/>
          <w:color w:val="auto"/>
        </w:rPr>
      </w:pPr>
    </w:p>
    <w:p>
      <w:pPr>
        <w:ind w:right="20" w:firstLine="1143"/>
        <w:spacing w:after="0" w:line="275" w:lineRule="auto"/>
        <w:tabs>
          <w:tab w:leader="none" w:pos="15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Parent shall have delivered to the Company certificates of good standing with respect to Parent and Merger Sub from their respective applicable jurisdictions of incorporation;</w:t>
      </w:r>
    </w:p>
    <w:p>
      <w:pPr>
        <w:spacing w:after="0" w:line="151" w:lineRule="exact"/>
        <w:rPr>
          <w:rFonts w:ascii="Arial" w:cs="Arial" w:eastAsia="Arial" w:hAnsi="Arial"/>
          <w:sz w:val="16"/>
          <w:szCs w:val="16"/>
          <w:color w:val="auto"/>
        </w:rPr>
      </w:pPr>
    </w:p>
    <w:p>
      <w:pPr>
        <w:ind w:right="20" w:firstLine="1143"/>
        <w:spacing w:after="0" w:line="309" w:lineRule="auto"/>
        <w:tabs>
          <w:tab w:leader="none" w:pos="1476"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Parent and any person that is currently an Affiliate of the Company that will be deemed an Affiliate of Parent after Closing shall have entered into an amended and restated registration rights agreement in substantially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w:t>
      </w:r>
    </w:p>
    <w:p>
      <w:pPr>
        <w:spacing w:after="0" w:line="129" w:lineRule="exact"/>
        <w:rPr>
          <w:rFonts w:ascii="Arial" w:cs="Arial" w:eastAsia="Arial" w:hAnsi="Arial"/>
          <w:sz w:val="15"/>
          <w:szCs w:val="15"/>
          <w:color w:val="auto"/>
        </w:rPr>
      </w:pPr>
    </w:p>
    <w:p>
      <w:pPr>
        <w:ind w:firstLine="1143"/>
        <w:spacing w:after="0" w:line="275" w:lineRule="auto"/>
        <w:tabs>
          <w:tab w:leader="none" w:pos="1337"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supplemental listing shall have been filed with Nasdaq as of the Closing Date to list the shares constituting the Merger Consideration and such listing shall have been approved by Nasdaq, subject to official notice of issuance;</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37"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Except for shares of Parent Common Stock (i) issued pursuant to the PIPE Financing, and (ii) to be issued pursuant to this Agreement, from the date of this Agreement through the Closing, no shares of Parent Common Stock shall have been issued to any Person in an amount or on terms other than those approved with the prior written consent of the Company;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6" w:name="page67"/>
    <w:bookmarkEnd w:id="66"/>
    <w:p>
      <w:pPr>
        <w:ind w:left="1440" w:hanging="297"/>
        <w:spacing w:after="0"/>
        <w:tabs>
          <w:tab w:leader="none" w:pos="14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shall have received the Resignation Letters of each of the directors and officers of Parent;</w:t>
      </w:r>
    </w:p>
    <w:p>
      <w:pPr>
        <w:spacing w:after="0" w:line="198" w:lineRule="exact"/>
        <w:rPr>
          <w:rFonts w:ascii="Arial" w:cs="Arial" w:eastAsia="Arial" w:hAnsi="Arial"/>
          <w:sz w:val="16"/>
          <w:szCs w:val="16"/>
          <w:color w:val="auto"/>
        </w:rPr>
      </w:pPr>
    </w:p>
    <w:p>
      <w:pPr>
        <w:ind w:left="1400" w:hanging="257"/>
        <w:spacing w:after="0"/>
        <w:tabs>
          <w:tab w:leader="none" w:pos="14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Parent board of directors shall have adopted and approved the Parent Amended and Restated Bylaws;</w:t>
      </w:r>
    </w:p>
    <w:p>
      <w:pPr>
        <w:spacing w:after="0" w:line="198" w:lineRule="exact"/>
        <w:rPr>
          <w:rFonts w:ascii="Arial" w:cs="Arial" w:eastAsia="Arial" w:hAnsi="Arial"/>
          <w:sz w:val="16"/>
          <w:szCs w:val="16"/>
          <w:color w:val="auto"/>
        </w:rPr>
      </w:pPr>
    </w:p>
    <w:p>
      <w:pPr>
        <w:ind w:left="1500" w:hanging="357"/>
        <w:spacing w:after="0"/>
        <w:tabs>
          <w:tab w:leader="none" w:pos="15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Closing Parent Cash shall be no less than $300,000,000; and</w:t>
      </w:r>
    </w:p>
    <w:p>
      <w:pPr>
        <w:spacing w:after="0" w:line="198" w:lineRule="exact"/>
        <w:rPr>
          <w:rFonts w:ascii="Arial" w:cs="Arial" w:eastAsia="Arial" w:hAnsi="Arial"/>
          <w:sz w:val="16"/>
          <w:szCs w:val="16"/>
          <w:color w:val="auto"/>
        </w:rPr>
      </w:pPr>
    </w:p>
    <w:p>
      <w:pPr>
        <w:ind w:right="20" w:firstLine="1143"/>
        <w:spacing w:after="0" w:line="274" w:lineRule="auto"/>
        <w:tabs>
          <w:tab w:leader="none" w:pos="15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Parent shall have taken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1" w:lineRule="exact"/>
        <w:rPr>
          <w:rFonts w:ascii="Arial" w:cs="Arial" w:eastAsia="Arial" w:hAnsi="Arial"/>
          <w:sz w:val="15"/>
          <w:szCs w:val="15"/>
          <w:color w:val="auto"/>
        </w:rPr>
      </w:pPr>
    </w:p>
    <w:p>
      <w:pPr>
        <w:ind w:right="20"/>
        <w:spacing w:after="0" w:line="258" w:lineRule="auto"/>
        <w:rPr>
          <w:rFonts w:ascii="Arial" w:cs="Arial" w:eastAsia="Arial" w:hAnsi="Arial"/>
          <w:sz w:val="15"/>
          <w:szCs w:val="15"/>
          <w:color w:val="auto"/>
        </w:rPr>
      </w:pPr>
      <w:r>
        <w:rPr>
          <w:rFonts w:ascii="Arial" w:cs="Arial" w:eastAsia="Arial" w:hAnsi="Arial"/>
          <w:sz w:val="16"/>
          <w:szCs w:val="16"/>
          <w:color w:val="auto"/>
        </w:rPr>
        <w:t xml:space="preserve">If the Closing occurs, all Closing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that have not been fully satisfied as of the Closing will be deemed to have been waived by Company.</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TERMINATION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Transactions abandoned at any time prior to the Effective Time:</w:t>
      </w:r>
    </w:p>
    <w:p>
      <w:pPr>
        <w:spacing w:after="0" w:line="198" w:lineRule="exact"/>
        <w:rPr>
          <w:sz w:val="20"/>
          <w:szCs w:val="20"/>
          <w:color w:val="auto"/>
        </w:rPr>
      </w:pPr>
    </w:p>
    <w:p>
      <w:pPr>
        <w:ind w:left="1440" w:hanging="297"/>
        <w:spacing w:after="0"/>
        <w:tabs>
          <w:tab w:leader="none" w:pos="1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by the mutual written consent of the Company and Parent duly authorized by each of their respective boards of directors;</w:t>
      </w:r>
    </w:p>
    <w:p>
      <w:pPr>
        <w:spacing w:after="0" w:line="198" w:lineRule="exact"/>
        <w:rPr>
          <w:rFonts w:ascii="Arial" w:cs="Arial" w:eastAsia="Arial" w:hAnsi="Arial"/>
          <w:sz w:val="16"/>
          <w:szCs w:val="16"/>
          <w:color w:val="auto"/>
        </w:rPr>
      </w:pPr>
    </w:p>
    <w:p>
      <w:pPr>
        <w:jc w:val="both"/>
        <w:ind w:firstLine="1143"/>
        <w:spacing w:after="0" w:line="297" w:lineRule="auto"/>
        <w:tabs>
          <w:tab w:leader="none" w:pos="1452"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by Parent, if any of the representations or warranties of the Company set forth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shall not be true and correct, or if the Company has failed to perform any covenant or agreement on the part of the Company set forth in this Agreement (including an obligation to consummate the Closing), in each case such that the conditions to Closing set forth in either </w:t>
      </w:r>
      <w:r>
        <w:rPr>
          <w:rFonts w:ascii="Arial" w:cs="Arial" w:eastAsia="Arial" w:hAnsi="Arial"/>
          <w:sz w:val="14"/>
          <w:szCs w:val="14"/>
          <w:u w:val="single" w:color="auto"/>
          <w:color w:val="auto"/>
        </w:rPr>
        <w:t>Section 8.2(a)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8.2(b)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8.2(c)</w:t>
      </w:r>
      <w:r>
        <w:rPr>
          <w:rFonts w:ascii="Arial" w:cs="Arial" w:eastAsia="Arial" w:hAnsi="Arial"/>
          <w:sz w:val="14"/>
          <w:szCs w:val="14"/>
          <w:color w:val="auto"/>
        </w:rPr>
        <w:t xml:space="preserve"> would not be satisfied and the breach or breaches causing such representations or warranties not to be true and correct, or the failure to perform any covenant or agreement, as applicable, are not cured (or waived by Parent) by the earlier of (i) the Outside Date or (ii) 30 days after written notice thereof is delivered to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Parent shall not have the right to terminate this Agreement pursuant to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9.1(b)</w:t>
      </w:r>
      <w:r>
        <w:rPr>
          <w:rFonts w:ascii="Arial" w:cs="Arial" w:eastAsia="Arial" w:hAnsi="Arial"/>
          <w:sz w:val="14"/>
          <w:szCs w:val="14"/>
          <w:color w:val="auto"/>
        </w:rPr>
        <w:t xml:space="preserve"> if Parent or Merger Sub is then in material breach of any representation, warranty, covenant, or obligation hereunder, which breach has not been cured.</w:t>
      </w:r>
    </w:p>
    <w:p>
      <w:pPr>
        <w:spacing w:after="0" w:line="143" w:lineRule="exact"/>
        <w:rPr>
          <w:rFonts w:ascii="Arial" w:cs="Arial" w:eastAsia="Arial" w:hAnsi="Arial"/>
          <w:sz w:val="14"/>
          <w:szCs w:val="14"/>
          <w:color w:val="auto"/>
        </w:rPr>
      </w:pPr>
    </w:p>
    <w:p>
      <w:pPr>
        <w:jc w:val="both"/>
        <w:ind w:firstLine="1143"/>
        <w:spacing w:after="0" w:line="274" w:lineRule="auto"/>
        <w:tabs>
          <w:tab w:leader="none" w:pos="14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by the Company, if any of the representations or warranties of Parent or Merger Sub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shall not be true and correct, or if either Parent or Merger Sub has failed to perform any covenant or agreement on the part of Parent or Merger Sub set forth in this Agreement (including an obligation to consummate the Closing), in each case such that the conditions to Closing set forth in either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8.3(b)</w:t>
      </w:r>
      <w:r>
        <w:rPr>
          <w:rFonts w:ascii="Arial" w:cs="Arial" w:eastAsia="Arial" w:hAnsi="Arial"/>
          <w:sz w:val="15"/>
          <w:szCs w:val="15"/>
          <w:color w:val="auto"/>
        </w:rPr>
        <w:t xml:space="preserve"> would not be satisfied and the breach or breaches causing such representations or warranties not to be true and correct, or the failure to perform any covenant or agreement, as applicable, are not cured (or waived by the Company) by the earlier of (i) the Outside Date or (ii) 30 days after written notice thereof is delivered to Parent;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is not then in breach of this Agreement so as to cause the conditions to Closing set forth in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8.3(b)</w:t>
      </w:r>
      <w:r>
        <w:rPr>
          <w:rFonts w:ascii="Arial" w:cs="Arial" w:eastAsia="Arial" w:hAnsi="Arial"/>
          <w:sz w:val="15"/>
          <w:szCs w:val="15"/>
          <w:color w:val="auto"/>
        </w:rPr>
        <w:t xml:space="preserve"> from being satisfied;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7" w:name="page68"/>
    <w:bookmarkEnd w:id="67"/>
    <w:p>
      <w:pPr>
        <w:ind w:left="1440" w:hanging="297"/>
        <w:spacing w:after="0"/>
        <w:tabs>
          <w:tab w:leader="none" w:pos="14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either the Company or Parent:</w:t>
      </w:r>
    </w:p>
    <w:p>
      <w:pPr>
        <w:spacing w:after="0" w:line="198" w:lineRule="exact"/>
        <w:rPr>
          <w:rFonts w:ascii="Arial" w:cs="Arial" w:eastAsia="Arial" w:hAnsi="Arial"/>
          <w:sz w:val="16"/>
          <w:szCs w:val="16"/>
          <w:color w:val="auto"/>
        </w:rPr>
      </w:pPr>
    </w:p>
    <w:p>
      <w:pPr>
        <w:jc w:val="both"/>
        <w:ind w:left="560" w:firstLine="1156"/>
        <w:spacing w:after="0" w:line="258" w:lineRule="auto"/>
        <w:tabs>
          <w:tab w:leader="none" w:pos="1921" w:val="left"/>
        </w:tabs>
        <w:numPr>
          <w:ilvl w:val="1"/>
          <w:numId w:val="73"/>
        </w:numPr>
        <w:rPr>
          <w:rFonts w:ascii="Arial" w:cs="Arial" w:eastAsia="Arial" w:hAnsi="Arial"/>
          <w:sz w:val="16"/>
          <w:szCs w:val="16"/>
          <w:color w:val="auto"/>
        </w:rPr>
      </w:pPr>
      <w:r>
        <w:rPr>
          <w:rFonts w:ascii="Arial" w:cs="Arial" w:eastAsia="Arial" w:hAnsi="Arial"/>
          <w:sz w:val="16"/>
          <w:szCs w:val="16"/>
          <w:color w:val="auto"/>
        </w:rPr>
        <w:t>on or after September 30, 2021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if the Merger shall not have been consummated prior to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9.1(d)(i)</w:t>
      </w:r>
      <w:r>
        <w:rPr>
          <w:rFonts w:ascii="Arial" w:cs="Arial" w:eastAsia="Arial" w:hAnsi="Arial"/>
          <w:sz w:val="16"/>
          <w:szCs w:val="16"/>
          <w:color w:val="auto"/>
        </w:rPr>
        <w:t xml:space="preserve"> shall not be available to a Party if the failure of the Merger to have been consummated on or before the Outside Date was due to such Party’s breach of or failure to perform any of its representations, warranties, covenants or agreements set forth in this Agreement;</w:t>
      </w:r>
    </w:p>
    <w:p>
      <w:pPr>
        <w:spacing w:after="0" w:line="164" w:lineRule="exact"/>
        <w:rPr>
          <w:rFonts w:ascii="Arial" w:cs="Arial" w:eastAsia="Arial" w:hAnsi="Arial"/>
          <w:sz w:val="16"/>
          <w:szCs w:val="16"/>
          <w:color w:val="auto"/>
        </w:rPr>
      </w:pPr>
    </w:p>
    <w:p>
      <w:pPr>
        <w:jc w:val="both"/>
        <w:ind w:left="560" w:right="20" w:firstLine="1156"/>
        <w:spacing w:after="0" w:line="262" w:lineRule="auto"/>
        <w:tabs>
          <w:tab w:leader="none" w:pos="1942"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if any Order having the effect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be in effect and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9.1(d)(ii)</w:t>
      </w:r>
      <w:r>
        <w:rPr>
          <w:rFonts w:ascii="Arial" w:cs="Arial" w:eastAsia="Arial" w:hAnsi="Arial"/>
          <w:sz w:val="16"/>
          <w:szCs w:val="16"/>
          <w:color w:val="auto"/>
        </w:rPr>
        <w:t xml:space="preserve"> shall not be available to a Party if such Order was due to such Party’s breach of or failure to perform any of its representations, warranties, covenants or agreements set forth in this Agreement;</w:t>
      </w:r>
    </w:p>
    <w:p>
      <w:pPr>
        <w:spacing w:after="0" w:line="162" w:lineRule="exact"/>
        <w:rPr>
          <w:rFonts w:ascii="Arial" w:cs="Arial" w:eastAsia="Arial" w:hAnsi="Arial"/>
          <w:sz w:val="16"/>
          <w:szCs w:val="16"/>
          <w:color w:val="auto"/>
        </w:rPr>
      </w:pPr>
    </w:p>
    <w:p>
      <w:pPr>
        <w:jc w:val="both"/>
        <w:ind w:left="560" w:firstLine="1156"/>
        <w:spacing w:after="0" w:line="262" w:lineRule="auto"/>
        <w:tabs>
          <w:tab w:leader="none" w:pos="1986"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if any of the Parent Proposals (other than the Parent Proposals described in </w:t>
      </w:r>
      <w:r>
        <w:rPr>
          <w:rFonts w:ascii="Arial" w:cs="Arial" w:eastAsia="Arial" w:hAnsi="Arial"/>
          <w:sz w:val="16"/>
          <w:szCs w:val="16"/>
          <w:u w:val="single" w:color="auto"/>
          <w:color w:val="auto"/>
        </w:rPr>
        <w:t>Section 7.4(e)(v)-(vii)</w:t>
      </w:r>
      <w:r>
        <w:rPr>
          <w:rFonts w:ascii="Arial" w:cs="Arial" w:eastAsia="Arial" w:hAnsi="Arial"/>
          <w:sz w:val="16"/>
          <w:szCs w:val="16"/>
          <w:color w:val="auto"/>
        </w:rPr>
        <w:t>) shall fail to receive the Parent Required Vote for approval at the Parent Stockholders’ Meeting (unless such Parent Stockholders Meeting has been adjourned or postponed, in which case at the final adjournment or postponement thereof); or</w:t>
      </w:r>
    </w:p>
    <w:p>
      <w:pPr>
        <w:spacing w:after="0" w:line="162" w:lineRule="exact"/>
        <w:rPr>
          <w:rFonts w:ascii="Arial" w:cs="Arial" w:eastAsia="Arial" w:hAnsi="Arial"/>
          <w:sz w:val="16"/>
          <w:szCs w:val="16"/>
          <w:color w:val="auto"/>
        </w:rPr>
      </w:pPr>
    </w:p>
    <w:p>
      <w:pPr>
        <w:ind w:left="1440" w:hanging="297"/>
        <w:spacing w:after="0"/>
        <w:tabs>
          <w:tab w:leader="none" w:pos="14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the Company if there has been a Modification in Recommendation.</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46"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by Parent if the Company Stockholder Approval shall not have been obtained within five (5) Business Days of the delivery to the Company Stockholders of the prospectus that is part of the Form S-4, provided that the termination right under this </w:t>
      </w:r>
      <w:r>
        <w:rPr>
          <w:rFonts w:ascii="Arial" w:cs="Arial" w:eastAsia="Arial" w:hAnsi="Arial"/>
          <w:sz w:val="15"/>
          <w:szCs w:val="15"/>
          <w:u w:val="single" w:color="auto"/>
          <w:color w:val="auto"/>
        </w:rPr>
        <w:t>Section 9.1(f)</w:t>
      </w:r>
      <w:r>
        <w:rPr>
          <w:rFonts w:ascii="Arial" w:cs="Arial" w:eastAsia="Arial" w:hAnsi="Arial"/>
          <w:sz w:val="15"/>
          <w:szCs w:val="15"/>
          <w:color w:val="auto"/>
        </w:rPr>
        <w:t xml:space="preserve"> shall be of no further force or effect if such Company Stockholder Approval is delivered to Parent prior to the termination of the Agreement (even if after the five (5) Business Day period provided above).</w:t>
      </w:r>
    </w:p>
    <w:p>
      <w:pPr>
        <w:spacing w:after="0" w:line="14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xml:space="preserve">. In the event of the termination of this Agreement as provided in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(other than termination pursuant to </w:t>
      </w:r>
      <w:r>
        <w:rPr>
          <w:rFonts w:ascii="Arial" w:cs="Arial" w:eastAsia="Arial" w:hAnsi="Arial"/>
          <w:sz w:val="15"/>
          <w:szCs w:val="15"/>
          <w:u w:val="single" w:color="auto"/>
          <w:color w:val="auto"/>
        </w:rPr>
        <w:t>Section 9.1(a)</w:t>
      </w:r>
      <w:r>
        <w:rPr>
          <w:rFonts w:ascii="Arial" w:cs="Arial" w:eastAsia="Arial" w:hAnsi="Arial"/>
          <w:sz w:val="15"/>
          <w:szCs w:val="15"/>
          <w:color w:val="auto"/>
        </w:rPr>
        <w:t xml:space="preserve">), written notice thereof shall be given by the Party desiring to terminate to the other Party or Parties, specifying the provision hereof pursuant to which such termination is made, and this Agreement shall following such delivery become null and void (other than the provisions of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(excluding the last sentence of </w:t>
      </w: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9.2</w:t>
      </w:r>
      <w:r>
        <w:rPr>
          <w:rFonts w:ascii="Arial" w:cs="Arial" w:eastAsia="Arial" w:hAnsi="Arial"/>
          <w:sz w:val="15"/>
          <w:szCs w:val="15"/>
          <w:color w:val="auto"/>
        </w:rPr>
        <w:t>)), and there shall be no Liability on the part of Parent, Merger Sub or the Company or their respective directors, officers and Affiliates; provided, however, that nothing in this Agreement will relieve any Party from Liability for any fraud, intentional misrepresentation or Willful Breach. For avoidance of doubt, the termination of this Agreement shall not affect the obligations of Parent or its Affiliates under the Non-Disclosure Agreement.</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MISCELLANEOUS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This Agreement may only be amended, modified or supplemented by a duly authorized written agreement signed by each of the Parties.</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Extension of Time, Waiver, Etc</w:t>
      </w:r>
      <w:r>
        <w:rPr>
          <w:rFonts w:ascii="Arial" w:cs="Arial" w:eastAsia="Arial" w:hAnsi="Arial"/>
          <w:sz w:val="16"/>
          <w:szCs w:val="16"/>
          <w:color w:val="auto"/>
        </w:rPr>
        <w:t>. At any time prior to the Effective Time, any Party may, subject to applicable Law, (a) waive any inaccuracies in the representations and warranties of any other Party hereto, (b) extend the time for the performance of any of the obligations or acts of any other Party hereto or (c) waive compliance by the other Party with any of the agreements contained herein or any of such Party’s conditions.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8" w:name="page69"/>
    <w:bookmarkEnd w:id="68"/>
    <w:p>
      <w:pPr>
        <w:jc w:val="both"/>
        <w:ind w:firstLine="574"/>
        <w:spacing w:after="0" w:line="287"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Agreement nor any of the rights, interests or obligations hereunder shall be assigned, in whole or in part, by operation of Law or otherwise, by any of the Parties without the prior written consent of the other Parties. This Agreement shall be binding upon, inure to the benefit of, and be enforceable by, the Parties and their respective successors and permitted assigns. Any purported assignment not permitted under this </w:t>
      </w:r>
      <w:r>
        <w:rPr>
          <w:rFonts w:ascii="Arial" w:cs="Arial" w:eastAsia="Arial" w:hAnsi="Arial"/>
          <w:sz w:val="15"/>
          <w:szCs w:val="15"/>
          <w:u w:val="single" w:color="auto"/>
          <w:color w:val="auto"/>
        </w:rPr>
        <w:t>Section 10.3</w:t>
      </w:r>
      <w:r>
        <w:rPr>
          <w:rFonts w:ascii="Arial" w:cs="Arial" w:eastAsia="Arial" w:hAnsi="Arial"/>
          <w:sz w:val="15"/>
          <w:szCs w:val="15"/>
          <w:color w:val="auto"/>
        </w:rPr>
        <w:t xml:space="preserve"> shall be null and void.</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Counterparts; Facsimile; Electronic Transmission</w:t>
      </w:r>
      <w:r>
        <w:rPr>
          <w:rFonts w:ascii="Arial" w:cs="Arial" w:eastAsia="Arial" w:hAnsi="Arial"/>
          <w:sz w:val="16"/>
          <w:szCs w:val="16"/>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of signature pages by facsimile or electronic transmission shall constitute effective execution and delivery of this Agreement as to the Parties and may be used in lieu of the original Agreement for all purposes. Signatures of the Parties transmitted by facsimile or electronic transmission shall be deemed to be their original signatures for all purposes.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This Agreement, the Confidentiality Agreement and the Transaction Documents (a) constitute the entire agreement, and supersede all other prior agreements and understandings, both written and oral, among the Parties, or any of them, with respect to the subject matter hereof and thereof and (b) are not intended to and shall not confer any rights upon any Person other than the Parties.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that may be based upon, arise out of, or related to this Agreement, the transactions contemplated hereby or the negotiation, execution or performance of this Agreement shall be governed by, and construed in accordance with, the Laws of the State of Delaware, regardless of the Laws that might otherwise govern under applicable principles of conflicts of Laws thereof.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7" w:lineRule="auto"/>
        <w:tabs>
          <w:tab w:leader="none" w:pos="1455"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The Parties hereby agree that irreparable damage for which monetary damages, even if available, would not be an adequate remedy, would occur in the event that any provision of this Agreement (including failing to take such actions as are required of it hereunder to consummate the Merger or the other Transactions) is not performed in accordance with its specific terms or is otherwise breached. Accordingly, the Parties agree that each Party shall be entitled to an injunction or injunctions, or any other appropriate form of specific performance or equitable relief, to prevent breaches of this Agreement and to enforce specifically the terms and provisions hereof in any court of competent jurisdiction in accordance with </w:t>
      </w:r>
      <w:r>
        <w:rPr>
          <w:rFonts w:ascii="Arial" w:cs="Arial" w:eastAsia="Arial" w:hAnsi="Arial"/>
          <w:sz w:val="14"/>
          <w:szCs w:val="14"/>
          <w:u w:val="single" w:color="auto"/>
          <w:color w:val="auto"/>
        </w:rPr>
        <w:t>Section 10.8</w:t>
      </w:r>
      <w:r>
        <w:rPr>
          <w:rFonts w:ascii="Arial" w:cs="Arial" w:eastAsia="Arial" w:hAnsi="Arial"/>
          <w:sz w:val="14"/>
          <w:szCs w:val="14"/>
          <w:color w:val="auto"/>
        </w:rPr>
        <w:t>, this being in addition to any other remedy to which they are entitled under the terms of this Agreement at Law or in equity (and each Party hereby waives any requirement for the securing or posting of any bond in connection with such remedy).</w:t>
      </w:r>
    </w:p>
    <w:p>
      <w:pPr>
        <w:spacing w:after="0" w:line="143" w:lineRule="exact"/>
        <w:rPr>
          <w:rFonts w:ascii="Arial" w:cs="Arial" w:eastAsia="Arial" w:hAnsi="Arial"/>
          <w:sz w:val="14"/>
          <w:szCs w:val="14"/>
          <w:color w:val="auto"/>
        </w:rPr>
      </w:pPr>
    </w:p>
    <w:p>
      <w:pPr>
        <w:jc w:val="both"/>
        <w:ind w:firstLine="1143"/>
        <w:spacing w:after="0" w:line="306" w:lineRule="auto"/>
        <w:tabs>
          <w:tab w:leader="none" w:pos="1464" w:val="left"/>
        </w:tabs>
        <w:numPr>
          <w:ilvl w:val="0"/>
          <w:numId w:val="74"/>
        </w:numPr>
        <w:rPr>
          <w:rFonts w:ascii="Arial" w:cs="Arial" w:eastAsia="Arial" w:hAnsi="Arial"/>
          <w:sz w:val="14"/>
          <w:szCs w:val="14"/>
          <w:color w:val="auto"/>
        </w:rPr>
      </w:pPr>
      <w:r>
        <w:rPr>
          <w:rFonts w:ascii="Arial" w:cs="Arial" w:eastAsia="Arial" w:hAnsi="Arial"/>
          <w:sz w:val="14"/>
          <w:szCs w:val="14"/>
          <w:color w:val="auto"/>
        </w:rPr>
        <w:t>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Any Party seeking an injunction or injunctions to prevent breaches or threatened breaches of, or to enforce compliance with this Agreement when expressly available pursuant to the terms of this Agreement shall not be required to provide any bond or other security in connection with any such Order or injunction.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9" w:name="page70"/>
    <w:bookmarkEnd w:id="69"/>
    <w:p>
      <w:pPr>
        <w:jc w:val="both"/>
        <w:ind w:firstLine="574"/>
        <w:spacing w:after="0" w:line="272" w:lineRule="auto"/>
        <w:rPr>
          <w:sz w:val="20"/>
          <w:szCs w:val="20"/>
          <w:color w:val="auto"/>
        </w:rPr>
      </w:pPr>
      <w:r>
        <w:rPr>
          <w:rFonts w:ascii="Arial" w:cs="Arial" w:eastAsia="Arial" w:hAnsi="Arial"/>
          <w:sz w:val="15"/>
          <w:szCs w:val="15"/>
          <w:color w:val="auto"/>
        </w:rPr>
        <w:t xml:space="preserve">Section 10.8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xml:space="preserve">. 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Proceeding, (ii) waives any objection it may now or hereafter have to personal jurisdiction, venue or to convenience of forum, (iii) agrees that all claims in respect of the Proceeding shall be heard and determined only in any such court, and (iv) agrees not to bring any Proceeding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Proceeding brought pursuant to this </w:t>
      </w:r>
      <w:r>
        <w:rPr>
          <w:rFonts w:ascii="Arial" w:cs="Arial" w:eastAsia="Arial" w:hAnsi="Arial"/>
          <w:sz w:val="15"/>
          <w:szCs w:val="15"/>
          <w:u w:val="single" w:color="auto"/>
          <w:color w:val="auto"/>
        </w:rPr>
        <w:t>Section 10.8</w:t>
      </w:r>
      <w:r>
        <w:rPr>
          <w:rFonts w:ascii="Arial" w:cs="Arial" w:eastAsia="Arial" w:hAnsi="Arial"/>
          <w:sz w:val="15"/>
          <w:szCs w:val="15"/>
          <w:color w:val="auto"/>
        </w:rPr>
        <w:t>.</w:t>
      </w:r>
    </w:p>
    <w:p>
      <w:pPr>
        <w:spacing w:after="0" w:line="157"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HERETO FURTHER WARRANT AND REPRESENT THAT EACH HAS REVIEWED THIS WAIVER WITH ITS LEGAL COUNSEL, AND THAT EACH KNOWINGLY AND VOLUNTARILY WAIVES ITS JURY TRIAL RIGHTS FOLLOWING CONSULTATION WITH LEGAL COUNSEL.</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notices and other communications under this Agreement shall be in writing and shall be deemed given (a) when delivered personally by hand (with written confirmation of receipt), by 5:00PM Eastern Time on a Business Day, addressee’s day and time, on the date of delivery, and otherwise on the first Business Day after such delivery, (b) when sent by email (with written confirmation of transmission) if by 5:00PM Eastern Time on a Business Day, addressee’s day and time, and otherwise on the first Business Day after the date of such written confirmation; (c) when delivered after posting in the United States mail having been sent registered or certified mail return receipt requested, postage prepared; or (d) one Business Day following the day sent by overnight courier (with written confirmation of receipt), in each case at the following addresses (or to such other address as a Party may have specified by notice given to the other Parties pursuant to this </w:t>
      </w:r>
      <w:r>
        <w:rPr>
          <w:rFonts w:ascii="Arial" w:cs="Arial" w:eastAsia="Arial" w:hAnsi="Arial"/>
          <w:sz w:val="16"/>
          <w:szCs w:val="16"/>
          <w:u w:val="single" w:color="auto"/>
          <w:color w:val="auto"/>
        </w:rPr>
        <w:t>Section 10.10</w:t>
      </w:r>
      <w:r>
        <w:rPr>
          <w:rFonts w:ascii="Arial" w:cs="Arial" w:eastAsia="Arial" w:hAnsi="Arial"/>
          <w:sz w:val="16"/>
          <w:szCs w:val="16"/>
          <w:color w:val="auto"/>
        </w:rPr>
        <w:t>):</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Parent or Merger Sub:</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BCTG Acquisition Corp.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12860 El Camino Real, Suite 300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 Diego, CA 92130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Aaron Davis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notices@tavistock.com</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70" w:name="page71"/>
    <w:bookmarkEnd w:id="70"/>
    <w:p>
      <w:pPr>
        <w:ind w:left="114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Loeb &amp; Loeb</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345 Park Avenue, 19th Floor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Nussbaum, Esq.</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mnussbaum@loeb.com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the Company:</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Binney Street, Suite 700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Barbara Weber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bweber@tangotx.com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Goodwin Procter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Northern Avenue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Boston, MA 02210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Bloom, William D. Collins &amp; Laurie A. Burlingame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MBloom@Goodwinlaw.com; Wcollins@Goodwinlaw.com;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LBulingame@goodwinlaw.com</w:t>
      </w:r>
    </w:p>
    <w:p>
      <w:pPr>
        <w:spacing w:after="0" w:line="18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Remedies</w:t>
      </w:r>
      <w:r>
        <w:rPr>
          <w:rFonts w:ascii="Arial" w:cs="Arial" w:eastAsia="Arial" w:hAnsi="Arial"/>
          <w:sz w:val="16"/>
          <w:szCs w:val="16"/>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6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10.13 </w:t>
      </w:r>
      <w:r>
        <w:rPr>
          <w:rFonts w:ascii="Arial" w:cs="Arial" w:eastAsia="Arial" w:hAnsi="Arial"/>
          <w:sz w:val="15"/>
          <w:szCs w:val="15"/>
          <w:u w:val="single" w:color="auto"/>
          <w:color w:val="auto"/>
        </w:rPr>
        <w:t>Waiver</w:t>
      </w:r>
      <w:r>
        <w:rPr>
          <w:rFonts w:ascii="Arial" w:cs="Arial" w:eastAsia="Arial" w:hAnsi="Arial"/>
          <w:sz w:val="15"/>
          <w:szCs w:val="15"/>
          <w:color w:val="auto"/>
        </w:rPr>
        <w:t>. The Company understands that the Parent has established the Trust Account for the benefit of the Public Stockholders and the underwriters of the IPO pursuant to the Trust Agreement and that Parent may disburse monies from the Trust Account only for the purposes set forth in the Trust Agreement and the Parent Organizational Documents. For and in consideration of the Parent agreeing to enter into this Agreement, the Company and the Stockholders hereby agree that they do not have any right, title, interest or claim of any kind in or to any monies in the Trust Account and hereby agree that they will not seek recourse against the Trust Account for any claim they may have in the future as a result of, or arising out of, any negotiations, contracts or agreements with the Parent.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have the meanings ascribed thereto below:</w:t>
      </w:r>
    </w:p>
    <w:p>
      <w:pPr>
        <w:spacing w:after="0" w:line="198"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(i) officer or director of such Person, (ii) spouse, parent, sibling or descendant (including adopted or stepchildren) of such Person (or a spouse, parent, sibling or descendant (including adopted or stepchildren) of any director or officer of such Person), and (iii) any other Person that, directly or indirectly, controls, or is controlled by, or is under common control with, such Person. For this purpose, “control” (including, with its correlative meanings, “controlled by” and “under common control with”) shall include the possession, directly or indirectly, of the power to direct or cause the direction of management or policies of a Person, whether through the ownership of voting securities, by contract or otherwise. For the avoidance of doubt, no holder of Company Capital Stock shall be deemed an Affiliate of the Company solely in respect of such share ownership in the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1" w:name="page72"/>
    <w:bookmarkEnd w:id="71"/>
    <w:p>
      <w:pPr>
        <w:jc w:val="both"/>
        <w:ind w:right="20" w:firstLine="1147"/>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Fully Diluted Company Common Stock</w:t>
      </w:r>
      <w:r>
        <w:rPr>
          <w:rFonts w:ascii="Arial" w:cs="Arial" w:eastAsia="Arial" w:hAnsi="Arial"/>
          <w:sz w:val="15"/>
          <w:szCs w:val="15"/>
          <w:color w:val="auto"/>
        </w:rPr>
        <w:t>” means, without duplication, (a) the aggregate number of shares of Company Common Stock that are (i) issued and outstanding immediately prior to the Effective Time after giving effect to the Company Preferred Stock Conversion or (ii) issuable upon, or subject to, the exercise of Company Options (whether or not then vested or exercisable) that are issued and outstanding immediately prior to the Effective Time calculated using the treasury stock method of accounting, minus (b) the shares of Company Common Stock held in treasury outstanding immediately prior to the Effective Time.</w:t>
      </w:r>
    </w:p>
    <w:p>
      <w:pPr>
        <w:spacing w:after="0" w:line="151"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mean any of the following transactions involving the Company or the Parent (other than the transactions contemplated by this Agreement): (i) any merger, acquisition consolidation, recapitalization, share exchange, business combination or other similar transaction, public investment or public offering, or (ii) any sale, lease, exchange, transfer or other disposition of a material portion of the assets of such Person (other than sales of inventory in the Ordinary Course) or any class or series of the capital stock, membership interests or other equity interests of the Company or Parent in a single transaction or series of transactions (other than the PIPE Financing).</w:t>
      </w:r>
    </w:p>
    <w:p>
      <w:pPr>
        <w:spacing w:after="0" w:line="170"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Assets</w:t>
      </w:r>
      <w:r>
        <w:rPr>
          <w:rFonts w:ascii="Arial" w:cs="Arial" w:eastAsia="Arial" w:hAnsi="Arial"/>
          <w:sz w:val="16"/>
          <w:szCs w:val="16"/>
          <w:color w:val="auto"/>
        </w:rPr>
        <w:t>” means, with respect to any Person, all of the assets, rights, interests and other properties, real, personal and mixed, tangible and intangible, owned, leased, subleased or licensed by such Person.</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Purchase Price</w:t>
      </w:r>
      <w:r>
        <w:rPr>
          <w:rFonts w:ascii="Arial" w:cs="Arial" w:eastAsia="Arial" w:hAnsi="Arial"/>
          <w:sz w:val="16"/>
          <w:szCs w:val="16"/>
          <w:color w:val="auto"/>
        </w:rPr>
        <w:t>” means $550,000,000.00.</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except a Saturday, a Sunday or any other day on which the Securities and Exchange Commission or banks in the City of New York are authorized or required by Law to be closed.</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means the Coronavirus Aid, Relief, and Economic Security Act, P.L. 116-136 (2020).</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Company Indebtedness</w:t>
      </w:r>
      <w:r>
        <w:rPr>
          <w:rFonts w:ascii="Arial" w:cs="Arial" w:eastAsia="Arial" w:hAnsi="Arial"/>
          <w:sz w:val="16"/>
          <w:szCs w:val="16"/>
          <w:color w:val="auto"/>
        </w:rPr>
        <w:t>” shall mean the Indebtedness of the Company as of the Closing.</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Parent Cash</w:t>
      </w:r>
      <w:r>
        <w:rPr>
          <w:rFonts w:ascii="Arial" w:cs="Arial" w:eastAsia="Arial" w:hAnsi="Arial"/>
          <w:sz w:val="16"/>
          <w:szCs w:val="16"/>
          <w:color w:val="auto"/>
        </w:rPr>
        <w:t xml:space="preserve">” means an amount equal to (a) the sum of (i) the Trust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PIPE Investment Amount actually received by the Parent prior to or substantially concurrently with Closing, minus (b) any Parent Transaction Expenses that remain unpaid as of the Closing.</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and the rules and regulations promulgated thereunder.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means the shares of the Company Common Stock and the Company Preferred Stock.</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means shares of the Company’s common stock, par value $0.001 per share.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2" w:name="page73"/>
    <w:bookmarkEnd w:id="72"/>
    <w:p>
      <w:pPr>
        <w:jc w:val="both"/>
        <w:ind w:left="4" w:firstLine="114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Material Adverse Effect</w:t>
      </w:r>
      <w:r>
        <w:rPr>
          <w:rFonts w:ascii="Arial" w:cs="Arial" w:eastAsia="Arial" w:hAnsi="Arial"/>
          <w:sz w:val="14"/>
          <w:szCs w:val="14"/>
          <w:color w:val="auto"/>
        </w:rPr>
        <w:t xml:space="preserve">” means any change, development, circumstance, effect, event or fact that has had, or would reasonably be expected to have, a material adverse effect upon the financial condition, business, liabilities or results of operations of the Company and its Subsidiaries, taken as a whole;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change, development, circumstance, effect, event or fact arising from or related to: (i) 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 conditions in the industry in which the Company and its Subsidiaries operate (including with respect to or as a result of COVID-19), (vi) actions or omissions taken by Parent or its Affiliates, (vii) actions or omissions taken by the Company or any of its Subsidiaries that is required by this Agreement or any Transaction Document or taken with the prior written consent of Parent, (viii) the public announcement of the Transactions or the identity of Parent or the Company in connection with the Transaction, (ix) 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“Company Material Adverse Effect” has occurred), (x) pandemics, earthquakes, hurricanes, tornados or other natural disasters, or (xi) the failure by the Company to take any action that is prohibited by this Agreement unless Parent has consented in writing to the taking thereof, shall not be taken into account in determining whether a “Company Material Adverse Effect” has occurred, unless, such change, development, circumstance, effect, event or fact has a disproportionate effect on the Company and its Subsidiaries, taken as a whole, compared to other Persons in the industry or geographic regions in which the Company or its Subsidiaries conducts business, but only to the extent of such disproportionate effect.</w:t>
      </w:r>
    </w:p>
    <w:p>
      <w:pPr>
        <w:spacing w:after="0" w:line="151"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Option</w:t>
      </w:r>
      <w:r>
        <w:rPr>
          <w:rFonts w:ascii="Arial" w:cs="Arial" w:eastAsia="Arial" w:hAnsi="Arial"/>
          <w:sz w:val="14"/>
          <w:szCs w:val="14"/>
          <w:color w:val="auto"/>
        </w:rPr>
        <w:t>” means any option to purchase shares of Company Common Stock issued under the Company Stock Plan, whether vested or unvested.</w:t>
      </w:r>
    </w:p>
    <w:p>
      <w:pPr>
        <w:spacing w:after="0" w:line="221"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Preferred Stock</w:t>
      </w:r>
      <w:r>
        <w:rPr>
          <w:rFonts w:ascii="Arial" w:cs="Arial" w:eastAsia="Arial" w:hAnsi="Arial"/>
          <w:sz w:val="14"/>
          <w:szCs w:val="14"/>
          <w:color w:val="auto"/>
        </w:rPr>
        <w:t>” means the Company Series A Preferred Stock, the Company Series B Preferred Stock and the Company Series B-1 Preferred</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w:t>
      </w:r>
    </w:p>
    <w:p>
      <w:pPr>
        <w:spacing w:after="0" w:line="186"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Restricted Stock</w:t>
      </w:r>
      <w:r>
        <w:rPr>
          <w:rFonts w:ascii="Arial" w:cs="Arial" w:eastAsia="Arial" w:hAnsi="Arial"/>
          <w:sz w:val="16"/>
          <w:szCs w:val="16"/>
          <w:color w:val="auto"/>
        </w:rPr>
        <w:t>” means any outstanding shares of Company Common Stock that are unvested or subject to a risk of forfeiture or repurchase option in favor of the Company.</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means the holders of the Company Capital Stock.</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w:t>
      </w:r>
      <w:r>
        <w:rPr>
          <w:rFonts w:ascii="Arial" w:cs="Arial" w:eastAsia="Arial" w:hAnsi="Arial"/>
          <w:sz w:val="16"/>
          <w:szCs w:val="16"/>
          <w:color w:val="auto"/>
        </w:rPr>
        <w:t>” means the Company’s 2017 Stock and Grant Plan, as amended from time to time.</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Transaction Expenses</w:t>
      </w:r>
      <w:r>
        <w:rPr>
          <w:rFonts w:ascii="Arial" w:cs="Arial" w:eastAsia="Arial" w:hAnsi="Arial"/>
          <w:sz w:val="14"/>
          <w:szCs w:val="14"/>
          <w:color w:val="auto"/>
        </w:rPr>
        <w:t>” means (i) the fees and disbursements of outside counsel to the Company incurred in connection with the Transactions and</w:t>
      </w:r>
    </w:p>
    <w:p>
      <w:pPr>
        <w:spacing w:after="0" w:line="43" w:lineRule="exact"/>
        <w:rPr>
          <w:sz w:val="20"/>
          <w:szCs w:val="20"/>
          <w:color w:val="auto"/>
        </w:rPr>
      </w:pPr>
    </w:p>
    <w:p>
      <w:pPr>
        <w:ind w:left="4" w:hanging="4"/>
        <w:spacing w:after="0" w:line="258" w:lineRule="auto"/>
        <w:tabs>
          <w:tab w:leader="none" w:pos="2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fees and expenses of any other agents, advisors, consultants, experts, financial advisors, accountants and other service providers engaged by the Company in connection with the Transactions.</w:t>
      </w:r>
    </w:p>
    <w:p>
      <w:pPr>
        <w:spacing w:after="0" w:line="165" w:lineRule="exact"/>
        <w:rPr>
          <w:sz w:val="20"/>
          <w:szCs w:val="20"/>
          <w:color w:val="auto"/>
        </w:rPr>
      </w:pPr>
    </w:p>
    <w:p>
      <w:pPr>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any and all written and oral agreements, contracts, deeds, arrangements, purchase orders, binding commitments and understandings, and other instruments and interests therein, and all amendments thereof.</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 Law</w:t>
      </w:r>
      <w:r>
        <w:rPr>
          <w:rFonts w:ascii="Arial" w:cs="Arial" w:eastAsia="Arial" w:hAnsi="Arial"/>
          <w:sz w:val="14"/>
          <w:szCs w:val="14"/>
          <w:color w:val="auto"/>
        </w:rPr>
        <w:t>” shall mean the CARES Act, the Families First Coronavirus Response Act of 2020 or any other Law intended to address the consequences</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COVID-19.</w:t>
      </w:r>
    </w:p>
    <w:p>
      <w:pPr>
        <w:spacing w:after="0" w:line="18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means the Disclosure Schedules delivered to Parent on the date hereof.</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3" w:name="page74"/>
    <w:bookmarkEnd w:id="73"/>
    <w:p>
      <w:pPr>
        <w:jc w:val="both"/>
        <w:ind w:left="4" w:firstLine="1147"/>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and Safety Requirements</w:t>
      </w:r>
      <w:r>
        <w:rPr>
          <w:rFonts w:ascii="Arial" w:cs="Arial" w:eastAsia="Arial" w:hAnsi="Arial"/>
          <w:sz w:val="15"/>
          <w:szCs w:val="15"/>
          <w:color w:val="auto"/>
        </w:rPr>
        <w:t>” means all Laws and Orders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chemical substances or mixtures, pesticides, pollutants, contaminants, toxic chemicals, petroleum products or byproducts, asbestos, polychlorinated biphenyls, noise or radiation.</w:t>
      </w:r>
    </w:p>
    <w:p>
      <w:pPr>
        <w:spacing w:after="0" w:line="15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Ratio</w:t>
      </w:r>
      <w:r>
        <w:rPr>
          <w:rFonts w:ascii="Arial" w:cs="Arial" w:eastAsia="Arial" w:hAnsi="Arial"/>
          <w:sz w:val="16"/>
          <w:szCs w:val="16"/>
          <w:color w:val="auto"/>
        </w:rPr>
        <w:t>” means the quotient obtained by dividing (a) the Per Share Merger Consideration by (b) $10.00.</w:t>
      </w:r>
    </w:p>
    <w:p>
      <w:pPr>
        <w:spacing w:after="0" w:line="198" w:lineRule="exact"/>
        <w:rPr>
          <w:sz w:val="20"/>
          <w:szCs w:val="20"/>
          <w:color w:val="auto"/>
        </w:rPr>
      </w:pPr>
    </w:p>
    <w:p>
      <w:pPr>
        <w:jc w:val="both"/>
        <w:ind w:left="4"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Fundamental Representations</w:t>
      </w:r>
      <w:r>
        <w:rPr>
          <w:rFonts w:ascii="Arial" w:cs="Arial" w:eastAsia="Arial" w:hAnsi="Arial"/>
          <w:sz w:val="14"/>
          <w:szCs w:val="14"/>
          <w:color w:val="auto"/>
        </w:rPr>
        <w:t xml:space="preserve">” means the representations and warranties of the Company set forth in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(Organization, Qualification and Standing),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w:t>
      </w:r>
      <w:r>
        <w:rPr>
          <w:rFonts w:ascii="Arial" w:cs="Arial" w:eastAsia="Arial" w:hAnsi="Arial"/>
          <w:sz w:val="14"/>
          <w:szCs w:val="14"/>
          <w:u w:val="single" w:color="auto"/>
          <w:color w:val="auto"/>
        </w:rPr>
        <w:t>Authority; Enforceability</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3.5(a)</w:t>
      </w:r>
      <w:r>
        <w:rPr>
          <w:rFonts w:ascii="Arial" w:cs="Arial" w:eastAsia="Arial" w:hAnsi="Arial"/>
          <w:sz w:val="14"/>
          <w:szCs w:val="14"/>
          <w:color w:val="auto"/>
        </w:rPr>
        <w:t xml:space="preserve"> (Capitalization), </w:t>
      </w:r>
      <w:r>
        <w:rPr>
          <w:rFonts w:ascii="Arial" w:cs="Arial" w:eastAsia="Arial" w:hAnsi="Arial"/>
          <w:sz w:val="14"/>
          <w:szCs w:val="14"/>
          <w:u w:val="single" w:color="auto"/>
          <w:color w:val="auto"/>
        </w:rPr>
        <w:t>Section 3.16(a), (b) and (d)</w:t>
      </w:r>
      <w:r>
        <w:rPr>
          <w:rFonts w:ascii="Arial" w:cs="Arial" w:eastAsia="Arial" w:hAnsi="Arial"/>
          <w:sz w:val="14"/>
          <w:szCs w:val="14"/>
          <w:color w:val="auto"/>
        </w:rPr>
        <w:t xml:space="preserve"> (Intellectual Property) and </w:t>
      </w:r>
      <w:r>
        <w:rPr>
          <w:rFonts w:ascii="Arial" w:cs="Arial" w:eastAsia="Arial" w:hAnsi="Arial"/>
          <w:sz w:val="14"/>
          <w:szCs w:val="14"/>
          <w:u w:val="single" w:color="auto"/>
          <w:color w:val="auto"/>
        </w:rPr>
        <w:t>Section 3.28</w:t>
      </w:r>
      <w:r>
        <w:rPr>
          <w:rFonts w:ascii="Arial" w:cs="Arial" w:eastAsia="Arial" w:hAnsi="Arial"/>
          <w:sz w:val="14"/>
          <w:szCs w:val="14"/>
          <w:color w:val="auto"/>
        </w:rPr>
        <w:t xml:space="preserve"> (Brokers and Other Advisors).</w:t>
      </w:r>
    </w:p>
    <w:p>
      <w:pPr>
        <w:spacing w:after="0" w:line="10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w:t>
      </w:r>
    </w:p>
    <w:p>
      <w:pPr>
        <w:spacing w:after="0" w:line="198" w:lineRule="exact"/>
        <w:rPr>
          <w:sz w:val="20"/>
          <w:szCs w:val="20"/>
          <w:color w:val="auto"/>
        </w:rPr>
      </w:pPr>
    </w:p>
    <w:p>
      <w:pPr>
        <w:jc w:val="both"/>
        <w:ind w:left="4" w:firstLine="1147"/>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United States, non-United States or multi-national government entity, body or authority, including (i) any United States federal, state or local government (including any town, village, municipality, district or other similar governmental or administrative jurisdiction or subdivision thereof, whether incorporated or unincorporated), (ii) any non-United States or multi-national government or governmental authority or any political subdivision thereof, (iii) any United States, non-United States or multi-national regulatory or administrative entity, authority, instrumentality, jurisdiction, agency, body or commission, exercising, or entitled or purporting to exercise, any administrative, executive, judicial, legislative, police, regulatory, or taxing authority or power, including any court, tribunal, commission or arbitrator, (iv) any self-regulatory organization or (v) any official of any of the foregoing acting in such capacity.</w:t>
      </w:r>
    </w:p>
    <w:p>
      <w:pPr>
        <w:spacing w:after="0" w:line="157" w:lineRule="exact"/>
        <w:rPr>
          <w:sz w:val="20"/>
          <w:szCs w:val="20"/>
          <w:color w:val="auto"/>
        </w:rPr>
      </w:pPr>
    </w:p>
    <w:p>
      <w:pPr>
        <w:jc w:val="both"/>
        <w:ind w:left="4" w:firstLine="114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Health Care Laws</w:t>
      </w:r>
      <w:r>
        <w:rPr>
          <w:rFonts w:ascii="Arial" w:cs="Arial" w:eastAsia="Arial" w:hAnsi="Arial"/>
          <w:sz w:val="14"/>
          <w:szCs w:val="14"/>
          <w:color w:val="auto"/>
        </w:rPr>
        <w:t>” means all applicable Laws pertaining to the health care regulatory matters to the extent applicable to the Company’s business as currently conducted, including: (i) the Medicare statute (Title XVIII of the Social Security Act, 42 U.S.C. § 1395 et seq.), the Medicaid statute (Title XIX of the Social Security Act, 42 U.S.C. § 1396 et seq.), including the Medicare Part D program and the Medicare Advantage program and any other federal, state or local governmental health care programs, including applicable program requirements; (ii) any criminal Laws relating to health care, including all criminal false claims statutes (e.g., 18 U.S.C. Sections 287 and 1001);</w:t>
      </w:r>
    </w:p>
    <w:p>
      <w:pPr>
        <w:spacing w:after="0" w:line="2" w:lineRule="exact"/>
        <w:rPr>
          <w:sz w:val="20"/>
          <w:szCs w:val="20"/>
          <w:color w:val="auto"/>
        </w:rPr>
      </w:pPr>
    </w:p>
    <w:p>
      <w:pPr>
        <w:jc w:val="both"/>
        <w:ind w:left="4" w:hanging="4"/>
        <w:spacing w:after="0" w:line="250" w:lineRule="auto"/>
        <w:tabs>
          <w:tab w:leader="none" w:pos="29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Civil Monetary Penalties Law, 42 U.S.C. §§ 1320a-7a and 1320a-7b; (iv) all applicable Laws concerning the privacy and/or security of Sensitive Data, including the Health Insurance Portability and Accountability Act of 1996, 42 U.S.C. §§ 1320d-1329d-8 and state data breach notification Laws; (v) all applicable Laws relating to health care fraud and abuse, including but not limited to the civil False Claims Act of 1863 (31 U.S.C. Section § 3729 et seq.), the federal Anti-Kickback Statute (42 U.S.C. § 1320a-7b(b) et seq.), and the Stark Act (42 U.S.C. § 1395nn); (vi) all federal and state self-referral prohibitions, state anti-kickback, illegal remuneration and provider conflict of interest Laws; (vii) the Physician Payments Sunshine Law (42 U.S. § 1320-a7h); (viii) the Clinical Laboratories Improvements Act of 1967 and Amendments of 1988 and the regulations, rules and guidance promulgated thereunder (“CLIA”); (ix) all applicable state Laws governing laboratory licensure; and (x) all other applicable quality, safety certification and accreditation standards and requirements.</w:t>
      </w:r>
    </w:p>
    <w:p>
      <w:pPr>
        <w:spacing w:after="0" w:line="17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HIPAA</w:t>
      </w:r>
      <w:r>
        <w:rPr>
          <w:rFonts w:ascii="Arial" w:cs="Arial" w:eastAsia="Arial" w:hAnsi="Arial"/>
          <w:sz w:val="16"/>
          <w:szCs w:val="16"/>
          <w:color w:val="auto"/>
        </w:rPr>
        <w:t>” has the meaning set forth in the definition of “Privacy Laws”.</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4" w:name="page75"/>
    <w:bookmarkEnd w:id="74"/>
    <w:p>
      <w:pPr>
        <w:jc w:val="both"/>
        <w:ind w:left="4" w:firstLine="114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without duplication, the following obligations of a Person, whether or not contingent, in respect of: (a) any indebtedness for borrowed money, (b) any obligation evidenced by bonds, debentures, notes, or other similar instruments, (c) any reimbursement obligation with respect to mortgages, letters of credit (including standby letters of credit to the extent drawn upon), bankers’ acceptances or similar facilities issued for the account of the Company or its Subsidiaries (inclusive of any current portion thereof), (d) any unfunded or underfunded liabilities pursuant to any retirement or nonqualified deferred compensation plan or arrangement and any earned but unpaid compensation (including salary, bonuses and paid time off) for any period prior to the Closing Date; and (e) any obligation of the type referred to in clauses</w:t>
      </w:r>
    </w:p>
    <w:p>
      <w:pPr>
        <w:spacing w:after="0" w:line="3" w:lineRule="exact"/>
        <w:rPr>
          <w:sz w:val="20"/>
          <w:szCs w:val="20"/>
          <w:color w:val="auto"/>
        </w:rPr>
      </w:pPr>
    </w:p>
    <w:p>
      <w:pPr>
        <w:jc w:val="both"/>
        <w:ind w:left="4" w:hanging="4"/>
        <w:spacing w:after="0" w:line="252" w:lineRule="auto"/>
        <w:tabs>
          <w:tab w:leader="none" w:pos="2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through (c) of another Person the payment of which the Company or any of its Subsidiaries has guaranteed or for which the Company or any of its Subsidiaries is responsible or liable, directly or indirectly, jointly or severally, as obligor or guarantor. For purposes of calculating “Indebtedness”, any amount that is conditioned upon the Closing shall be included in the calculation of Indebtedness as though the Closing occurred immediately prior to such calculation. For the avoidance of doubt, Indebtedness shall not include any deferred revenue of the Company.</w:t>
      </w:r>
    </w:p>
    <w:p>
      <w:pPr>
        <w:spacing w:after="0" w:line="17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Insiders</w:t>
      </w:r>
      <w:r>
        <w:rPr>
          <w:rFonts w:ascii="Arial" w:cs="Arial" w:eastAsia="Arial" w:hAnsi="Arial"/>
          <w:sz w:val="16"/>
          <w:szCs w:val="16"/>
          <w:color w:val="auto"/>
        </w:rPr>
        <w:t xml:space="preserve">” means the Parent’s Sponsor, officers, directors and any holder of Parent Common Stock as set forth on </w:t>
      </w:r>
      <w:r>
        <w:rPr>
          <w:rFonts w:ascii="Arial" w:cs="Arial" w:eastAsia="Arial" w:hAnsi="Arial"/>
          <w:sz w:val="16"/>
          <w:szCs w:val="16"/>
          <w:u w:val="single" w:color="auto"/>
          <w:color w:val="auto"/>
        </w:rPr>
        <w:t>Schedule 10.14(a)</w:t>
      </w:r>
      <w:r>
        <w:rPr>
          <w:rFonts w:ascii="Arial" w:cs="Arial" w:eastAsia="Arial" w:hAnsi="Arial"/>
          <w:sz w:val="16"/>
          <w:szCs w:val="16"/>
          <w:color w:val="auto"/>
        </w:rPr>
        <w:t>.</w:t>
      </w:r>
    </w:p>
    <w:p>
      <w:pPr>
        <w:spacing w:after="0" w:line="198" w:lineRule="exact"/>
        <w:rPr>
          <w:sz w:val="20"/>
          <w:szCs w:val="20"/>
          <w:color w:val="auto"/>
        </w:rPr>
      </w:pPr>
    </w:p>
    <w:p>
      <w:pPr>
        <w:jc w:val="both"/>
        <w:ind w:left="4" w:firstLine="1147"/>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all of the worldwide intellectual property and proprietary rights associated with any of the following, whether registered, unregistered or registrable, to the extent recognized in a particular jurisdiction: (a) trademarks and service marks, trade dress, product configurations, trade names and other indications of origin, applications or registrations in any jurisdiction pertaining to the foregoing and all goodwill associated therewith; (b) discoveries, inventions, ideas, Know-How, systems, technology, whether patentable or not, and all issued patents, industrial designs, and utility models, and all applications pertaining to the foregoing, in any jurisdiction, including re-issues, continuations, divisionals, continuations-in-part, re-examinations, renewals, counterparts, extensions, validations, and other extensions of legal protestation pertaining thereto; (c) trade secrets and other rights in confidential and other nonpublic information that derive economic value from not being generally known and not being readily ascertainable by proper means, including the right in any jurisdiction to limit the use or disclosure thereof; (d) software; (e) copyrights in writings, designs, software, mask works, content and any other original works of authorship in any medium, including applications or registrations in any jurisdiction for the foregoing; (f) data and databases; and (g) internet websites, domain names and applications and registrations pertaining thereto.</w:t>
      </w:r>
    </w:p>
    <w:p>
      <w:pPr>
        <w:spacing w:after="0" w:line="159" w:lineRule="exact"/>
        <w:rPr>
          <w:sz w:val="20"/>
          <w:szCs w:val="20"/>
          <w:color w:val="auto"/>
        </w:rPr>
      </w:pPr>
    </w:p>
    <w:p>
      <w:pPr>
        <w:jc w:val="both"/>
        <w:ind w:left="4" w:firstLine="1147"/>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 Contracts</w:t>
      </w:r>
      <w:r>
        <w:rPr>
          <w:rFonts w:ascii="Arial" w:cs="Arial" w:eastAsia="Arial" w:hAnsi="Arial"/>
          <w:sz w:val="15"/>
          <w:szCs w:val="15"/>
          <w:color w:val="auto"/>
        </w:rPr>
        <w:t>” means, collectively, any and all Contracts under which the Company or any of its Subsidiaries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Owned Intellectual Property or (iii) has entered into an agreement not to assert or sue with respect to any Intellectual Property (including settlement agreements and co-existence arrangements), in each case excluding (A) non-exclusive licenses and subscriptions to commercially available software or technology used for internal use by the Company, with a dollar value individually not in excess of $150,000, (B) any Contract related to Public Software, or (C) any Contract under which the Company or any of its Subsidiaries licenses any of the Owned Intellectual Property in the Ordinary Course.</w:t>
      </w:r>
    </w:p>
    <w:p>
      <w:pPr>
        <w:spacing w:after="0" w:line="15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the initial public offering of the Parent pursuant to a prospectus dated September 2, 2020 (the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Key Employee</w:t>
      </w:r>
      <w:r>
        <w:rPr>
          <w:rFonts w:ascii="Arial" w:cs="Arial" w:eastAsia="Arial" w:hAnsi="Arial"/>
          <w:sz w:val="16"/>
          <w:szCs w:val="16"/>
          <w:color w:val="auto"/>
        </w:rPr>
        <w:t>” means any employee of the Company at the level of Senior Vice President or above.</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5" w:name="page76"/>
    <w:bookmarkEnd w:id="75"/>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all information, unpatented inventions (whether or not patentable), improvements, practices, algorithms, formulae, trade secrets, techniques, methods, procedures, knowledge, results, protocols, processes, models, designs, drawings, specifications, materials and any other information related to the development, marketing, pricing, distribution, cost, sales and manufacturing of products.</w:t>
      </w:r>
    </w:p>
    <w:p>
      <w:pPr>
        <w:spacing w:after="0" w:line="16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xml:space="preserve">” means, (a) in the case of any Person other than the Company that is not an individual, with respect to any matter in question, the actual knowledge, after due inquiry, of such Person’s executive officers and (b) in the case of the Company, the actual knowledge, after due inquiry, of the persons set forth on </w:t>
      </w:r>
      <w:r>
        <w:rPr>
          <w:rFonts w:ascii="Arial" w:cs="Arial" w:eastAsia="Arial" w:hAnsi="Arial"/>
          <w:sz w:val="16"/>
          <w:szCs w:val="16"/>
          <w:u w:val="single" w:color="auto"/>
          <w:color w:val="auto"/>
        </w:rPr>
        <w:t>Schedule 10.14(b)</w:t>
      </w:r>
      <w:r>
        <w:rPr>
          <w:rFonts w:ascii="Arial" w:cs="Arial" w:eastAsia="Arial" w:hAnsi="Arial"/>
          <w:sz w:val="16"/>
          <w:szCs w:val="16"/>
          <w:color w:val="auto"/>
        </w:rPr>
        <w:t>.</w:t>
      </w:r>
    </w:p>
    <w:p>
      <w:pPr>
        <w:spacing w:after="0" w:line="16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municipal, foreign or other law, statute, constitution, ordinance, code, rule or regulation, issued, enacted, adopted, promulgated, implemented or otherwise put into effect by or under the authority of any Governmental Authority.</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any liability, obligation or commitment of any nature whatsoever, asserted or unasserted, known or unknown, absolute or contingent, accrued or unaccrued, matured or unmatured or otherwise.</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Intellectual Property</w:t>
      </w:r>
      <w:r>
        <w:rPr>
          <w:rFonts w:ascii="Arial" w:cs="Arial" w:eastAsia="Arial" w:hAnsi="Arial"/>
          <w:sz w:val="16"/>
          <w:szCs w:val="16"/>
          <w:color w:val="auto"/>
        </w:rPr>
        <w:t>” means all Intellectual Property of a third Person that is licensed to the Company or any of its Subsidiaries.</w:t>
      </w:r>
    </w:p>
    <w:p>
      <w:pPr>
        <w:spacing w:after="0" w:line="198"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security interest, pledge, bailment (in the nature of a pledge or for purposes of security), mortgage, deed of trust, the grant of a power to confess judgment, conditional sale or title retention agreement (including any lease in the nature thereof), charge, encumbrance, easement, reservation, restriction, cloud, right of first refusal or first offer, third-party-claim, encroachment, encumbrance, right-of-way, option, or other similar arrangement or interest in real or personal property, but excluding Intellectual Property licenses and covenants not to sue.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 any claims, losses, royalties, Liabilities, damages, deficiencies, interest and penalties, costs and expenses (including reasonable expenses of investigation and reasonable attorneys’ fees and expenses in connection with any Proceeding).</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 Consideration</w:t>
      </w:r>
      <w:r>
        <w:rPr>
          <w:rFonts w:ascii="Arial" w:cs="Arial" w:eastAsia="Arial" w:hAnsi="Arial"/>
          <w:sz w:val="14"/>
          <w:szCs w:val="14"/>
          <w:color w:val="auto"/>
        </w:rPr>
        <w:t>” means a number of shares of Parent Common Stock equal to the quotient obtained by dividing (i) the Base Purchase Price by (ii)</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$10.00.</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means The Nasdaq Capital Market.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Non-Disclosure Agreement</w:t>
      </w:r>
      <w:r>
        <w:rPr>
          <w:rFonts w:ascii="Arial" w:cs="Arial" w:eastAsia="Arial" w:hAnsi="Arial"/>
          <w:sz w:val="14"/>
          <w:szCs w:val="14"/>
          <w:color w:val="auto"/>
        </w:rPr>
        <w:t>” means that certain Non-Disclosure and Confidentiality Agreement dated as of January 8, 2021 by and between the Parent and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Company.</w:t>
      </w:r>
    </w:p>
    <w:p>
      <w:pPr>
        <w:spacing w:after="0" w:line="186"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For the avoidance of doubt, “Open Source Licenses” include Copyleft Licenses.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w:t>
      </w:r>
      <w:r>
        <w:rPr>
          <w:rFonts w:ascii="Arial" w:cs="Arial" w:eastAsia="Arial" w:hAnsi="Arial"/>
          <w:sz w:val="16"/>
          <w:szCs w:val="16"/>
          <w:color w:val="auto"/>
        </w:rPr>
        <w:t>” means the holder of any Company Options.</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order, decision, ruling, charge, writ, judgment, injunction, decree, stipulation, award or binding determination issued, promulgated or entered by or with any Governmental Authority.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6" w:name="page77"/>
    <w:bookmarkEnd w:id="76"/>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w:t>
      </w:r>
      <w:r>
        <w:rPr>
          <w:rFonts w:ascii="Arial" w:cs="Arial" w:eastAsia="Arial" w:hAnsi="Arial"/>
          <w:sz w:val="16"/>
          <w:szCs w:val="16"/>
          <w:color w:val="auto"/>
        </w:rPr>
        <w:t>” means in the ordinary course of business of the Person, consistent with past practice before the date hereof.</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the certificate or articles of incorporation and bylaws of a Person, as in effect from time to time including any amendments thereto.</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Owned Intellectual Property</w:t>
      </w:r>
      <w:r>
        <w:rPr>
          <w:rFonts w:ascii="Arial" w:cs="Arial" w:eastAsia="Arial" w:hAnsi="Arial"/>
          <w:sz w:val="16"/>
          <w:szCs w:val="16"/>
          <w:color w:val="auto"/>
        </w:rPr>
        <w:t>” means all Intellectual Property owned or purported to be by the Company or any of its Subsidiaries.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Common Stock”</w:t>
      </w:r>
      <w:r>
        <w:rPr>
          <w:rFonts w:ascii="Arial" w:cs="Arial" w:eastAsia="Arial" w:hAnsi="Arial"/>
          <w:sz w:val="16"/>
          <w:szCs w:val="16"/>
          <w:color w:val="auto"/>
        </w:rPr>
        <w:t xml:space="preserve"> means the shares of common stock, par value $0.0001 per share of Parent.</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Financial Statements</w:t>
      </w:r>
      <w:r>
        <w:rPr>
          <w:rFonts w:ascii="Arial" w:cs="Arial" w:eastAsia="Arial" w:hAnsi="Arial"/>
          <w:sz w:val="16"/>
          <w:szCs w:val="16"/>
          <w:color w:val="auto"/>
        </w:rPr>
        <w:t>” means the audited financial statements of the Parent as of September 30, 2020 for the period from May 21, 2020 (date of inception) through September 30, 2020.</w:t>
      </w:r>
    </w:p>
    <w:p>
      <w:pPr>
        <w:spacing w:after="0" w:line="152" w:lineRule="exact"/>
        <w:rPr>
          <w:sz w:val="20"/>
          <w:szCs w:val="20"/>
          <w:color w:val="auto"/>
        </w:rPr>
      </w:pPr>
    </w:p>
    <w:p>
      <w:pPr>
        <w:jc w:val="both"/>
        <w:ind w:left="4" w:right="20" w:firstLine="1147"/>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Material Adverse Effect</w:t>
      </w:r>
      <w:r>
        <w:rPr>
          <w:rFonts w:ascii="Arial" w:cs="Arial" w:eastAsia="Arial" w:hAnsi="Arial"/>
          <w:sz w:val="14"/>
          <w:szCs w:val="14"/>
          <w:color w:val="auto"/>
        </w:rPr>
        <w:t xml:space="preserve">” means any change, development, circumstance, effect, event or fact that has had, or would reasonably be expected to have, a material adverse effect upon the financial condition, business, liabilities or results of operations of Parent and its Subsidiaries, taken as a whole;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change, development, circumstance, effect, event or fact arising from or related to: (i) 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 conditions in the industry in which Parent and its Subsidiaries operate (including with respect to or as a result of COVID-19), (vi) actions or omissions taken by the Company or its Affiliates,</w:t>
      </w:r>
    </w:p>
    <w:p>
      <w:pPr>
        <w:spacing w:after="0" w:line="3" w:lineRule="exact"/>
        <w:rPr>
          <w:sz w:val="20"/>
          <w:szCs w:val="20"/>
          <w:color w:val="auto"/>
        </w:rPr>
      </w:pPr>
    </w:p>
    <w:p>
      <w:pPr>
        <w:jc w:val="both"/>
        <w:ind w:left="4" w:hanging="4"/>
        <w:spacing w:after="0" w:line="250" w:lineRule="auto"/>
        <w:tabs>
          <w:tab w:leader="none" w:pos="274"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actions or omissions taken by Parent or any of its Subsidiaries that is required by this Agreement or any Transaction Document or taken with the prior written consent of the Company, (vii) the public announcement of the Transactions or the identity of Parent or the Company in connection with the Transaction, (viii) 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“Parent Material Adverse Effect” has occurred) or (ix) the failure by Parent to take any action that is prohibited by this Agreement unless the Company has consented in writing to the taking thereof, shall not be taken into account in determining whether a “Parent Material Adverse Effect” has occurred, unless, such change, development, circumstance, effect, event or fact has a disproportionate effect on Parent and its Subsidiaries, taken as a whole, compared to other Persons in the industry or geographic regions in which Parent or its Subsidiaries conducts business, but only to the extent of such disproportionate effect.</w:t>
      </w:r>
    </w:p>
    <w:p>
      <w:pPr>
        <w:spacing w:after="0" w:line="17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means the preferred stock of Parent, par value $0.0001.</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Public Stockholders</w:t>
      </w:r>
      <w:r>
        <w:rPr>
          <w:rFonts w:ascii="Arial" w:cs="Arial" w:eastAsia="Arial" w:hAnsi="Arial"/>
          <w:sz w:val="16"/>
          <w:szCs w:val="16"/>
          <w:color w:val="auto"/>
        </w:rPr>
        <w:t>” the stockholders of Parent who purchased Parent Common Stock in the IPO.</w:t>
      </w:r>
    </w:p>
    <w:p>
      <w:pPr>
        <w:spacing w:after="0" w:line="198" w:lineRule="exact"/>
        <w:rPr>
          <w:sz w:val="20"/>
          <w:szCs w:val="20"/>
          <w:color w:val="auto"/>
        </w:rPr>
      </w:pPr>
    </w:p>
    <w:p>
      <w:pPr>
        <w:jc w:val="both"/>
        <w:ind w:left="4"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Share Redemption</w:t>
      </w:r>
      <w:r>
        <w:rPr>
          <w:rFonts w:ascii="Arial" w:cs="Arial" w:eastAsia="Arial" w:hAnsi="Arial"/>
          <w:sz w:val="16"/>
          <w:szCs w:val="16"/>
          <w:color w:val="auto"/>
        </w:rPr>
        <w:t>” means the election of an eligible (as determined in accordance with Parent’s Governing Documents) holder of Parent Common Stock to redeem all or a portion of the shares of Parent Common Stock held by such holder at a per-share price, payable in cash, equal to a pro rata share of the aggregate amount on deposit in the Trust Account (including any interest earned on the funds held in the Trust Account) (as determined in accordance with Parent’s Governing Documents) in connection with the Parent Proposals.</w:t>
      </w:r>
    </w:p>
    <w:p>
      <w:pPr>
        <w:spacing w:after="0" w:line="2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7" w:name="page78"/>
    <w:bookmarkEnd w:id="77"/>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Share Redemption Amount</w:t>
      </w:r>
      <w:r>
        <w:rPr>
          <w:rFonts w:ascii="Arial" w:cs="Arial" w:eastAsia="Arial" w:hAnsi="Arial"/>
          <w:sz w:val="16"/>
          <w:szCs w:val="16"/>
          <w:color w:val="auto"/>
        </w:rPr>
        <w:t>” means the aggregate amount payable with respect to all Parent Share Redemptions.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w:t>
      </w:r>
      <w:r>
        <w:rPr>
          <w:rFonts w:ascii="Arial" w:cs="Arial" w:eastAsia="Arial" w:hAnsi="Arial"/>
          <w:sz w:val="16"/>
          <w:szCs w:val="16"/>
          <w:color w:val="auto"/>
        </w:rPr>
        <w:t>” means the holders of the Parent Common Stock.</w:t>
      </w:r>
    </w:p>
    <w:p>
      <w:pPr>
        <w:spacing w:after="0" w:line="198" w:lineRule="exact"/>
        <w:rPr>
          <w:sz w:val="20"/>
          <w:szCs w:val="20"/>
          <w:color w:val="auto"/>
        </w:rPr>
      </w:pPr>
    </w:p>
    <w:p>
      <w:pPr>
        <w:jc w:val="both"/>
        <w:ind w:left="4" w:right="20" w:firstLine="1147"/>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Meeting</w:t>
      </w:r>
      <w:r>
        <w:rPr>
          <w:rFonts w:ascii="Arial" w:cs="Arial" w:eastAsia="Arial" w:hAnsi="Arial"/>
          <w:sz w:val="15"/>
          <w:szCs w:val="15"/>
          <w:color w:val="auto"/>
        </w:rPr>
        <w:t>” the meeting of stockholders of Parent Common Stock to be called for the purpose of soliciting proxies from the stockholders of Parent Common Stock to, among other things, vote in favor of the adoption of this Agreement, the approval of the Merger and the Parent Proposals.</w:t>
      </w:r>
    </w:p>
    <w:p>
      <w:pPr>
        <w:spacing w:after="0" w:line="129" w:lineRule="exact"/>
        <w:rPr>
          <w:sz w:val="20"/>
          <w:szCs w:val="20"/>
          <w:color w:val="auto"/>
        </w:rPr>
      </w:pPr>
    </w:p>
    <w:p>
      <w:pPr>
        <w:jc w:val="both"/>
        <w:ind w:left="4"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Transaction Expenses</w:t>
      </w:r>
      <w:r>
        <w:rPr>
          <w:rFonts w:ascii="Arial" w:cs="Arial" w:eastAsia="Arial" w:hAnsi="Arial"/>
          <w:sz w:val="14"/>
          <w:szCs w:val="14"/>
          <w:color w:val="auto"/>
        </w:rPr>
        <w:t>” means all fees, expenses and disbursements incurred by or on behalf of Merger Sub or Parent for outside counsel, agents, advisors, consultants, experts, financial advisors and other service providers engaged by or on behalf of Parent or Merger Sub in connection with the Transactions.</w:t>
      </w:r>
    </w:p>
    <w:p>
      <w:pPr>
        <w:spacing w:after="0" w:line="105"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Merger Consideration</w:t>
      </w:r>
      <w:r>
        <w:rPr>
          <w:rFonts w:ascii="Arial" w:cs="Arial" w:eastAsia="Arial" w:hAnsi="Arial"/>
          <w:sz w:val="16"/>
          <w:szCs w:val="16"/>
          <w:color w:val="auto"/>
        </w:rPr>
        <w:t>” means the quotient obtained by dividing (a) the Base Purchase Price, by (b) the number of Aggregate Fully Diluted Company Common Stock.</w:t>
      </w:r>
    </w:p>
    <w:p>
      <w:pPr>
        <w:spacing w:after="0" w:line="152"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w:t>
      </w:r>
      <w:r>
        <w:rPr>
          <w:rFonts w:ascii="Arial" w:cs="Arial" w:eastAsia="Arial" w:hAnsi="Arial"/>
          <w:sz w:val="16"/>
          <w:szCs w:val="16"/>
          <w:color w:val="auto"/>
        </w:rPr>
        <w:t>” means any permit, license, authorization, registration, franchise, approval, consent, certificate, variance and similar right obtained, or required to be obtained for the conduct of the Company’s business as currently conducted, from any Governmental Authority.</w:t>
      </w:r>
    </w:p>
    <w:p>
      <w:pPr>
        <w:spacing w:after="0" w:line="152" w:lineRule="exact"/>
        <w:rPr>
          <w:sz w:val="20"/>
          <w:szCs w:val="20"/>
          <w:color w:val="auto"/>
        </w:rPr>
      </w:pPr>
    </w:p>
    <w:p>
      <w:pPr>
        <w:jc w:val="both"/>
        <w:ind w:left="4" w:firstLine="114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Liens</w:t>
      </w:r>
      <w:r>
        <w:rPr>
          <w:rFonts w:ascii="Arial" w:cs="Arial" w:eastAsia="Arial" w:hAnsi="Arial"/>
          <w:sz w:val="14"/>
          <w:szCs w:val="14"/>
          <w:color w:val="auto"/>
        </w:rPr>
        <w:t>” means only (a) Liens for Taxes not yet due and delinquent or being contested in good faith by appropriate proceedings and for which appropriate and adequate reserves have been created in the applicable financial statements in accordance with GAAP; (b) workers or unemployment compensation Liens arising in the Ordinary Course; (c) mechanic’s, materialman’s, supplier’s, vendor’s or similar Liens arising in the Ordinary Course securing amounts that are past due and being contested in good faith, and for which appropriate and adequate reserves have been created in the applicable financial statements, or not delinquent; (d) zoning ordinances, easements and other restrictions of legal record affecting real property which would be revealed by a survey or a search of public records and would not, individually or in the aggregate, materially interfere with the value or usefulness of such real property to the respective businesses of the Company or any of its Subsidiaries as presently conducted;</w:t>
      </w:r>
    </w:p>
    <w:p>
      <w:pPr>
        <w:spacing w:after="0" w:line="1" w:lineRule="exact"/>
        <w:rPr>
          <w:sz w:val="20"/>
          <w:szCs w:val="20"/>
          <w:color w:val="auto"/>
        </w:rPr>
      </w:pPr>
    </w:p>
    <w:p>
      <w:pPr>
        <w:jc w:val="both"/>
        <w:ind w:left="4" w:hanging="4"/>
        <w:spacing w:after="0" w:line="279" w:lineRule="auto"/>
        <w:tabs>
          <w:tab w:leader="none" w:pos="236" w:val="left"/>
        </w:tabs>
        <w:numPr>
          <w:ilvl w:val="0"/>
          <w:numId w:val="79"/>
        </w:numPr>
        <w:rPr>
          <w:rFonts w:ascii="Arial" w:cs="Arial" w:eastAsia="Arial" w:hAnsi="Arial"/>
          <w:sz w:val="15"/>
          <w:szCs w:val="15"/>
          <w:color w:val="auto"/>
        </w:rPr>
      </w:pPr>
      <w:r>
        <w:rPr>
          <w:rFonts w:ascii="Arial" w:cs="Arial" w:eastAsia="Arial" w:hAnsi="Arial"/>
          <w:sz w:val="15"/>
          <w:szCs w:val="15"/>
          <w:color w:val="auto"/>
        </w:rPr>
        <w:t>title of a lessor under a capital or operating lease; (f) Liens arising under Indebtedness to be paid at Closing; (g) Liens imposed by applicable securities Laws; (h) such imperfections of title, easements, encumbrances, Liens or restrictions that do not materially impair or interfere with the current use of the Company’s or its Subsidiary’s Assets that are subject thereto; and (i) rights of first refusal, rights of first offer, proxy, voting trusts, voting agreements or similar arrangements.</w:t>
      </w:r>
    </w:p>
    <w:p>
      <w:pPr>
        <w:spacing w:after="0" w:line="151"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limited liability company, a partnership, an association, joint stock company, joint venture, a trust or any other entity, including a Governmental Authority.</w:t>
      </w:r>
    </w:p>
    <w:p>
      <w:pPr>
        <w:spacing w:after="0" w:line="152" w:lineRule="exact"/>
        <w:rPr>
          <w:sz w:val="20"/>
          <w:szCs w:val="20"/>
          <w:color w:val="auto"/>
        </w:rPr>
      </w:pPr>
    </w:p>
    <w:p>
      <w:pPr>
        <w:jc w:val="both"/>
        <w:ind w:left="4" w:right="20" w:firstLine="1147"/>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Personal Data</w:t>
      </w:r>
      <w:r>
        <w:rPr>
          <w:rFonts w:ascii="Arial" w:cs="Arial" w:eastAsia="Arial" w:hAnsi="Arial"/>
          <w:sz w:val="15"/>
          <w:szCs w:val="15"/>
          <w:color w:val="auto"/>
        </w:rPr>
        <w:t>” means, with respect to any natural Person, such Person’s name, street address, telephone number, e-mail address, photograph, social security number, tax identification number, driver’s license number, passport number, credit card number, bank account number and other financial information, customer or account numbers, account access codes and passwords, any other information that allows the identification of such Person or enables access to such Person’s financial information or that is defined as “personal data,” “personally identifiable information,” “personal information” or similar term under any applicable Laws.</w:t>
      </w:r>
    </w:p>
    <w:p>
      <w:pPr>
        <w:spacing w:after="0" w:line="15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Investment Amount</w:t>
      </w:r>
      <w:r>
        <w:rPr>
          <w:rFonts w:ascii="Arial" w:cs="Arial" w:eastAsia="Arial" w:hAnsi="Arial"/>
          <w:sz w:val="16"/>
          <w:szCs w:val="16"/>
          <w:color w:val="auto"/>
        </w:rPr>
        <w:t>” means the purchase of shares of Parent Common Stock pursuant to the Subscription Agreements.</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8" w:name="page79"/>
    <w:bookmarkEnd w:id="78"/>
    <w:p>
      <w:pPr>
        <w:jc w:val="both"/>
        <w:ind w:right="20" w:firstLine="1147"/>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Laws</w:t>
      </w:r>
      <w:r>
        <w:rPr>
          <w:rFonts w:ascii="Arial" w:cs="Arial" w:eastAsia="Arial" w:hAnsi="Arial"/>
          <w:sz w:val="16"/>
          <w:szCs w:val="16"/>
          <w:color w:val="auto"/>
        </w:rPr>
        <w:t>” means all applicable United States state and federal Laws relating to privacy and protection of Personal Data and/or Protected Health Information, including the Gramm-Leach-Bliley Act of 1999; the Identity Theft Red Flag Rules under the Fair and Accurate Credit Transactions Act of 2003; the Health Insurance Portability and Accountability Act of 1996 (“</w:t>
      </w:r>
      <w:r>
        <w:rPr>
          <w:rFonts w:ascii="Arial" w:cs="Arial" w:eastAsia="Arial" w:hAnsi="Arial"/>
          <w:sz w:val="16"/>
          <w:szCs w:val="16"/>
          <w:u w:val="single" w:color="auto"/>
          <w:color w:val="auto"/>
        </w:rPr>
        <w:t>HIPAA</w:t>
      </w:r>
      <w:r>
        <w:rPr>
          <w:rFonts w:ascii="Arial" w:cs="Arial" w:eastAsia="Arial" w:hAnsi="Arial"/>
          <w:sz w:val="16"/>
          <w:szCs w:val="16"/>
          <w:color w:val="auto"/>
        </w:rPr>
        <w:t>”); the Health Information Technology for Economic and Clinical Health Act; the Privacy Act of 1974; the Family Education Rights and Privacy Act of 1974; the Right to Financial Privacy Act of 1978; the Privacy Protection Act of 1980; the Fair Credit Reporting Act of 1970; the Electronic Communications Privacy Act of 1986; and any and all similar state and federal Laws relating to privacy, security, data protection, data availability and destruction and data breach, including security incident notification.</w:t>
      </w:r>
    </w:p>
    <w:p>
      <w:pPr>
        <w:spacing w:after="0" w:line="170"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action, suit, proceeding, complaint, claim, charge, hearing, labor dispute, inquiry or investigation before or by a Governmental Authority or an arbitrator.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Protected Health Information</w:t>
      </w:r>
      <w:r>
        <w:rPr>
          <w:rFonts w:ascii="Arial" w:cs="Arial" w:eastAsia="Arial" w:hAnsi="Arial"/>
          <w:sz w:val="16"/>
          <w:szCs w:val="16"/>
          <w:color w:val="auto"/>
        </w:rPr>
        <w:t>” has the meaning given to such term under HIPAA, including all such information in electronic form.</w:t>
      </w:r>
    </w:p>
    <w:p>
      <w:pPr>
        <w:spacing w:after="0" w:line="198"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Software</w:t>
      </w:r>
      <w:r>
        <w:rPr>
          <w:rFonts w:ascii="Arial" w:cs="Arial" w:eastAsia="Arial" w:hAnsi="Arial"/>
          <w:sz w:val="16"/>
          <w:szCs w:val="16"/>
          <w:color w:val="auto"/>
        </w:rPr>
        <w:t>” means any software or content subject to an Open Source License, coding and other materials that are distributed as “free software” (as defined by the Free Software Foundation), “open source software” (meaning software distributed under any license approved by the Open Source Initiative as set forth at www.opensource.org) or under a similar licensing or distribution model (including under a GNU General Public License (GPL), a GNU Lesser General Public License (LGPL), GNU Affero General Public License (AGPL), a Mozilla Public License (MPL), a BSD license, an Artistic License, a Netscape Public License, a Sun Community Source License (SCSL), a Sun Industry Standards License (SISL) and an Apache License.</w:t>
      </w:r>
    </w:p>
    <w:p>
      <w:pPr>
        <w:spacing w:after="0" w:line="170"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with respect to any Person, each of such Person’s “</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with respect to any Person, each of such Person’s Affiliates and its and their directors, officers, and employees, shareholders (if such Person is a corporation, a company limited by shares or similar entity), participants or members (if such Person is a limited liability company or similar entity), partners (if such person is a partnership or similar entity), attorneys-in-fact, financial advisers, counsel, and other agents and third-party representatives, including independent contractors such as sales representatives, consultants, intermediaries, contractors, and distributors and anyone acting on behalf of the Person.</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198"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Sensitive Data</w:t>
      </w:r>
      <w:r>
        <w:rPr>
          <w:rFonts w:ascii="Arial" w:cs="Arial" w:eastAsia="Arial" w:hAnsi="Arial"/>
          <w:sz w:val="16"/>
          <w:szCs w:val="16"/>
          <w:color w:val="auto"/>
        </w:rPr>
        <w:t>” means all confidential information, classified information, proprietary information, trade secrets and any other information, the security or confidentiality of which is protected by Law or Contract, that is collected, maintained, stored, transmitted, used, disclosed or otherwise processed by the Company. Sensitive Data also includes Personal Data which is held, stored, collected, transmitted, transferred (including cross-border transfers), disclosed, sold or used by the Company or its Subsidiaries.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Stockholders</w:t>
      </w:r>
      <w:r>
        <w:rPr>
          <w:rFonts w:ascii="Arial" w:cs="Arial" w:eastAsia="Arial" w:hAnsi="Arial"/>
          <w:sz w:val="16"/>
          <w:szCs w:val="16"/>
          <w:color w:val="auto"/>
        </w:rPr>
        <w:t>” means the holders of Company Capital Stock.</w:t>
      </w:r>
    </w:p>
    <w:p>
      <w:pPr>
        <w:spacing w:after="0" w:line="198"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when used with respect to any Party, shall mean any corporation, limited liability company, partnership, association, trust or other entity the accounts of which would be consolidated with those of such Party in such Party’s consolidated financial statements if such financial statements were prepared in accordance with GAAP, as well as any other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9" w:name="page80"/>
    <w:bookmarkEnd w:id="79"/>
    <w:p>
      <w:pPr>
        <w:jc w:val="both"/>
        <w:ind w:right="20"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means any and all federal, state, local, foreign and other taxes, levies, fees, imposts, duties and charges of whatever kind in the nature of a tax (including any interest, penalties or additions to the tax imposed in connection therewith or with respect thereto), including taxes imposed on, or measured by, income, franchise, profits or gross receipts, and also </w:t>
      </w:r>
      <w:r>
        <w:rPr>
          <w:rFonts w:ascii="Arial" w:cs="Arial" w:eastAsia="Arial" w:hAnsi="Arial"/>
          <w:sz w:val="16"/>
          <w:szCs w:val="16"/>
          <w:i w:val="1"/>
          <w:iCs w:val="1"/>
          <w:color w:val="auto"/>
        </w:rPr>
        <w:t>ad valorem</w:t>
      </w:r>
      <w:r>
        <w:rPr>
          <w:rFonts w:ascii="Arial" w:cs="Arial" w:eastAsia="Arial" w:hAnsi="Arial"/>
          <w:sz w:val="16"/>
          <w:szCs w:val="16"/>
          <w:color w:val="auto"/>
        </w:rPr>
        <w:t>, value added, sales, use, service, real or personal property, capital stock, license, payroll, withholding, employment, social security, workers’ compensation, utility, unemployment compensation, severance, production, excise, stamp, occupation, premium, windfall profits, transfer and gains taxes and customs duties, whether disputed or not.</w:t>
      </w:r>
    </w:p>
    <w:p>
      <w:pPr>
        <w:spacing w:after="0" w:line="170"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all returns, reports, information statements and other documentation (including any additional or supporting material) filed or maintained, or required to be filed or maintained, in connection with the calculation, determination, assessment, claim for refund or collection of any Tax, including any amendment or attachment thereto.</w:t>
      </w:r>
    </w:p>
    <w:p>
      <w:pPr>
        <w:spacing w:after="0" w:line="16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collectively, this Agreement, the Registration Rights Agreement, the Lock-up Agreement, and each other agreement, document, instrument or certificate contemplated by this Agreement to be executed in connection with the transactions contemplated hereby.</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refers collectively to this Agreement and the other Transaction Documents and the transactions contemplated hereby and thereby, including the Merger and the transactions contemplated thereby.</w:t>
      </w:r>
    </w:p>
    <w:p>
      <w:pPr>
        <w:spacing w:after="0" w:line="15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Amount</w:t>
      </w:r>
      <w:r>
        <w:rPr>
          <w:rFonts w:ascii="Arial" w:cs="Arial" w:eastAsia="Arial" w:hAnsi="Arial"/>
          <w:sz w:val="15"/>
          <w:szCs w:val="15"/>
          <w:color w:val="auto"/>
        </w:rPr>
        <w:t xml:space="preserve">” means the amount of cash available in the Trust Account following the Parent Stockholder Meeting, after deducting the amount required to satisfy the Parent Share Redemption Amount (but prior to payment of (x) any deferred underwriting commissions being held in the Trust Account, and (y) any Parent Transaction Expenses (including transaction expenses incurred, accrued, paid or payable by Parent’s Affiliates on Parent’s behalf), as contemplated by </w:t>
      </w:r>
      <w:r>
        <w:rPr>
          <w:rFonts w:ascii="Arial" w:cs="Arial" w:eastAsia="Arial" w:hAnsi="Arial"/>
          <w:sz w:val="15"/>
          <w:szCs w:val="15"/>
          <w:u w:val="single" w:color="auto"/>
          <w:color w:val="auto"/>
        </w:rPr>
        <w:t>Section 7.8</w:t>
      </w:r>
      <w:r>
        <w:rPr>
          <w:rFonts w:ascii="Arial" w:cs="Arial" w:eastAsia="Arial" w:hAnsi="Arial"/>
          <w:sz w:val="15"/>
          <w:szCs w:val="15"/>
          <w:color w:val="auto"/>
        </w:rPr>
        <w:t>).</w:t>
      </w:r>
    </w:p>
    <w:p>
      <w:pPr>
        <w:spacing w:after="0" w:line="146"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with respect to any agreement, a party’s knowing and intentional material breach of any of its representations or warranties as set forth in such agreement, or such party’s material breach of any of its covenants or other agreements set forth in such agreement, which material breach constitutes, or is a consequence of, a purposeful act or failure to act by such party with the knowledge that the taking of such act or failure to take such act would cause a material breach of such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80" w:name="page81"/>
    <w:bookmarkEnd w:id="80"/>
    <w:p>
      <w:pPr>
        <w:ind w:left="560"/>
        <w:spacing w:after="0"/>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0" w:lineRule="auto"/>
        <w:tabs>
          <w:tab w:leader="none" w:pos="1455" w:val="left"/>
        </w:tabs>
        <w:numPr>
          <w:ilvl w:val="0"/>
          <w:numId w:val="80"/>
        </w:numPr>
        <w:rPr>
          <w:rFonts w:ascii="Arial" w:cs="Arial" w:eastAsia="Arial" w:hAnsi="Arial"/>
          <w:sz w:val="14"/>
          <w:szCs w:val="14"/>
          <w:color w:val="auto"/>
        </w:rPr>
      </w:pPr>
      <w:r>
        <w:rPr>
          <w:rFonts w:ascii="Arial" w:cs="Arial" w:eastAsia="Arial" w:hAnsi="Arial"/>
          <w:sz w:val="14"/>
          <w:szCs w:val="14"/>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and all rules and regulations promulgated thereunder, unless the context requires otherwise. References to a Person are also to its permitted successors and assigns. The word “or” shall not be exclusive. 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 All references to “$” or “dollars” shall mean United States Dollars.</w:t>
      </w:r>
    </w:p>
    <w:p>
      <w:pPr>
        <w:spacing w:after="0" w:line="147" w:lineRule="exact"/>
        <w:rPr>
          <w:rFonts w:ascii="Arial" w:cs="Arial" w:eastAsia="Arial" w:hAnsi="Arial"/>
          <w:sz w:val="14"/>
          <w:szCs w:val="14"/>
          <w:color w:val="auto"/>
        </w:rPr>
      </w:pPr>
    </w:p>
    <w:p>
      <w:pPr>
        <w:jc w:val="both"/>
        <w:ind w:right="20" w:firstLine="1143"/>
        <w:spacing w:after="0" w:line="262" w:lineRule="auto"/>
        <w:tabs>
          <w:tab w:leader="none" w:pos="154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6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Section 10.16 </w:t>
      </w:r>
      <w:r>
        <w:rPr>
          <w:rFonts w:ascii="Arial" w:cs="Arial" w:eastAsia="Arial" w:hAnsi="Arial"/>
          <w:sz w:val="14"/>
          <w:szCs w:val="14"/>
          <w:u w:val="single" w:color="auto"/>
          <w:color w:val="auto"/>
        </w:rPr>
        <w:t>Publicity</w:t>
      </w:r>
      <w:r>
        <w:rPr>
          <w:rFonts w:ascii="Arial" w:cs="Arial" w:eastAsia="Arial" w:hAnsi="Arial"/>
          <w:sz w:val="14"/>
          <w:szCs w:val="14"/>
          <w:color w:val="auto"/>
        </w:rPr>
        <w:t xml:space="preserve">. Except as required by any Governmental Authority or Law including any applicable securities Law or stock exchange rule, or as otherwise contemplated by this Agreement, in each such case the party making the announcement shall use commercially reasonable efforts to consult with the other party in advance as to its form, content and timing, or as contemplated by this Agreement, the Parties agree that neither they nor their agents shall issue any press release or make any other public disclosure concerning the Transactions without the prior approval of the other Party hereto, which approval shall not be unreasonably withheld. If a Party is required to make such a disclosure as required by Law, the Parties will use their commercially reasonable efforts to cause a mutually agreeable release or public disclosure to be issued. Notwithstanding the foregoing, no party shall be required to obtain consent pursuant to this </w:t>
      </w:r>
      <w:r>
        <w:rPr>
          <w:rFonts w:ascii="Arial" w:cs="Arial" w:eastAsia="Arial" w:hAnsi="Arial"/>
          <w:sz w:val="14"/>
          <w:szCs w:val="14"/>
          <w:u w:val="single" w:color="auto"/>
          <w:color w:val="auto"/>
        </w:rPr>
        <w:t>Section 10.16</w:t>
      </w:r>
      <w:r>
        <w:rPr>
          <w:rFonts w:ascii="Arial" w:cs="Arial" w:eastAsia="Arial" w:hAnsi="Arial"/>
          <w:sz w:val="14"/>
          <w:szCs w:val="14"/>
          <w:color w:val="auto"/>
        </w:rPr>
        <w:t xml:space="preserve"> to the extent any proposed release or statement is substantially equivalent to the information that has previously been made public without breach of the obligation under this </w:t>
      </w:r>
      <w:r>
        <w:rPr>
          <w:rFonts w:ascii="Arial" w:cs="Arial" w:eastAsia="Arial" w:hAnsi="Arial"/>
          <w:sz w:val="14"/>
          <w:szCs w:val="14"/>
          <w:u w:val="single" w:color="auto"/>
          <w:color w:val="auto"/>
        </w:rPr>
        <w:t>Section 10.16</w:t>
      </w:r>
      <w:r>
        <w:rPr>
          <w:rFonts w:ascii="Arial" w:cs="Arial" w:eastAsia="Arial" w:hAnsi="Arial"/>
          <w:sz w:val="14"/>
          <w:szCs w:val="14"/>
          <w:color w:val="auto"/>
        </w:rPr>
        <w:t>.</w:t>
      </w:r>
    </w:p>
    <w:p>
      <w:pPr>
        <w:spacing w:after="0" w:line="144"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10.17 </w:t>
      </w:r>
      <w:r>
        <w:rPr>
          <w:rFonts w:ascii="Arial" w:cs="Arial" w:eastAsia="Arial" w:hAnsi="Arial"/>
          <w:sz w:val="15"/>
          <w:szCs w:val="15"/>
          <w:u w:val="single" w:color="auto"/>
          <w:color w:val="auto"/>
        </w:rPr>
        <w:t>Nonsurvival of Representations</w:t>
      </w:r>
      <w:r>
        <w:rPr>
          <w:rFonts w:ascii="Arial" w:cs="Arial" w:eastAsia="Arial" w:hAnsi="Arial"/>
          <w:sz w:val="15"/>
          <w:szCs w:val="15"/>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on or after the Closing and (b) this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u w:val="single" w:color="auto"/>
          <w:color w:val="auto"/>
        </w:rPr>
        <w:t>Non-Recourse</w:t>
      </w:r>
      <w:r>
        <w:rPr>
          <w:rFonts w:ascii="Arial" w:cs="Arial" w:eastAsia="Arial" w:hAnsi="Arial"/>
          <w:sz w:val="16"/>
          <w:szCs w:val="16"/>
          <w:color w:val="auto"/>
        </w:rPr>
        <w:t>. Except in the case of claims against a Person in respect of such Person’s actual fraud:</w:t>
      </w:r>
    </w:p>
    <w:p>
      <w:pPr>
        <w:spacing w:after="0" w:line="198" w:lineRule="exact"/>
        <w:rPr>
          <w:sz w:val="20"/>
          <w:szCs w:val="20"/>
          <w:color w:val="auto"/>
        </w:rPr>
      </w:pPr>
    </w:p>
    <w:p>
      <w:pPr>
        <w:jc w:val="both"/>
        <w:ind w:right="20" w:firstLine="1143"/>
        <w:spacing w:after="0" w:line="262" w:lineRule="auto"/>
        <w:tabs>
          <w:tab w:leader="none" w:pos="1364" w:val="left"/>
        </w:tabs>
        <w:numPr>
          <w:ilvl w:val="0"/>
          <w:numId w:val="81"/>
        </w:numPr>
        <w:rPr>
          <w:rFonts w:ascii="Arial" w:cs="Arial" w:eastAsia="Arial" w:hAnsi="Arial"/>
          <w:sz w:val="16"/>
          <w:szCs w:val="16"/>
          <w:color w:val="auto"/>
        </w:rPr>
      </w:pPr>
      <w:r>
        <w:rPr>
          <w:rFonts w:ascii="Arial" w:cs="Arial" w:eastAsia="Arial" w:hAnsi="Arial"/>
          <w:sz w:val="16"/>
          <w:szCs w:val="16"/>
          <w:color w:val="auto"/>
        </w:rPr>
        <w:t>Solely with respect to the Company, Parent and Merger Sub, this Agreement may only be enforced against, and any claim or cause of action based upon, arising out of, or related to this Agreement or the transactions contemplated hereby may only be brought against, the Company, Parent and Merger Sub as named parties hereto; and</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373"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Parent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Parent or Merger Sub under this Agreement for any claim based on, arising out of, or related to this Agreement or the transactions contemplated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pages follow]</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auto"/>
        </w:rPr>
        <w:t>IN WITNESS WHEREOF, the Parties have caused this Agreement to be duly executed and delivered as of the date first above written.</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BCTG ACQUISITION CORP.</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BCTG MERGER SUB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TANGO THERAPEUTICS,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391795</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724"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A</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[__],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100 Binney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[___]</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 Company Support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This letter (this “</w:t>
      </w:r>
      <w:r>
        <w:rPr>
          <w:rFonts w:ascii="Arial" w:cs="Arial" w:eastAsia="Arial" w:hAnsi="Arial"/>
          <w:sz w:val="15"/>
          <w:szCs w:val="15"/>
          <w:u w:val="single" w:color="auto"/>
          <w:color w:val="auto"/>
        </w:rPr>
        <w:t>Support Agreement</w:t>
      </w:r>
      <w:r>
        <w:rPr>
          <w:rFonts w:ascii="Arial" w:cs="Arial" w:eastAsia="Arial" w:hAnsi="Arial"/>
          <w:sz w:val="15"/>
          <w:szCs w:val="15"/>
          <w:color w:val="auto"/>
        </w:rPr>
        <w:t>”) is being delivered by each of the stockholders (the “</w:t>
      </w:r>
      <w:r>
        <w:rPr>
          <w:rFonts w:ascii="Arial" w:cs="Arial" w:eastAsia="Arial" w:hAnsi="Arial"/>
          <w:sz w:val="15"/>
          <w:szCs w:val="15"/>
          <w:u w:val="single" w:color="auto"/>
          <w:color w:val="auto"/>
        </w:rPr>
        <w:t>Stockholder</w:t>
      </w:r>
      <w:r>
        <w:rPr>
          <w:rFonts w:ascii="Arial" w:cs="Arial" w:eastAsia="Arial" w:hAnsi="Arial"/>
          <w:sz w:val="15"/>
          <w:szCs w:val="15"/>
          <w:color w:val="auto"/>
        </w:rPr>
        <w:t>”), of Tango Therapeutics,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listed on the signature pages attached hereto to the Company and BCTG Acquisition Corp., a Delaware corporation (the “</w:t>
      </w:r>
      <w:r>
        <w:rPr>
          <w:rFonts w:ascii="Arial" w:cs="Arial" w:eastAsia="Arial" w:hAnsi="Arial"/>
          <w:sz w:val="15"/>
          <w:szCs w:val="15"/>
          <w:u w:val="single" w:color="auto"/>
          <w:color w:val="auto"/>
        </w:rPr>
        <w:t>Parent</w:t>
      </w:r>
      <w:r>
        <w:rPr>
          <w:rFonts w:ascii="Arial" w:cs="Arial" w:eastAsia="Arial" w:hAnsi="Arial"/>
          <w:sz w:val="15"/>
          <w:szCs w:val="15"/>
          <w:color w:val="auto"/>
        </w:rPr>
        <w:t>”), in accordance with that Merger Agreement dated as of the date hereof, by and among the Company, Parent and BCTG Merger Sub Inc., a Delaware corporation and wholly-owned subsidiary of the Parent (“</w:t>
      </w:r>
      <w:r>
        <w:rPr>
          <w:rFonts w:ascii="Arial" w:cs="Arial" w:eastAsia="Arial" w:hAnsi="Arial"/>
          <w:sz w:val="15"/>
          <w:szCs w:val="15"/>
          <w:u w:val="single" w:color="auto"/>
          <w:color w:val="auto"/>
        </w:rPr>
        <w:t>Merger Sub</w:t>
      </w:r>
      <w:r>
        <w:rPr>
          <w:rFonts w:ascii="Arial" w:cs="Arial" w:eastAsia="Arial" w:hAnsi="Arial"/>
          <w:sz w:val="15"/>
          <w:szCs w:val="15"/>
          <w:color w:val="auto"/>
        </w:rPr>
        <w:t>”)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Each Stockholder is currently the record owner of the shares of Company Capital Stock (the “</w:t>
      </w:r>
      <w:r>
        <w:rPr>
          <w:rFonts w:ascii="Arial" w:cs="Arial" w:eastAsia="Arial" w:hAnsi="Arial"/>
          <w:sz w:val="16"/>
          <w:szCs w:val="16"/>
          <w:u w:val="single" w:color="auto"/>
          <w:color w:val="auto"/>
        </w:rPr>
        <w:t>Stockholder Shares</w:t>
      </w:r>
      <w:r>
        <w:rPr>
          <w:rFonts w:ascii="Arial" w:cs="Arial" w:eastAsia="Arial" w:hAnsi="Arial"/>
          <w:sz w:val="16"/>
          <w:szCs w:val="16"/>
          <w:color w:val="auto"/>
        </w:rPr>
        <w:t>”) set forth opposite such Stockholder’s name on Exhibit A attached hereto, representing the voting power of the Company’s security holders necessary to approve the Transactions.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order to induce the Parent to enter into the Merger Agreement and for other good and valuable consideration, the receipt and sufficiency of which are hereby acknowledged, the Stockholder hereby agrees with the Parent and the Company as follows:</w:t>
      </w:r>
    </w:p>
    <w:p>
      <w:pPr>
        <w:spacing w:after="0" w:line="152" w:lineRule="exact"/>
        <w:rPr>
          <w:sz w:val="20"/>
          <w:szCs w:val="20"/>
          <w:color w:val="auto"/>
        </w:rPr>
      </w:pPr>
    </w:p>
    <w:p>
      <w:pPr>
        <w:jc w:val="both"/>
        <w:ind w:left="860" w:hanging="291"/>
        <w:spacing w:after="0" w:line="258" w:lineRule="auto"/>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Voting Agreements</w:t>
      </w:r>
      <w:r>
        <w:rPr>
          <w:rFonts w:ascii="Arial" w:cs="Arial" w:eastAsia="Arial" w:hAnsi="Arial"/>
          <w:sz w:val="16"/>
          <w:szCs w:val="16"/>
          <w:color w:val="auto"/>
        </w:rPr>
        <w:t>. The Stockholder, in its capacity as a stockholder of the Company, covenants and agrees that, at any meeting of the Company’s stockholders related to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whether annual or special and whether or not an adjourned or postponed meeting, and however called, and in connection with any written consent of the Company’s stockholders related to the Transactions (all such meetings or consents collectively referred to herein as the “</w:t>
      </w:r>
      <w:r>
        <w:rPr>
          <w:rFonts w:ascii="Arial" w:cs="Arial" w:eastAsia="Arial" w:hAnsi="Arial"/>
          <w:sz w:val="16"/>
          <w:szCs w:val="16"/>
          <w:u w:val="single" w:color="auto"/>
          <w:color w:val="auto"/>
        </w:rPr>
        <w:t>Meeting</w:t>
      </w:r>
      <w:r>
        <w:rPr>
          <w:rFonts w:ascii="Arial" w:cs="Arial" w:eastAsia="Arial" w:hAnsi="Arial"/>
          <w:sz w:val="16"/>
          <w:szCs w:val="16"/>
          <w:color w:val="auto"/>
        </w:rPr>
        <w:t>”), the Stockholder shall:</w:t>
      </w:r>
    </w:p>
    <w:p>
      <w:pPr>
        <w:spacing w:after="0" w:line="164"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when the Meeting is held, appear at the Meeting or otherwise cause the Stockholder Shares to be counted as present thereat for the purpose of establishing a quorum;</w:t>
      </w:r>
    </w:p>
    <w:p>
      <w:pPr>
        <w:spacing w:after="0" w:line="151" w:lineRule="exact"/>
        <w:rPr>
          <w:rFonts w:ascii="Arial" w:cs="Arial" w:eastAsia="Arial" w:hAnsi="Arial"/>
          <w:sz w:val="16"/>
          <w:szCs w:val="16"/>
          <w:color w:val="auto"/>
        </w:rPr>
      </w:pPr>
    </w:p>
    <w:p>
      <w:pPr>
        <w:jc w:val="both"/>
        <w:ind w:left="1420" w:hanging="277"/>
        <w:spacing w:after="0" w:line="262" w:lineRule="auto"/>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Company for consummation of the Merger and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ind w:left="851" w:right="20" w:hanging="277"/>
        <w:spacing w:after="0" w:line="27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authorize and approve the Merger to the extent the approval of any of the Company’s stockholders is required or applicable pursuant to the Company’s Third Amended and Restated Certificate of Incorporation, as amended from time to time (the “</w:t>
      </w:r>
      <w:r>
        <w:rPr>
          <w:rFonts w:ascii="Arial" w:cs="Arial" w:eastAsia="Arial" w:hAnsi="Arial"/>
          <w:sz w:val="16"/>
          <w:szCs w:val="16"/>
          <w:u w:val="single" w:color="auto"/>
          <w:color w:val="auto"/>
        </w:rPr>
        <w:t>Company Charter</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851" w:hanging="277"/>
        <w:spacing w:after="0"/>
        <w:tabs>
          <w:tab w:leader="none" w:pos="851" w:val="left"/>
        </w:tabs>
        <w:numPr>
          <w:ilvl w:val="2"/>
          <w:numId w:val="83"/>
        </w:numPr>
        <w:rPr>
          <w:rFonts w:ascii="Arial" w:cs="Arial" w:eastAsia="Arial" w:hAnsi="Arial"/>
          <w:sz w:val="15"/>
          <w:szCs w:val="15"/>
          <w:color w:val="auto"/>
        </w:rPr>
      </w:pPr>
      <w:r>
        <w:rPr>
          <w:rFonts w:ascii="Arial" w:cs="Arial" w:eastAsia="Arial" w:hAnsi="Arial"/>
          <w:sz w:val="15"/>
          <w:szCs w:val="15"/>
          <w:color w:val="auto"/>
        </w:rPr>
        <w:t>convert each share of Company Preferred Stock into shares of Company Common Stock in accordance with the terms of the Company Charter;</w:t>
      </w:r>
    </w:p>
    <w:p>
      <w:pPr>
        <w:spacing w:after="0" w:line="209" w:lineRule="exact"/>
        <w:rPr>
          <w:rFonts w:ascii="Arial" w:cs="Arial" w:eastAsia="Arial" w:hAnsi="Arial"/>
          <w:sz w:val="15"/>
          <w:szCs w:val="15"/>
          <w:color w:val="auto"/>
        </w:rPr>
      </w:pPr>
    </w:p>
    <w:p>
      <w:pPr>
        <w:ind w:left="851" w:right="20" w:hanging="277"/>
        <w:spacing w:after="0" w:line="27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authorize and approve any amendment to the Company Charter that is deemed necessary or advisable by the Company for purposes of effecting the Transactions;</w:t>
      </w:r>
    </w:p>
    <w:p>
      <w:pPr>
        <w:spacing w:after="0" w:line="151" w:lineRule="exact"/>
        <w:rPr>
          <w:rFonts w:ascii="Arial" w:cs="Arial" w:eastAsia="Arial" w:hAnsi="Arial"/>
          <w:sz w:val="16"/>
          <w:szCs w:val="16"/>
          <w:color w:val="auto"/>
        </w:rPr>
      </w:pPr>
    </w:p>
    <w:p>
      <w:pPr>
        <w:jc w:val="both"/>
        <w:ind w:left="851" w:right="20" w:hanging="277"/>
        <w:spacing w:after="0" w:line="25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 with, delay, postpone or adversely affect the Merger or any of the Transactions, (y) result in a breach of any covenant, representation or warranty or other obligation or agreement of the Company under the Merger Agreement, or (z) result in a breach of any covenant, representation or warranty or other obligation or agreement of the Stockholder contained in this Support Agreement;</w:t>
      </w:r>
    </w:p>
    <w:p>
      <w:pPr>
        <w:spacing w:after="0" w:line="169" w:lineRule="exact"/>
        <w:rPr>
          <w:rFonts w:ascii="Arial" w:cs="Arial" w:eastAsia="Arial" w:hAnsi="Arial"/>
          <w:sz w:val="16"/>
          <w:szCs w:val="16"/>
          <w:color w:val="auto"/>
        </w:rPr>
      </w:pPr>
    </w:p>
    <w:p>
      <w:pPr>
        <w:ind w:left="851" w:right="20" w:hanging="277"/>
        <w:spacing w:after="0" w:line="27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exercise the drag-along rights, if applicable to the Merger, set forth in Section 3 of the Company’s Second Amended and Restated Stockholders Agreement, dated as of August 17, 2020; and</w:t>
      </w:r>
    </w:p>
    <w:p>
      <w:pPr>
        <w:spacing w:after="0" w:line="151" w:lineRule="exact"/>
        <w:rPr>
          <w:rFonts w:ascii="Arial" w:cs="Arial" w:eastAsia="Arial" w:hAnsi="Arial"/>
          <w:sz w:val="16"/>
          <w:szCs w:val="16"/>
          <w:color w:val="auto"/>
        </w:rPr>
      </w:pPr>
    </w:p>
    <w:p>
      <w:pPr>
        <w:jc w:val="both"/>
        <w:ind w:left="851" w:right="20" w:hanging="277"/>
        <w:spacing w:after="0" w:line="287" w:lineRule="auto"/>
        <w:tabs>
          <w:tab w:leader="none" w:pos="851" w:val="left"/>
        </w:tabs>
        <w:numPr>
          <w:ilvl w:val="2"/>
          <w:numId w:val="83"/>
        </w:numPr>
        <w:rPr>
          <w:rFonts w:ascii="Arial" w:cs="Arial" w:eastAsia="Arial" w:hAnsi="Arial"/>
          <w:sz w:val="15"/>
          <w:szCs w:val="15"/>
          <w:color w:val="auto"/>
        </w:rPr>
      </w:pPr>
      <w:r>
        <w:rPr>
          <w:rFonts w:ascii="Arial" w:cs="Arial" w:eastAsia="Arial" w:hAnsi="Arial"/>
          <w:sz w:val="15"/>
          <w:szCs w:val="15"/>
          <w:color w:val="auto"/>
        </w:rPr>
        <w:t>in any other circumstances upon which a consent or other approval is required under the Company’s Organizational Documents or the Company Financing Agreements (as defined below) or otherwise sought with respect to the Merger Agreement or the Transactions, to vote, consent or approve (or cause to be voted, consented or approved) all of such Stockholder’s Stockholder Shares held at such time in favor thereof.</w:t>
      </w:r>
    </w:p>
    <w:p>
      <w:pPr>
        <w:spacing w:after="0" w:line="146" w:lineRule="exact"/>
        <w:rPr>
          <w:rFonts w:ascii="Arial" w:cs="Arial" w:eastAsia="Arial" w:hAnsi="Arial"/>
          <w:sz w:val="15"/>
          <w:szCs w:val="15"/>
          <w:color w:val="auto"/>
        </w:rPr>
      </w:pPr>
    </w:p>
    <w:p>
      <w:pPr>
        <w:jc w:val="both"/>
        <w:ind w:left="291" w:right="20" w:hanging="291"/>
        <w:spacing w:after="0" w:line="294" w:lineRule="auto"/>
        <w:tabs>
          <w:tab w:leader="none" w:pos="291"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No Challenge</w:t>
      </w:r>
      <w:r>
        <w:rPr>
          <w:rFonts w:ascii="Arial" w:cs="Arial" w:eastAsia="Arial" w:hAnsi="Arial"/>
          <w:sz w:val="14"/>
          <w:szCs w:val="14"/>
          <w:color w:val="auto"/>
        </w:rPr>
        <w:t>. Each Stockholder agrees not to commence, join in, facilitate, assist or encourage, and agrees to take all actions necessary to opt out of any class in any class action with respect to, any claim, derivative or otherwise, against the Parent, Merger Sub, the Company or any of their respective successors or directors</w:t>
      </w:r>
    </w:p>
    <w:p>
      <w:pPr>
        <w:ind w:left="291" w:hanging="4"/>
        <w:spacing w:after="0" w:line="258" w:lineRule="auto"/>
        <w:tabs>
          <w:tab w:leader="none" w:pos="5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challenging the validity of, or seeking to enjoin the operation of, any provision of this Agreement or the Merger Agreement or (b) alleging a breach of any fiduciary duty of any person in connection with the evaluation, negotiation or entry into the Merger Agreement.</w:t>
      </w:r>
    </w:p>
    <w:p>
      <w:pPr>
        <w:spacing w:after="0" w:line="261"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4" w:name="page85"/>
    <w:bookmarkEnd w:id="84"/>
    <w:p>
      <w:pPr>
        <w:ind w:left="291" w:hanging="291"/>
        <w:spacing w:after="0"/>
        <w:tabs>
          <w:tab w:leader="none" w:pos="291"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Closing Date Deliverables</w:t>
      </w:r>
      <w:r>
        <w:rPr>
          <w:rFonts w:ascii="Arial" w:cs="Arial" w:eastAsia="Arial" w:hAnsi="Arial"/>
          <w:sz w:val="15"/>
          <w:szCs w:val="15"/>
          <w:color w:val="auto"/>
        </w:rPr>
        <w:t xml:space="preserve">: Each Stockholder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will deliver, substantially simultaneously with the Effective Time:</w:t>
      </w:r>
    </w:p>
    <w:p>
      <w:pPr>
        <w:spacing w:after="0" w:line="209" w:lineRule="exact"/>
        <w:rPr>
          <w:rFonts w:ascii="Arial" w:cs="Arial" w:eastAsia="Arial" w:hAnsi="Arial"/>
          <w:sz w:val="15"/>
          <w:szCs w:val="15"/>
          <w:color w:val="auto"/>
        </w:rPr>
      </w:pPr>
    </w:p>
    <w:p>
      <w:pPr>
        <w:ind w:left="851" w:hanging="277"/>
        <w:spacing w:after="0"/>
        <w:tabs>
          <w:tab w:leader="none" w:pos="851"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duly-executed copy of the Lock-Up Agreement substantially in the form attached as Exhibit D to the Merger Agreement; and</w:t>
      </w:r>
    </w:p>
    <w:p>
      <w:pPr>
        <w:spacing w:after="0" w:line="198" w:lineRule="exact"/>
        <w:rPr>
          <w:rFonts w:ascii="Arial" w:cs="Arial" w:eastAsia="Arial" w:hAnsi="Arial"/>
          <w:sz w:val="16"/>
          <w:szCs w:val="16"/>
          <w:color w:val="auto"/>
        </w:rPr>
      </w:pPr>
    </w:p>
    <w:p>
      <w:pPr>
        <w:ind w:left="851" w:right="20" w:hanging="277"/>
        <w:spacing w:after="0" w:line="275" w:lineRule="auto"/>
        <w:tabs>
          <w:tab w:leader="none" w:pos="851"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duly-executed copy of the Amended and Restated Registration Rights Agreement substantially in the form attached as Exhibit G to the Merger Agreement.</w:t>
      </w:r>
    </w:p>
    <w:p>
      <w:pPr>
        <w:spacing w:after="0" w:line="151" w:lineRule="exact"/>
        <w:rPr>
          <w:rFonts w:ascii="Arial" w:cs="Arial" w:eastAsia="Arial" w:hAnsi="Arial"/>
          <w:sz w:val="16"/>
          <w:szCs w:val="16"/>
          <w:color w:val="auto"/>
        </w:rPr>
      </w:pPr>
    </w:p>
    <w:p>
      <w:pPr>
        <w:jc w:val="both"/>
        <w:ind w:left="291" w:hanging="291"/>
        <w:spacing w:after="0" w:line="295" w:lineRule="auto"/>
        <w:tabs>
          <w:tab w:leader="none" w:pos="291"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Each Stockholder hereby irrevocably and unconditionally (i)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the conversion of all outstanding shares of Company Preferred Stock into shares of Company Common Stock, with such conversion to be in accordance with the terms of the Company Charter and effective as of immediately prior to the Effective Time of the Merger, and (iii) waives, on behalf of themselves and each other holder of Company Capital Stock (including Company Preferred Stock), its right to certain payments upon liquidation of the Company pursuant to Article IV, Section 2 of the Company Charter.</w:t>
      </w:r>
    </w:p>
    <w:p>
      <w:pPr>
        <w:spacing w:after="0" w:line="144" w:lineRule="exact"/>
        <w:rPr>
          <w:rFonts w:ascii="Arial" w:cs="Arial" w:eastAsia="Arial" w:hAnsi="Arial"/>
          <w:sz w:val="14"/>
          <w:szCs w:val="14"/>
          <w:color w:val="auto"/>
        </w:rPr>
      </w:pPr>
    </w:p>
    <w:p>
      <w:pPr>
        <w:jc w:val="both"/>
        <w:ind w:left="291" w:hanging="291"/>
        <w:spacing w:after="0" w:line="292" w:lineRule="auto"/>
        <w:tabs>
          <w:tab w:leader="none" w:pos="291"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Termination of Company Financing Agreements, Related Agreements</w:t>
      </w:r>
      <w:r>
        <w:rPr>
          <w:rFonts w:ascii="Arial" w:cs="Arial" w:eastAsia="Arial" w:hAnsi="Arial"/>
          <w:sz w:val="14"/>
          <w:szCs w:val="14"/>
          <w:color w:val="auto"/>
        </w:rPr>
        <w:t xml:space="preserve">. Each Stockholder, by this Agreement with respect to its Stockholder Shares, severally and not jointly, hereby agrees to terminate, subject to the Closing and effective as of the Effective Time, (a) all Affiliate agreements to which such Stockholder is party that are set forth on Section 3.24 of the Company Disclosure Schedule, including those certain agreements set forth on Exhibit B attached hereto, if applicable to such Stockholder (the “ </w:t>
      </w:r>
      <w:r>
        <w:rPr>
          <w:rFonts w:ascii="Arial" w:cs="Arial" w:eastAsia="Arial" w:hAnsi="Arial"/>
          <w:sz w:val="14"/>
          <w:szCs w:val="14"/>
          <w:u w:val="single" w:color="auto"/>
          <w:color w:val="auto"/>
        </w:rPr>
        <w:t>Company Financing Agreements</w:t>
      </w:r>
      <w:r>
        <w:rPr>
          <w:rFonts w:ascii="Arial" w:cs="Arial" w:eastAsia="Arial" w:hAnsi="Arial"/>
          <w:sz w:val="14"/>
          <w:szCs w:val="14"/>
          <w:color w:val="auto"/>
        </w:rPr>
        <w:t xml:space="preserve"> ”); (b) any management rights or side letters between the Company and such Stockholder; and (c) any rights under any letter or agreement providing for redemption rights, put rights, purchase rights or other similar rights not generally available to stockholders of the Company (clauses (a) through (c), collectively, the “ </w:t>
      </w:r>
      <w:r>
        <w:rPr>
          <w:rFonts w:ascii="Arial" w:cs="Arial" w:eastAsia="Arial" w:hAnsi="Arial"/>
          <w:sz w:val="14"/>
          <w:szCs w:val="14"/>
          <w:u w:val="single" w:color="auto"/>
          <w:color w:val="auto"/>
        </w:rPr>
        <w:t>Terminating Rights</w:t>
      </w:r>
      <w:r>
        <w:rPr>
          <w:rFonts w:ascii="Arial" w:cs="Arial" w:eastAsia="Arial" w:hAnsi="Arial"/>
          <w:sz w:val="14"/>
          <w:szCs w:val="14"/>
          <w:color w:val="auto"/>
        </w:rPr>
        <w:t xml:space="preserve"> ”) between such Stockholder and the Company, but excluding, (i) for the avoidance of doubt, any rights such Stockholder may have that relate to any commercial or employment agreements or arrangements between such Stockholder and the Company or any Subsidiary thereof, which shall survive the Closing in accordance with their terms, and (ii) any indemnification, advancement of expenses and exculpation rights of any Stockholder or any of its Affiliates set forth in the foregoing documents, which shall survive the Closing in accordance with their terms; provided that all Terminating Rights between the Company and any other holder of Company Capital Stock shall also terminate at such time.</w:t>
      </w:r>
    </w:p>
    <w:p>
      <w:pPr>
        <w:spacing w:after="0" w:line="144" w:lineRule="exact"/>
        <w:rPr>
          <w:rFonts w:ascii="Arial" w:cs="Arial" w:eastAsia="Arial" w:hAnsi="Arial"/>
          <w:sz w:val="14"/>
          <w:szCs w:val="14"/>
          <w:color w:val="auto"/>
        </w:rPr>
      </w:pPr>
    </w:p>
    <w:p>
      <w:pPr>
        <w:ind w:left="291" w:hanging="291"/>
        <w:spacing w:after="0" w:line="275" w:lineRule="auto"/>
        <w:tabs>
          <w:tab w:leader="none" w:pos="291"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Stop Transfers; Certificates</w:t>
      </w:r>
      <w:r>
        <w:rPr>
          <w:rFonts w:ascii="Arial" w:cs="Arial" w:eastAsia="Arial" w:hAnsi="Arial"/>
          <w:sz w:val="16"/>
          <w:szCs w:val="16"/>
          <w:color w:val="auto"/>
        </w:rPr>
        <w:t>. The Stockholder agrees it shall not request that the Company register the transfer (book entry or otherwise) of any of the Stockholder Shares if such transfer is not permitted by this Support Agreement.</w:t>
      </w:r>
    </w:p>
    <w:p>
      <w:pPr>
        <w:spacing w:after="0" w:line="248"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5" w:name="page86"/>
    <w:bookmarkEnd w:id="85"/>
    <w:p>
      <w:pPr>
        <w:jc w:val="both"/>
        <w:ind w:left="291" w:hanging="291"/>
        <w:spacing w:after="0" w:line="258" w:lineRule="auto"/>
        <w:tabs>
          <w:tab w:leader="none" w:pos="291"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Damages; Remedies</w:t>
      </w:r>
      <w:r>
        <w:rPr>
          <w:rFonts w:ascii="Arial" w:cs="Arial" w:eastAsia="Arial" w:hAnsi="Arial"/>
          <w:sz w:val="16"/>
          <w:szCs w:val="16"/>
          <w:color w:val="auto"/>
        </w:rPr>
        <w:t>. The Stockholder hereby agrees and acknowledges that (i) Parent and Company shall each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164" w:lineRule="exact"/>
        <w:rPr>
          <w:rFonts w:ascii="Arial" w:cs="Arial" w:eastAsia="Arial" w:hAnsi="Arial"/>
          <w:sz w:val="16"/>
          <w:szCs w:val="16"/>
          <w:color w:val="auto"/>
        </w:rPr>
      </w:pPr>
    </w:p>
    <w:p>
      <w:pPr>
        <w:jc w:val="both"/>
        <w:ind w:left="291" w:hanging="291"/>
        <w:spacing w:after="0" w:line="280" w:lineRule="auto"/>
        <w:tabs>
          <w:tab w:leader="none" w:pos="291"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Transfer Restrictions</w:t>
      </w:r>
      <w:r>
        <w:rPr>
          <w:rFonts w:ascii="Arial" w:cs="Arial" w:eastAsia="Arial" w:hAnsi="Arial"/>
          <w:sz w:val="15"/>
          <w:szCs w:val="15"/>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 if such Affiliate executed a joinder to this Support Agreement in connection with such transfer.</w:t>
      </w:r>
    </w:p>
    <w:p>
      <w:pPr>
        <w:spacing w:after="0" w:line="151" w:lineRule="exact"/>
        <w:rPr>
          <w:rFonts w:ascii="Arial" w:cs="Arial" w:eastAsia="Arial" w:hAnsi="Arial"/>
          <w:sz w:val="15"/>
          <w:szCs w:val="15"/>
          <w:color w:val="auto"/>
        </w:rPr>
      </w:pPr>
    </w:p>
    <w:p>
      <w:pPr>
        <w:jc w:val="both"/>
        <w:ind w:left="291" w:hanging="291"/>
        <w:spacing w:after="0" w:line="272" w:lineRule="auto"/>
        <w:tabs>
          <w:tab w:leader="none" w:pos="291" w:val="left"/>
        </w:tabs>
        <w:numPr>
          <w:ilvl w:val="0"/>
          <w:numId w:val="86"/>
        </w:numPr>
        <w:rPr>
          <w:rFonts w:ascii="Arial" w:cs="Arial" w:eastAsia="Arial" w:hAnsi="Arial"/>
          <w:sz w:val="15"/>
          <w:szCs w:val="15"/>
          <w:color w:val="auto"/>
        </w:rPr>
      </w:pPr>
      <w:r>
        <w:rPr>
          <w:rFonts w:ascii="Arial" w:cs="Arial" w:eastAsia="Arial" w:hAnsi="Arial"/>
          <w:sz w:val="15"/>
          <w:szCs w:val="15"/>
          <w:color w:val="auto"/>
        </w:rPr>
        <w:t>During the period commencing on the date hereof and ending on the earlier to occur of (i) the Effective Time, and (ii) such date and time as the Merger Agreement shall be terminated in accordance with Section 9.1 thereof, in the event that, (a) any shares of Company Capital Stock or other equity securities of Company are issued to the Stockholder after the date of this Support Agreement pursuant to any stock dividend, stock split, recapitalization, reclassification, combination or exchange of Company securities owned by the Stockholder, (b) the Stockholder purchases or otherwise acquires beneficial ownership of any shares of Company Capital Stock or other equity securities of Company after the date of this Support Agreement, or (c) the Stockholder acquires the right to vote or share in the voting of any Company Capital Stock or other equity securities of Company after the date of this Support Agreement (such Company Capital Stock or other equity securities of Parent, collectively the “</w:t>
      </w:r>
      <w:r>
        <w:rPr>
          <w:rFonts w:ascii="Arial" w:cs="Arial" w:eastAsia="Arial" w:hAnsi="Arial"/>
          <w:sz w:val="15"/>
          <w:szCs w:val="15"/>
          <w:u w:val="single" w:color="auto"/>
          <w:color w:val="auto"/>
        </w:rPr>
        <w:t>New Securities</w:t>
      </w:r>
      <w:r>
        <w:rPr>
          <w:rFonts w:ascii="Arial" w:cs="Arial" w:eastAsia="Arial" w:hAnsi="Arial"/>
          <w:sz w:val="15"/>
          <w:szCs w:val="15"/>
          <w:color w:val="auto"/>
        </w:rPr>
        <w:t>”), then such New Securities acquired or purchased by the Stockholder shall be subject to the terms of this Support Agreement to the same extent as if they constituted the Stockholder Shares as of the date hereof.</w:t>
      </w:r>
    </w:p>
    <w:p>
      <w:pPr>
        <w:spacing w:after="0" w:line="156" w:lineRule="exact"/>
        <w:rPr>
          <w:rFonts w:ascii="Arial" w:cs="Arial" w:eastAsia="Arial" w:hAnsi="Arial"/>
          <w:sz w:val="15"/>
          <w:szCs w:val="15"/>
          <w:color w:val="auto"/>
        </w:rPr>
      </w:pPr>
    </w:p>
    <w:p>
      <w:pPr>
        <w:jc w:val="both"/>
        <w:ind w:left="291" w:hanging="291"/>
        <w:spacing w:after="0" w:line="297" w:lineRule="auto"/>
        <w:tabs>
          <w:tab w:leader="none" w:pos="291"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Consent to Disclosure</w:t>
      </w:r>
      <w:r>
        <w:rPr>
          <w:rFonts w:ascii="Arial" w:cs="Arial" w:eastAsia="Arial" w:hAnsi="Arial"/>
          <w:sz w:val="14"/>
          <w:szCs w:val="14"/>
          <w:color w:val="auto"/>
        </w:rPr>
        <w:t>. Each Stockholder hereby consents to the publication and disclosure in the Form S-4 and the Proxy Statement (and, as and to the extent otherwise required by applicable securities Laws or the SEC or any other securities authorities, any other documents or communications provided by the Parent or the Company to any Governmental Authority or to securityholders of the Parent) of such Stockholder’s identity and beneficial ownership of Stockholder Shares and the nature of such Stockholder’s commitments, arrangements and understandings under and relating to this Agreement and, if deemed appropriate by the Parent or the Company, a copy of this Agreement. Each Stockholder will promptly provide any information reasonably requested by the Parent or the Company for any regulatory application or filing made or approval sought in connection with the Transactions (including filings with the SEC).</w:t>
      </w:r>
    </w:p>
    <w:p>
      <w:pPr>
        <w:spacing w:after="0" w:line="239"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6" w:name="page87"/>
    <w:bookmarkEnd w:id="86"/>
    <w:p>
      <w:pPr>
        <w:jc w:val="both"/>
        <w:ind w:left="291" w:hanging="291"/>
        <w:spacing w:after="0" w:line="255"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69" w:lineRule="exact"/>
        <w:rPr>
          <w:rFonts w:ascii="Arial" w:cs="Arial" w:eastAsia="Arial" w:hAnsi="Arial"/>
          <w:sz w:val="16"/>
          <w:szCs w:val="16"/>
          <w:color w:val="auto"/>
        </w:rPr>
      </w:pPr>
    </w:p>
    <w:p>
      <w:pPr>
        <w:jc w:val="both"/>
        <w:ind w:left="291" w:right="20" w:hanging="291"/>
        <w:spacing w:after="0" w:line="258"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164"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29" w:lineRule="exact"/>
        <w:rPr>
          <w:rFonts w:ascii="Arial" w:cs="Arial" w:eastAsia="Arial" w:hAnsi="Arial"/>
          <w:sz w:val="15"/>
          <w:szCs w:val="15"/>
          <w:color w:val="auto"/>
        </w:rPr>
      </w:pPr>
    </w:p>
    <w:p>
      <w:pPr>
        <w:jc w:val="both"/>
        <w:ind w:left="291" w:hanging="291"/>
        <w:spacing w:after="0" w:line="258"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jc w:val="both"/>
        <w:ind w:left="291" w:hanging="291"/>
        <w:spacing w:after="0" w:line="269" w:lineRule="auto"/>
        <w:tabs>
          <w:tab w:leader="none" w:pos="291"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 Jury Trial Waiver</w:t>
      </w:r>
      <w:r>
        <w:rPr>
          <w:rFonts w:ascii="Arial" w:cs="Arial" w:eastAsia="Arial" w:hAnsi="Arial"/>
          <w:sz w:val="15"/>
          <w:szCs w:val="15"/>
          <w:color w:val="auto"/>
        </w:rPr>
        <w:t>. This Support Agreement, and all claims or causes of action based upon, arising out of, or related to this Support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15.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255"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7" w:name="page88"/>
    <w:bookmarkEnd w:id="87"/>
    <w:p>
      <w:pPr>
        <w:jc w:val="both"/>
        <w:ind w:left="291" w:right="20" w:hanging="291"/>
        <w:spacing w:after="0" w:line="287" w:lineRule="auto"/>
        <w:tabs>
          <w:tab w:leader="none" w:pos="29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146" w:lineRule="exact"/>
        <w:rPr>
          <w:rFonts w:ascii="Arial" w:cs="Arial" w:eastAsia="Arial" w:hAnsi="Arial"/>
          <w:sz w:val="15"/>
          <w:szCs w:val="15"/>
          <w:color w:val="auto"/>
        </w:rPr>
      </w:pPr>
    </w:p>
    <w:p>
      <w:pPr>
        <w:jc w:val="both"/>
        <w:ind w:left="291" w:hanging="291"/>
        <w:spacing w:after="0" w:line="280" w:lineRule="auto"/>
        <w:tabs>
          <w:tab w:leader="none" w:pos="29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Support Agreement and the obligations of each Stockholder under this Agreement shall automatically terminate upon the earliest of: (i) the Effective Time; (ii) the termination of the Merger Agreement in accordance with Section 9.1 thereof; and (iii) the mutual agreement of the Company and each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51" w:lineRule="exact"/>
        <w:rPr>
          <w:rFonts w:ascii="Arial" w:cs="Arial" w:eastAsia="Arial" w:hAnsi="Arial"/>
          <w:sz w:val="15"/>
          <w:szCs w:val="15"/>
          <w:color w:val="auto"/>
        </w:rPr>
      </w:pPr>
    </w:p>
    <w:p>
      <w:pPr>
        <w:ind w:left="291" w:hanging="291"/>
        <w:spacing w:after="0"/>
        <w:tabs>
          <w:tab w:leader="none" w:pos="29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Stockholder Representations</w:t>
      </w:r>
      <w:r>
        <w:rPr>
          <w:rFonts w:ascii="Arial" w:cs="Arial" w:eastAsia="Arial" w:hAnsi="Arial"/>
          <w:sz w:val="15"/>
          <w:szCs w:val="15"/>
          <w:color w:val="auto"/>
        </w:rPr>
        <w:t>: The Stockholder represents and warrants to Parent and Company, as of the date hereof and as of the Closing Date, that:</w:t>
      </w:r>
    </w:p>
    <w:p>
      <w:pPr>
        <w:spacing w:after="0" w:line="209" w:lineRule="exact"/>
        <w:rPr>
          <w:rFonts w:ascii="Arial" w:cs="Arial" w:eastAsia="Arial" w:hAnsi="Arial"/>
          <w:sz w:val="15"/>
          <w:szCs w:val="15"/>
          <w:color w:val="auto"/>
        </w:rPr>
      </w:pPr>
    </w:p>
    <w:p>
      <w:pPr>
        <w:ind w:left="851" w:hanging="277"/>
        <w:spacing w:after="0" w:line="275" w:lineRule="auto"/>
        <w:tabs>
          <w:tab w:leader="none" w:pos="851" w:val="left"/>
        </w:tabs>
        <w:numPr>
          <w:ilvl w:val="1"/>
          <w:numId w:val="88"/>
        </w:numPr>
        <w:rPr>
          <w:rFonts w:ascii="Arial" w:cs="Arial" w:eastAsia="Arial" w:hAnsi="Arial"/>
          <w:sz w:val="16"/>
          <w:szCs w:val="16"/>
          <w:color w:val="auto"/>
        </w:rPr>
      </w:pPr>
      <w:r>
        <w:rPr>
          <w:rFonts w:ascii="Arial" w:cs="Arial" w:eastAsia="Arial" w:hAnsi="Arial"/>
          <w:sz w:val="16"/>
          <w:szCs w:val="16"/>
          <w:color w:val="auto"/>
        </w:rPr>
        <w:t>it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851" w:right="20" w:hanging="277"/>
        <w:spacing w:after="0" w:line="275" w:lineRule="auto"/>
        <w:tabs>
          <w:tab w:leader="none" w:pos="851" w:val="left"/>
        </w:tabs>
        <w:numPr>
          <w:ilvl w:val="1"/>
          <w:numId w:val="88"/>
        </w:numPr>
        <w:rPr>
          <w:rFonts w:ascii="Arial" w:cs="Arial" w:eastAsia="Arial" w:hAnsi="Arial"/>
          <w:sz w:val="16"/>
          <w:szCs w:val="16"/>
          <w:color w:val="auto"/>
        </w:rPr>
      </w:pPr>
      <w:r>
        <w:rPr>
          <w:rFonts w:ascii="Arial" w:cs="Arial" w:eastAsia="Arial" w:hAnsi="Arial"/>
          <w:sz w:val="16"/>
          <w:szCs w:val="16"/>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851" w:hanging="277"/>
        <w:spacing w:after="0" w:line="287" w:lineRule="auto"/>
        <w:tabs>
          <w:tab w:leader="none" w:pos="851" w:val="left"/>
        </w:tabs>
        <w:numPr>
          <w:ilvl w:val="1"/>
          <w:numId w:val="88"/>
        </w:numPr>
        <w:rPr>
          <w:rFonts w:ascii="Arial" w:cs="Arial" w:eastAsia="Arial" w:hAnsi="Arial"/>
          <w:sz w:val="15"/>
          <w:szCs w:val="15"/>
          <w:color w:val="auto"/>
        </w:rPr>
      </w:pPr>
      <w:r>
        <w:rPr>
          <w:rFonts w:ascii="Arial" w:cs="Arial" w:eastAsia="Arial" w:hAnsi="Arial"/>
          <w:sz w:val="15"/>
          <w:szCs w:val="15"/>
          <w:color w:val="auto"/>
        </w:rPr>
        <w:t>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242"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8" w:name="page89"/>
    <w:bookmarkEnd w:id="88"/>
    <w:p>
      <w:pPr>
        <w:jc w:val="both"/>
        <w:ind w:left="300" w:hanging="277"/>
        <w:spacing w:after="0" w:line="280" w:lineRule="auto"/>
        <w:tabs>
          <w:tab w:leader="none" w:pos="3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51" w:lineRule="exact"/>
        <w:rPr>
          <w:rFonts w:ascii="Arial" w:cs="Arial" w:eastAsia="Arial" w:hAnsi="Arial"/>
          <w:sz w:val="15"/>
          <w:szCs w:val="15"/>
          <w:color w:val="auto"/>
        </w:rPr>
      </w:pPr>
    </w:p>
    <w:p>
      <w:pPr>
        <w:jc w:val="both"/>
        <w:ind w:left="300" w:hanging="277"/>
        <w:spacing w:after="0" w:line="306" w:lineRule="auto"/>
        <w:tabs>
          <w:tab w:leader="none" w:pos="3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the Stockholder does not, and the performance by the Stockholder of its obligations hereunder will not, (i) conflict with or result in a violation of the organizational documents of the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134" w:lineRule="exact"/>
        <w:rPr>
          <w:rFonts w:ascii="Arial" w:cs="Arial" w:eastAsia="Arial" w:hAnsi="Arial"/>
          <w:sz w:val="14"/>
          <w:szCs w:val="14"/>
          <w:color w:val="auto"/>
        </w:rPr>
      </w:pPr>
    </w:p>
    <w:p>
      <w:pPr>
        <w:jc w:val="both"/>
        <w:ind w:left="300" w:right="20" w:hanging="277"/>
        <w:spacing w:after="0" w:line="287" w:lineRule="auto"/>
        <w:tabs>
          <w:tab w:leader="none" w:pos="3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146" w:lineRule="exact"/>
        <w:rPr>
          <w:rFonts w:ascii="Arial" w:cs="Arial" w:eastAsia="Arial" w:hAnsi="Arial"/>
          <w:sz w:val="15"/>
          <w:szCs w:val="15"/>
          <w:color w:val="auto"/>
        </w:rPr>
      </w:pPr>
    </w:p>
    <w:p>
      <w:pPr>
        <w:ind w:left="300" w:right="20" w:hanging="277"/>
        <w:spacing w:after="0" w:line="27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has had the opportunity to read the Merger Agreement and this Support Agreement and has had the opportunity to consult with tax and legal advisors of its own choosing;</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has not entered into, and shall not enter into, any agreement that would prevent the Stockholder from performing any of its obligations hereunder;</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has good title to the Stockholder Shares, free and clear of any Liens, and the Stockholder has the sole power to vote or cause to be voted such Stockholder Shares; and</w:t>
      </w:r>
    </w:p>
    <w:p>
      <w:pPr>
        <w:spacing w:after="0" w:line="151" w:lineRule="exact"/>
        <w:rPr>
          <w:rFonts w:ascii="Arial" w:cs="Arial" w:eastAsia="Arial" w:hAnsi="Arial"/>
          <w:sz w:val="16"/>
          <w:szCs w:val="16"/>
          <w:color w:val="auto"/>
        </w:rPr>
      </w:pPr>
    </w:p>
    <w:p>
      <w:pPr>
        <w:jc w:val="both"/>
        <w:ind w:left="300" w:right="20" w:hanging="277"/>
        <w:spacing w:after="0" w:line="258"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Shares identified on Exhibit A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89" w:name="page90"/>
    <w:bookmarkEnd w:id="89"/>
    <w:p>
      <w:pPr>
        <w:jc w:val="both"/>
        <w:ind w:left="291" w:hanging="291"/>
        <w:spacing w:after="0" w:line="258" w:lineRule="auto"/>
        <w:tabs>
          <w:tab w:leader="none" w:pos="29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Company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Company, and the Stockholder Shares as so changed.</w:t>
      </w:r>
    </w:p>
    <w:p>
      <w:pPr>
        <w:spacing w:after="0" w:line="164" w:lineRule="exact"/>
        <w:rPr>
          <w:rFonts w:ascii="Arial" w:cs="Arial" w:eastAsia="Arial" w:hAnsi="Arial"/>
          <w:sz w:val="16"/>
          <w:szCs w:val="16"/>
          <w:color w:val="auto"/>
        </w:rPr>
      </w:pPr>
    </w:p>
    <w:p>
      <w:pPr>
        <w:ind w:left="291" w:hanging="291"/>
        <w:spacing w:after="0" w:line="309" w:lineRule="auto"/>
        <w:tabs>
          <w:tab w:leader="none" w:pos="291"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321" w:lineRule="exact"/>
        <w:rPr>
          <w:sz w:val="20"/>
          <w:szCs w:val="20"/>
          <w:color w:val="auto"/>
        </w:rPr>
      </w:pPr>
    </w:p>
    <w:p>
      <w:pPr>
        <w:ind w:left="3671"/>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294"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724" w:right="339" w:bottom="1440" w:gutter="0" w:footer="0" w:header="0"/>
        </w:sectPr>
      </w:pPr>
    </w:p>
    <w:bookmarkStart w:id="90" w:name="page91"/>
    <w:bookmarkEnd w:id="90"/>
    <w:p>
      <w:pPr>
        <w:ind w:firstLine="574"/>
        <w:spacing w:after="0" w:line="275" w:lineRule="auto"/>
        <w:rPr>
          <w:sz w:val="20"/>
          <w:szCs w:val="20"/>
          <w:color w:val="auto"/>
        </w:rPr>
      </w:pPr>
      <w:r>
        <w:rPr>
          <w:rFonts w:ascii="Arial" w:cs="Arial" w:eastAsia="Arial" w:hAnsi="Arial"/>
          <w:sz w:val="16"/>
          <w:szCs w:val="16"/>
          <w:color w:val="auto"/>
        </w:rPr>
        <w:t>If the above correctly reflects our understanding and agreement with respect to the foregoing matters, please so confirm by signing in the space below and returning this letter agreement to us.</w:t>
      </w:r>
    </w:p>
    <w:p>
      <w:pPr>
        <w:spacing w:after="0" w:line="15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255270</wp:posOffset>
            </wp:positionV>
            <wp:extent cx="285305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12700</wp:posOffset>
            </wp:positionV>
            <wp:extent cx="242824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513080</wp:posOffset>
            </wp:positionV>
            <wp:extent cx="285305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254635</wp:posOffset>
            </wp:positionV>
            <wp:extent cx="285305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4445</wp:posOffset>
            </wp:positionV>
            <wp:extent cx="178308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TANGO THERAPEUTICS, INC.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BCTG ACQUISITION CORP.</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5080</wp:posOffset>
            </wp:positionV>
            <wp:extent cx="257238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Company Support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6"/>
          <w:szCs w:val="16"/>
          <w:b w:val="1"/>
          <w:bCs w:val="1"/>
          <w:color w:val="auto"/>
        </w:rPr>
        <w:t>EXHIBIT 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[Omitted]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sectPr>
      </w:pPr>
    </w:p>
    <w:bookmarkStart w:id="92" w:name="page93"/>
    <w:bookmarkEnd w:id="92"/>
    <w:p>
      <w:pPr>
        <w:jc w:val="center"/>
        <w:ind w:right="280"/>
        <w:spacing w:after="0"/>
        <w:rPr>
          <w:sz w:val="20"/>
          <w:szCs w:val="20"/>
          <w:color w:val="auto"/>
        </w:rPr>
      </w:pPr>
      <w:r>
        <w:rPr>
          <w:rFonts w:ascii="Arial" w:cs="Arial" w:eastAsia="Arial" w:hAnsi="Arial"/>
          <w:sz w:val="16"/>
          <w:szCs w:val="16"/>
          <w:b w:val="1"/>
          <w:bCs w:val="1"/>
          <w:color w:val="auto"/>
        </w:rPr>
        <w:t>EXHIBIT B</w:t>
      </w:r>
    </w:p>
    <w:p>
      <w:pPr>
        <w:spacing w:after="0" w:line="198"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Company Financing Agreements</w:t>
      </w:r>
    </w:p>
    <w:p>
      <w:pPr>
        <w:spacing w:after="0" w:line="202" w:lineRule="exact"/>
        <w:rPr>
          <w:sz w:val="20"/>
          <w:szCs w:val="20"/>
          <w:color w:val="auto"/>
        </w:rPr>
      </w:pPr>
    </w:p>
    <w:p>
      <w:pPr>
        <w:ind w:left="280" w:hanging="278"/>
        <w:spacing w:after="0" w:line="275" w:lineRule="auto"/>
        <w:tabs>
          <w:tab w:leader="none" w:pos="2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Second Amended and Restated Investors’ Rights Agreement, dated as of August 17, 2020, by and between the Company and the investors listed on Schedule A thereto.</w:t>
      </w:r>
    </w:p>
    <w:p>
      <w:pPr>
        <w:spacing w:after="0" w:line="151" w:lineRule="exact"/>
        <w:rPr>
          <w:rFonts w:ascii="Arial" w:cs="Arial" w:eastAsia="Arial" w:hAnsi="Arial"/>
          <w:sz w:val="16"/>
          <w:szCs w:val="16"/>
          <w:color w:val="auto"/>
        </w:rPr>
      </w:pPr>
    </w:p>
    <w:p>
      <w:pPr>
        <w:ind w:left="280" w:hanging="278"/>
        <w:spacing w:after="0" w:line="275" w:lineRule="auto"/>
        <w:tabs>
          <w:tab w:leader="none" w:pos="2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Second Amended and Restated Stockholders Agreement, dated as of August 17, 2020, by and between the Company and the individuals and entities listed on Schedule A and Schedule B thereto.</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12700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60"/>
          </w:cols>
          <w:pgMar w:left="600" w:top="72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B</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[__],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100 Binney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[___]</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 Support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This letter (this “</w:t>
      </w:r>
      <w:r>
        <w:rPr>
          <w:rFonts w:ascii="Arial" w:cs="Arial" w:eastAsia="Arial" w:hAnsi="Arial"/>
          <w:sz w:val="15"/>
          <w:szCs w:val="15"/>
          <w:u w:val="single" w:color="auto"/>
          <w:color w:val="auto"/>
        </w:rPr>
        <w:t>Support Agreement</w:t>
      </w:r>
      <w:r>
        <w:rPr>
          <w:rFonts w:ascii="Arial" w:cs="Arial" w:eastAsia="Arial" w:hAnsi="Arial"/>
          <w:sz w:val="15"/>
          <w:szCs w:val="15"/>
          <w:color w:val="auto"/>
        </w:rPr>
        <w:t>”) is being delivered by BCTG Holdings, LLC, a Delaware limited liability company (the “</w:t>
      </w:r>
      <w:r>
        <w:rPr>
          <w:rFonts w:ascii="Arial" w:cs="Arial" w:eastAsia="Arial" w:hAnsi="Arial"/>
          <w:sz w:val="15"/>
          <w:szCs w:val="15"/>
          <w:u w:val="single" w:color="auto"/>
          <w:color w:val="auto"/>
        </w:rPr>
        <w:t>Stockholder</w:t>
      </w:r>
      <w:r>
        <w:rPr>
          <w:rFonts w:ascii="Arial" w:cs="Arial" w:eastAsia="Arial" w:hAnsi="Arial"/>
          <w:sz w:val="15"/>
          <w:szCs w:val="15"/>
          <w:color w:val="auto"/>
        </w:rPr>
        <w:t>”), to Tango Therapeutics,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in accordance with that Merger Agreement dated as of the date hereof, by and among the Company, BCTG Acquisition Corp., a Delaware corporation (the “</w:t>
      </w:r>
      <w:r>
        <w:rPr>
          <w:rFonts w:ascii="Arial" w:cs="Arial" w:eastAsia="Arial" w:hAnsi="Arial"/>
          <w:sz w:val="15"/>
          <w:szCs w:val="15"/>
          <w:u w:val="single" w:color="auto"/>
          <w:color w:val="auto"/>
        </w:rPr>
        <w:t>Parent</w:t>
      </w:r>
      <w:r>
        <w:rPr>
          <w:rFonts w:ascii="Arial" w:cs="Arial" w:eastAsia="Arial" w:hAnsi="Arial"/>
          <w:sz w:val="15"/>
          <w:szCs w:val="15"/>
          <w:color w:val="auto"/>
        </w:rPr>
        <w:t>”), and BCTG Merger Sub Inc., a Delaware corporation and wholly-owned subsidiary of the Parent (“</w:t>
      </w:r>
      <w:r>
        <w:rPr>
          <w:rFonts w:ascii="Arial" w:cs="Arial" w:eastAsia="Arial" w:hAnsi="Arial"/>
          <w:sz w:val="15"/>
          <w:szCs w:val="15"/>
          <w:u w:val="single" w:color="auto"/>
          <w:color w:val="auto"/>
        </w:rPr>
        <w:t>Merger Sub</w:t>
      </w:r>
      <w:r>
        <w:rPr>
          <w:rFonts w:ascii="Arial" w:cs="Arial" w:eastAsia="Arial" w:hAnsi="Arial"/>
          <w:sz w:val="15"/>
          <w:szCs w:val="15"/>
          <w:color w:val="auto"/>
        </w:rPr>
        <w:t>”) (the “</w:t>
      </w:r>
      <w:r>
        <w:rPr>
          <w:rFonts w:ascii="Arial" w:cs="Arial" w:eastAsia="Arial" w:hAnsi="Arial"/>
          <w:sz w:val="15"/>
          <w:szCs w:val="15"/>
          <w:u w:val="single" w:color="auto"/>
          <w:color w:val="auto"/>
        </w:rPr>
        <w:t>Merger</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Stockholder is currently, and as of immediately prior to the Closing will be, the record owner of 4,488,450 shares of Parent Class A Common Stock (the “</w:t>
      </w:r>
      <w:r>
        <w:rPr>
          <w:rFonts w:ascii="Arial" w:cs="Arial" w:eastAsia="Arial" w:hAnsi="Arial"/>
          <w:sz w:val="16"/>
          <w:szCs w:val="16"/>
          <w:u w:val="single" w:color="auto"/>
          <w:color w:val="auto"/>
        </w:rPr>
        <w:t>Stockholder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representing 21.00% of the voting power of the Parent’s security holders.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order to induce the Company to enter into the Merger Agreement and for other good and valuable consideration, the receipt and sufficiency of which are hereby acknowledged, the Stockholder hereby agrees with the Parent as follows:</w:t>
      </w:r>
    </w:p>
    <w:p>
      <w:pPr>
        <w:spacing w:after="0" w:line="152" w:lineRule="exact"/>
        <w:rPr>
          <w:sz w:val="20"/>
          <w:szCs w:val="20"/>
          <w:color w:val="auto"/>
        </w:rPr>
      </w:pPr>
    </w:p>
    <w:p>
      <w:pPr>
        <w:jc w:val="both"/>
        <w:ind w:left="860" w:hanging="291"/>
        <w:spacing w:after="0" w:line="258" w:lineRule="auto"/>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Voting Agreements</w:t>
      </w:r>
      <w:r>
        <w:rPr>
          <w:rFonts w:ascii="Arial" w:cs="Arial" w:eastAsia="Arial" w:hAnsi="Arial"/>
          <w:sz w:val="16"/>
          <w:szCs w:val="16"/>
          <w:color w:val="auto"/>
        </w:rPr>
        <w:t>. The Stockholder, in its capacity as a stockholder of the Parent, covenants and agrees that, at any meeting of the Parent’s stockholders related to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whether annual or special and whether or not an adjourned or postponed meeting, and however called, and in connection with any written consent of the Parent’s stockholders related to the Transactions (all such meetings or consents collectively referred to herein as the “</w:t>
      </w:r>
      <w:r>
        <w:rPr>
          <w:rFonts w:ascii="Arial" w:cs="Arial" w:eastAsia="Arial" w:hAnsi="Arial"/>
          <w:sz w:val="16"/>
          <w:szCs w:val="16"/>
          <w:u w:val="single" w:color="auto"/>
          <w:color w:val="auto"/>
        </w:rPr>
        <w:t>Meeting</w:t>
      </w:r>
      <w:r>
        <w:rPr>
          <w:rFonts w:ascii="Arial" w:cs="Arial" w:eastAsia="Arial" w:hAnsi="Arial"/>
          <w:sz w:val="16"/>
          <w:szCs w:val="16"/>
          <w:color w:val="auto"/>
        </w:rPr>
        <w:t>”), the Stockholder shall:</w:t>
      </w:r>
    </w:p>
    <w:p>
      <w:pPr>
        <w:spacing w:after="0" w:line="164"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when the Meeting is held, appear at the Meeting or otherwise cause the Stockholder Shares to be counted as present thereat for the purpose of establishing a quorum;</w:t>
      </w:r>
    </w:p>
    <w:p>
      <w:pPr>
        <w:spacing w:after="0" w:line="151" w:lineRule="exact"/>
        <w:rPr>
          <w:rFonts w:ascii="Arial" w:cs="Arial" w:eastAsia="Arial" w:hAnsi="Arial"/>
          <w:sz w:val="16"/>
          <w:szCs w:val="16"/>
          <w:color w:val="auto"/>
        </w:rPr>
      </w:pPr>
    </w:p>
    <w:p>
      <w:pPr>
        <w:jc w:val="both"/>
        <w:ind w:left="1420" w:hanging="277"/>
        <w:spacing w:after="0" w:line="262"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Parent for consummation of the Merger and the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94" w:name="page95"/>
    <w:bookmarkEnd w:id="94"/>
    <w:p>
      <w:pPr>
        <w:jc w:val="both"/>
        <w:ind w:left="851" w:right="20" w:hanging="277"/>
        <w:spacing w:after="0" w:line="255" w:lineRule="auto"/>
        <w:tabs>
          <w:tab w:leader="none" w:pos="851" w:val="left"/>
        </w:tabs>
        <w:numPr>
          <w:ilvl w:val="1"/>
          <w:numId w:val="93"/>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 with, delay, postpone or adversely affect the Merger or any of the Transactions, (y) result in a breach of any covenant, representation or warranty or other obligation or agreement of the Parent under the Merger Agreement, or (z) result in a breach of any covenant, representation or warranty or other obligation or agreement of the Stockholder contained in this Support Agreement.</w:t>
      </w:r>
    </w:p>
    <w:p>
      <w:pPr>
        <w:spacing w:after="0" w:line="169"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Stop Transfers; Certificates</w:t>
      </w:r>
      <w:r>
        <w:rPr>
          <w:rFonts w:ascii="Arial" w:cs="Arial" w:eastAsia="Arial" w:hAnsi="Arial"/>
          <w:sz w:val="15"/>
          <w:szCs w:val="15"/>
          <w:color w:val="auto"/>
        </w:rPr>
        <w:t>. The Stockholder agrees that except for transfers of Stockholder Shares pursuant to the Merger Agreement, it shall not request that the Parent register the transfer (book entry or otherwise) of any of the Stockholder Shares if such transfer is not permitted by this Support Agreement.</w:t>
      </w:r>
    </w:p>
    <w:p>
      <w:pPr>
        <w:spacing w:after="0" w:line="129" w:lineRule="exact"/>
        <w:rPr>
          <w:rFonts w:ascii="Arial" w:cs="Arial" w:eastAsia="Arial" w:hAnsi="Arial"/>
          <w:sz w:val="15"/>
          <w:szCs w:val="15"/>
          <w:color w:val="auto"/>
        </w:rPr>
      </w:pPr>
    </w:p>
    <w:p>
      <w:pPr>
        <w:jc w:val="both"/>
        <w:ind w:left="291" w:right="20" w:hanging="291"/>
        <w:spacing w:after="0" w:line="258" w:lineRule="auto"/>
        <w:tabs>
          <w:tab w:leader="none" w:pos="29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Damages; Remedies</w:t>
      </w:r>
      <w:r>
        <w:rPr>
          <w:rFonts w:ascii="Arial" w:cs="Arial" w:eastAsia="Arial" w:hAnsi="Arial"/>
          <w:sz w:val="16"/>
          <w:szCs w:val="16"/>
          <w:color w:val="auto"/>
        </w:rPr>
        <w:t>. The Stockholder hereby agrees and acknowledges that (i) Parent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164" w:lineRule="exact"/>
        <w:rPr>
          <w:rFonts w:ascii="Arial" w:cs="Arial" w:eastAsia="Arial" w:hAnsi="Arial"/>
          <w:sz w:val="16"/>
          <w:szCs w:val="16"/>
          <w:color w:val="auto"/>
        </w:rPr>
      </w:pPr>
    </w:p>
    <w:p>
      <w:pPr>
        <w:jc w:val="both"/>
        <w:ind w:left="291" w:hanging="291"/>
        <w:spacing w:after="0" w:line="258" w:lineRule="auto"/>
        <w:tabs>
          <w:tab w:leader="none" w:pos="29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w:t>
      </w:r>
    </w:p>
    <w:p>
      <w:pPr>
        <w:spacing w:after="0" w:line="164" w:lineRule="exact"/>
        <w:rPr>
          <w:rFonts w:ascii="Arial" w:cs="Arial" w:eastAsia="Arial" w:hAnsi="Arial"/>
          <w:sz w:val="16"/>
          <w:szCs w:val="16"/>
          <w:color w:val="auto"/>
        </w:rPr>
      </w:pPr>
    </w:p>
    <w:p>
      <w:pPr>
        <w:jc w:val="both"/>
        <w:ind w:left="291" w:hanging="291"/>
        <w:spacing w:after="0" w:line="252" w:lineRule="auto"/>
        <w:tabs>
          <w:tab w:leader="none" w:pos="291"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ending on the earlier to occur of (i) the Effective Time, and (ii) such date and time as the Merger Agreement shall be terminated in accordance with Section 9.1 thereof, in the event that, (a) any shares of Parent Class A Common Stock, Parent warrants or other equity securities of Parent are issued to the Stockholder after the date of this Support Agreement pursuant to any stock dividend, stock split, recapitalization, reclassification, combination or exchange of Parent securities owned by the Stockholder, (b) the Stockholder purchases or otherwise acquires beneficial ownership of any shares of Parent Class A Common Stock, Parent warrants or other equity securities of Parent after the date of this Support Agreement, or (c) the Stockholder acquires the right to vote or share in the voting of any Parent Class A Common Stock or other equity securities of Parent after the date of this Support Agreement (such Parent Class A Common Stock, Parent warrants or other equity securities of Parent, collectively the “</w:t>
      </w:r>
      <w:r>
        <w:rPr>
          <w:rFonts w:ascii="Arial" w:cs="Arial" w:eastAsia="Arial" w:hAnsi="Arial"/>
          <w:sz w:val="16"/>
          <w:szCs w:val="16"/>
          <w:u w:val="single" w:color="auto"/>
          <w:color w:val="auto"/>
        </w:rPr>
        <w:t>New Securities</w:t>
      </w:r>
      <w:r>
        <w:rPr>
          <w:rFonts w:ascii="Arial" w:cs="Arial" w:eastAsia="Arial" w:hAnsi="Arial"/>
          <w:sz w:val="16"/>
          <w:szCs w:val="16"/>
          <w:color w:val="auto"/>
        </w:rPr>
        <w:t>”), then such New Securities acquired or purchased by the Stockholder shall be subject to the terms of this Support Agreement to the same extent as if they constituted the Stockholder Shares as of the date hereof.</w:t>
      </w:r>
    </w:p>
    <w:p>
      <w:pPr>
        <w:spacing w:after="0" w:line="269"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5" w:name="page96"/>
    <w:bookmarkEnd w:id="95"/>
    <w:p>
      <w:pPr>
        <w:jc w:val="both"/>
        <w:ind w:left="291" w:right="20" w:hanging="291"/>
        <w:spacing w:after="0" w:line="255" w:lineRule="auto"/>
        <w:tabs>
          <w:tab w:leader="none" w:pos="29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69" w:lineRule="exact"/>
        <w:rPr>
          <w:rFonts w:ascii="Arial" w:cs="Arial" w:eastAsia="Arial" w:hAnsi="Arial"/>
          <w:sz w:val="16"/>
          <w:szCs w:val="16"/>
          <w:color w:val="auto"/>
        </w:rPr>
      </w:pPr>
    </w:p>
    <w:p>
      <w:pPr>
        <w:jc w:val="both"/>
        <w:ind w:left="291" w:right="20" w:hanging="291"/>
        <w:spacing w:after="0" w:line="258" w:lineRule="auto"/>
        <w:tabs>
          <w:tab w:leader="none" w:pos="29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164"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29" w:lineRule="exact"/>
        <w:rPr>
          <w:rFonts w:ascii="Arial" w:cs="Arial" w:eastAsia="Arial" w:hAnsi="Arial"/>
          <w:sz w:val="15"/>
          <w:szCs w:val="15"/>
          <w:color w:val="auto"/>
        </w:rPr>
      </w:pPr>
    </w:p>
    <w:p>
      <w:pPr>
        <w:jc w:val="both"/>
        <w:ind w:left="291" w:hanging="291"/>
        <w:spacing w:after="0" w:line="258" w:lineRule="auto"/>
        <w:tabs>
          <w:tab w:leader="none" w:pos="29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jc w:val="both"/>
        <w:ind w:left="291" w:hanging="291"/>
        <w:spacing w:after="0" w:line="269" w:lineRule="auto"/>
        <w:tabs>
          <w:tab w:leader="none" w:pos="291"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 Jury Trial Waiver</w:t>
      </w:r>
      <w:r>
        <w:rPr>
          <w:rFonts w:ascii="Arial" w:cs="Arial" w:eastAsia="Arial" w:hAnsi="Arial"/>
          <w:sz w:val="15"/>
          <w:szCs w:val="15"/>
          <w:color w:val="auto"/>
        </w:rPr>
        <w:t>. This Support Agreement, and all claims or causes of action based upon, arising out of, or related to this Support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10.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255"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6" w:name="page97"/>
    <w:bookmarkEnd w:id="96"/>
    <w:p>
      <w:pPr>
        <w:jc w:val="both"/>
        <w:ind w:left="291" w:right="20" w:hanging="291"/>
        <w:spacing w:after="0" w:line="287" w:lineRule="auto"/>
        <w:tabs>
          <w:tab w:leader="none" w:pos="291"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146" w:lineRule="exact"/>
        <w:rPr>
          <w:rFonts w:ascii="Arial" w:cs="Arial" w:eastAsia="Arial" w:hAnsi="Arial"/>
          <w:sz w:val="15"/>
          <w:szCs w:val="15"/>
          <w:color w:val="auto"/>
        </w:rPr>
      </w:pPr>
    </w:p>
    <w:p>
      <w:pPr>
        <w:jc w:val="both"/>
        <w:ind w:left="291" w:right="20" w:hanging="291"/>
        <w:spacing w:after="0" w:line="280" w:lineRule="auto"/>
        <w:tabs>
          <w:tab w:leader="none" w:pos="291"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Support Agreement and the obligations of Stockholder under this Agreement shall automatically terminate upon the earliest of: (i) the Effective Time; (ii) the termination of the Merger Agreement in accordance with Section 9.1 thereof; and (iii) the mutual agreement of the Company and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51" w:lineRule="exact"/>
        <w:rPr>
          <w:rFonts w:ascii="Arial" w:cs="Arial" w:eastAsia="Arial" w:hAnsi="Arial"/>
          <w:sz w:val="15"/>
          <w:szCs w:val="15"/>
          <w:color w:val="auto"/>
        </w:rPr>
      </w:pPr>
    </w:p>
    <w:p>
      <w:pPr>
        <w:ind w:left="291" w:hanging="291"/>
        <w:spacing w:after="0"/>
        <w:tabs>
          <w:tab w:leader="none" w:pos="29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Stockholder Representations</w:t>
      </w:r>
      <w:r>
        <w:rPr>
          <w:rFonts w:ascii="Arial" w:cs="Arial" w:eastAsia="Arial" w:hAnsi="Arial"/>
          <w:sz w:val="16"/>
          <w:szCs w:val="16"/>
          <w:color w:val="auto"/>
        </w:rPr>
        <w:t>: The Stockholder represents and warrants to Parent, as of the date hereof and as of the Closing Date, that:</w:t>
      </w:r>
    </w:p>
    <w:p>
      <w:pPr>
        <w:spacing w:after="0" w:line="198" w:lineRule="exact"/>
        <w:rPr>
          <w:rFonts w:ascii="Arial" w:cs="Arial" w:eastAsia="Arial" w:hAnsi="Arial"/>
          <w:sz w:val="16"/>
          <w:szCs w:val="16"/>
          <w:color w:val="auto"/>
        </w:rPr>
      </w:pPr>
    </w:p>
    <w:p>
      <w:pPr>
        <w:ind w:left="851" w:hanging="277"/>
        <w:spacing w:after="0" w:line="275" w:lineRule="auto"/>
        <w:tabs>
          <w:tab w:leader="none" w:pos="851" w:val="left"/>
        </w:tabs>
        <w:numPr>
          <w:ilvl w:val="1"/>
          <w:numId w:val="96"/>
        </w:numPr>
        <w:rPr>
          <w:rFonts w:ascii="Arial" w:cs="Arial" w:eastAsia="Arial" w:hAnsi="Arial"/>
          <w:sz w:val="16"/>
          <w:szCs w:val="16"/>
          <w:color w:val="auto"/>
        </w:rPr>
      </w:pPr>
      <w:r>
        <w:rPr>
          <w:rFonts w:ascii="Arial" w:cs="Arial" w:eastAsia="Arial" w:hAnsi="Arial"/>
          <w:sz w:val="16"/>
          <w:szCs w:val="16"/>
          <w:color w:val="auto"/>
        </w:rPr>
        <w:t>it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851" w:right="20" w:hanging="277"/>
        <w:spacing w:after="0" w:line="275" w:lineRule="auto"/>
        <w:tabs>
          <w:tab w:leader="none" w:pos="851" w:val="left"/>
        </w:tabs>
        <w:numPr>
          <w:ilvl w:val="1"/>
          <w:numId w:val="96"/>
        </w:numPr>
        <w:rPr>
          <w:rFonts w:ascii="Arial" w:cs="Arial" w:eastAsia="Arial" w:hAnsi="Arial"/>
          <w:sz w:val="16"/>
          <w:szCs w:val="16"/>
          <w:color w:val="auto"/>
        </w:rPr>
      </w:pPr>
      <w:r>
        <w:rPr>
          <w:rFonts w:ascii="Arial" w:cs="Arial" w:eastAsia="Arial" w:hAnsi="Arial"/>
          <w:sz w:val="16"/>
          <w:szCs w:val="16"/>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851" w:hanging="277"/>
        <w:spacing w:after="0" w:line="287" w:lineRule="auto"/>
        <w:tabs>
          <w:tab w:leader="none" w:pos="851" w:val="left"/>
        </w:tabs>
        <w:numPr>
          <w:ilvl w:val="1"/>
          <w:numId w:val="96"/>
        </w:numPr>
        <w:rPr>
          <w:rFonts w:ascii="Arial" w:cs="Arial" w:eastAsia="Arial" w:hAnsi="Arial"/>
          <w:sz w:val="15"/>
          <w:szCs w:val="15"/>
          <w:color w:val="auto"/>
        </w:rPr>
      </w:pPr>
      <w:r>
        <w:rPr>
          <w:rFonts w:ascii="Arial" w:cs="Arial" w:eastAsia="Arial" w:hAnsi="Arial"/>
          <w:sz w:val="15"/>
          <w:szCs w:val="15"/>
          <w:color w:val="auto"/>
        </w:rPr>
        <w:t>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242"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7" w:name="page98"/>
    <w:bookmarkEnd w:id="97"/>
    <w:p>
      <w:pPr>
        <w:jc w:val="both"/>
        <w:ind w:left="300" w:hanging="277"/>
        <w:spacing w:after="0" w:line="280" w:lineRule="auto"/>
        <w:tabs>
          <w:tab w:leader="none" w:pos="3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51" w:lineRule="exact"/>
        <w:rPr>
          <w:rFonts w:ascii="Arial" w:cs="Arial" w:eastAsia="Arial" w:hAnsi="Arial"/>
          <w:sz w:val="15"/>
          <w:szCs w:val="15"/>
          <w:color w:val="auto"/>
        </w:rPr>
      </w:pPr>
    </w:p>
    <w:p>
      <w:pPr>
        <w:jc w:val="both"/>
        <w:ind w:left="300" w:hanging="277"/>
        <w:spacing w:after="0" w:line="306" w:lineRule="auto"/>
        <w:tabs>
          <w:tab w:leader="none" w:pos="3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the Stockholder does not, and the performance by the Stockholder of its obligations hereunder will not, (i) conflict with or result in a violation of the organizational documents of the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134" w:lineRule="exact"/>
        <w:rPr>
          <w:rFonts w:ascii="Arial" w:cs="Arial" w:eastAsia="Arial" w:hAnsi="Arial"/>
          <w:sz w:val="14"/>
          <w:szCs w:val="14"/>
          <w:color w:val="auto"/>
        </w:rPr>
      </w:pPr>
    </w:p>
    <w:p>
      <w:pPr>
        <w:jc w:val="both"/>
        <w:ind w:left="300" w:right="20" w:hanging="277"/>
        <w:spacing w:after="0" w:line="287" w:lineRule="auto"/>
        <w:tabs>
          <w:tab w:leader="none" w:pos="3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146" w:lineRule="exact"/>
        <w:rPr>
          <w:rFonts w:ascii="Arial" w:cs="Arial" w:eastAsia="Arial" w:hAnsi="Arial"/>
          <w:sz w:val="15"/>
          <w:szCs w:val="15"/>
          <w:color w:val="auto"/>
        </w:rPr>
      </w:pPr>
    </w:p>
    <w:p>
      <w:pPr>
        <w:ind w:left="300" w:right="20" w:hanging="277"/>
        <w:spacing w:after="0" w:line="275"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has had the opportunity to read the Merger Agreement and this Support Agreement and has had the opportunity to consult with tax and legal advisors of its own choosing;</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has not entered into, and shall not enter into, any agreement that would prevent the Stockholder from performing any of its obligations hereunder;</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has good title to the Stockholder Shares, free and clear of any Liens, and the Stockholder has the sole power to vote or cause to be voted such Stockholder Shares; and</w:t>
      </w:r>
    </w:p>
    <w:p>
      <w:pPr>
        <w:spacing w:after="0" w:line="151" w:lineRule="exact"/>
        <w:rPr>
          <w:rFonts w:ascii="Arial" w:cs="Arial" w:eastAsia="Arial" w:hAnsi="Arial"/>
          <w:sz w:val="16"/>
          <w:szCs w:val="16"/>
          <w:color w:val="auto"/>
        </w:rPr>
      </w:pPr>
    </w:p>
    <w:p>
      <w:pPr>
        <w:jc w:val="both"/>
        <w:ind w:left="300" w:right="20" w:hanging="277"/>
        <w:spacing w:after="0" w:line="258"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Shares identified in Section 2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98" w:name="page99"/>
    <w:bookmarkEnd w:id="98"/>
    <w:p>
      <w:pPr>
        <w:jc w:val="both"/>
        <w:ind w:left="291" w:hanging="291"/>
        <w:spacing w:after="0" w:line="258" w:lineRule="auto"/>
        <w:tabs>
          <w:tab w:leader="none" w:pos="29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Parent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Parent, and the Stockholder Shares as so changed.</w:t>
      </w:r>
    </w:p>
    <w:p>
      <w:pPr>
        <w:spacing w:after="0" w:line="164"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321" w:lineRule="exact"/>
        <w:rPr>
          <w:sz w:val="20"/>
          <w:szCs w:val="20"/>
          <w:color w:val="auto"/>
        </w:rPr>
      </w:pPr>
    </w:p>
    <w:p>
      <w:pPr>
        <w:ind w:left="3671"/>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294"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9" w:name="page100"/>
    <w:bookmarkEnd w:id="99"/>
    <w:p>
      <w:pPr>
        <w:ind w:firstLine="574"/>
        <w:spacing w:after="0" w:line="275" w:lineRule="auto"/>
        <w:rPr>
          <w:sz w:val="20"/>
          <w:szCs w:val="20"/>
          <w:color w:val="auto"/>
        </w:rPr>
      </w:pPr>
      <w:r>
        <w:rPr>
          <w:rFonts w:ascii="Arial" w:cs="Arial" w:eastAsia="Arial" w:hAnsi="Arial"/>
          <w:sz w:val="16"/>
          <w:szCs w:val="16"/>
          <w:color w:val="auto"/>
        </w:rPr>
        <w:t>If the above correctly reflects our understanding and agreement with respect to the foregoing matters, please so confirm by signing in the space below and returning this letter agreement to us.</w:t>
      </w:r>
    </w:p>
    <w:p>
      <w:pPr>
        <w:spacing w:after="0" w:line="15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Sincerely,</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BCTG HOLDINGS, LLC</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12700</wp:posOffset>
            </wp:positionV>
            <wp:extent cx="242824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22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12860 El Camino Real, Suite 300</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San Diego, CA 92130</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Attention: Aaron Davis</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E-mail: notices@tavistock.com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TANGO THERAPEUTICS, INC.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BCTG ACQUISITION CORP.</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Parent Support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CERTIFICATE OF MERGER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FOR THE MERGER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BCTG MERGER SUB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WITH AND INTO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TANGO THERAPEUTICS,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164465</wp:posOffset>
            </wp:positionV>
            <wp:extent cx="213995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39950" cy="1524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070707"/>
        </w:rPr>
        <w:t>Pursuant to Title 8, Section 251(c) of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070707"/>
        </w:rPr>
        <w:t>General Corporation Law of the State of Delaware (“</w:t>
      </w:r>
      <w:r>
        <w:rPr>
          <w:rFonts w:ascii="Arial" w:cs="Arial" w:eastAsia="Arial" w:hAnsi="Arial"/>
          <w:sz w:val="16"/>
          <w:szCs w:val="16"/>
          <w:b w:val="1"/>
          <w:bCs w:val="1"/>
          <w:i w:val="1"/>
          <w:iCs w:val="1"/>
          <w:color w:val="070707"/>
        </w:rPr>
        <w:t>DGCL</w:t>
      </w:r>
      <w:r>
        <w:rPr>
          <w:rFonts w:ascii="Arial" w:cs="Arial" w:eastAsia="Arial" w:hAnsi="Arial"/>
          <w:sz w:val="16"/>
          <w:szCs w:val="16"/>
          <w:color w:val="07070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156210</wp:posOffset>
            </wp:positionV>
            <wp:extent cx="213995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39950" cy="152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Tango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does hereby certify to the following facts relating to the merger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of BCTG Merger Sub Inc., a Delaware corporation (“</w:t>
      </w:r>
      <w:r>
        <w:rPr>
          <w:rFonts w:ascii="Arial" w:cs="Arial" w:eastAsia="Arial" w:hAnsi="Arial"/>
          <w:sz w:val="16"/>
          <w:szCs w:val="16"/>
          <w:b w:val="1"/>
          <w:bCs w:val="1"/>
          <w:i w:val="1"/>
          <w:iCs w:val="1"/>
          <w:color w:val="auto"/>
        </w:rPr>
        <w:t>Merging Corporation</w:t>
      </w:r>
      <w:r>
        <w:rPr>
          <w:rFonts w:ascii="Arial" w:cs="Arial" w:eastAsia="Arial" w:hAnsi="Arial"/>
          <w:sz w:val="16"/>
          <w:szCs w:val="16"/>
          <w:color w:val="auto"/>
        </w:rPr>
        <w:t>”), with and into the Company, with the Company remaining as the surviving corporation of the Merger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w:t>
      </w:r>
    </w:p>
    <w:p>
      <w:pPr>
        <w:spacing w:after="0" w:line="15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The Company is incorporated pursuant to the DGCL. Merger Sub is incorporated pursuant to the DGCL. The Company and Merger Sub are the constituent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in the Merger.</w:t>
      </w:r>
    </w:p>
    <w:p>
      <w:pPr>
        <w:spacing w:after="0" w:line="144"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An Agreement and Plan of Merger, dated April [●], 2021, has been approved, adopted, executed and acknowledged by each of the Company and Merging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in accordance with the provisions of Title 8 Section 251(c) of the DGCL.</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THIRD</w:t>
      </w:r>
      <w:r>
        <w:rPr>
          <w:rFonts w:ascii="Arial" w:cs="Arial" w:eastAsia="Arial" w:hAnsi="Arial"/>
          <w:sz w:val="16"/>
          <w:szCs w:val="16"/>
          <w:color w:val="auto"/>
        </w:rPr>
        <w:t>: Following the Merger, the name of the Surviving Corporation shall be [Tango Therapeutics, Inc.].</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Upon the effectiveness of this Certificate of Merger, the Certificate of Incorporation of the Surviving Corporation shall be the Certificate of 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Merging Corporation until further amended and changed pursuant to the DGCL.</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The executed Agreement and Plan of Merger is on file at 100 Binney Street, Suite 700, Cambridge, Massachusetts 02142, the principal place of business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Surviving Corporation.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SIXTH</w:t>
      </w:r>
      <w:r>
        <w:rPr>
          <w:rFonts w:ascii="Arial" w:cs="Arial" w:eastAsia="Arial" w:hAnsi="Arial"/>
          <w:sz w:val="16"/>
          <w:szCs w:val="16"/>
          <w:color w:val="auto"/>
        </w:rPr>
        <w:t>: A copy of the executed Agreement and Plan of Merger will be furnished by the Surviving Corporation on request, without cost, to any stockholder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constituent corporations.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SEVENTH</w:t>
      </w:r>
      <w:r>
        <w:rPr>
          <w:rFonts w:ascii="Arial" w:cs="Arial" w:eastAsia="Arial" w:hAnsi="Arial"/>
          <w:sz w:val="16"/>
          <w:szCs w:val="16"/>
          <w:color w:val="auto"/>
        </w:rPr>
        <w:t>: The Merger shall become effective upon filing of this Certificate of Merger with the Secretary of State of the State of Delaware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Sections 103 and 251(c)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284480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Surviving Corporation has caused this Certificate of Merger to be signed by an authorized officer, on the [●] day of [●], 2021.</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URVIVING</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ORPORATION</w:t>
      </w:r>
      <w:r>
        <w:rPr>
          <w:rFonts w:ascii="Arial" w:cs="Arial" w:eastAsia="Arial" w:hAnsi="Arial"/>
          <w:sz w:val="16"/>
          <w:szCs w:val="16"/>
          <w:b w:val="1"/>
          <w:bCs w:val="1"/>
          <w:color w:val="auto"/>
        </w:rPr>
        <w:t>]</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Authorized Officer</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19685</wp:posOffset>
            </wp:positionV>
            <wp:extent cx="249682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316230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720" w:right="8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D</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LOCK-UP AGREEMENT</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THIS LOCK-UP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 ● ], 2021, by and between the undersigned (the “</w:t>
      </w:r>
      <w:r>
        <w:rPr>
          <w:rFonts w:ascii="Arial" w:cs="Arial" w:eastAsia="Arial" w:hAnsi="Arial"/>
          <w:sz w:val="16"/>
          <w:szCs w:val="16"/>
          <w:u w:val="single" w:color="auto"/>
          <w:color w:val="auto"/>
        </w:rPr>
        <w:t>Holder</w:t>
      </w:r>
      <w:r>
        <w:rPr>
          <w:rFonts w:ascii="Arial" w:cs="Arial" w:eastAsia="Arial" w:hAnsi="Arial"/>
          <w:sz w:val="16"/>
          <w:szCs w:val="16"/>
          <w:color w:val="auto"/>
        </w:rPr>
        <w:t>”) and BCTG Acquisition Corp., a Delaware corporation (the “</w:t>
      </w:r>
      <w:r>
        <w:rPr>
          <w:rFonts w:ascii="Arial" w:cs="Arial" w:eastAsia="Arial" w:hAnsi="Arial"/>
          <w:sz w:val="16"/>
          <w:szCs w:val="16"/>
          <w:u w:val="single" w:color="auto"/>
          <w:color w:val="auto"/>
        </w:rPr>
        <w:t>Purchaser</w:t>
      </w:r>
      <w:r>
        <w:rPr>
          <w:rFonts w:ascii="Arial" w:cs="Arial" w:eastAsia="Arial" w:hAnsi="Arial"/>
          <w:sz w:val="16"/>
          <w:szCs w:val="16"/>
          <w:color w:val="auto"/>
        </w:rPr>
        <w:t>”). Capitalized terms used and not otherwise defined herein shall have the meanings given such terms in the Merger Agreement (as defined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BACKGROUND</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 Purchaser, BCTG Merger Sub Inc., a Delaware corporation and wholly-owned subsidiary of Purchaser and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Merger Agreement dated as of April [●],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 Pursuant to the Merger Agreement, Purchaser will become the 100% stockholder of the Company (the “</w:t>
      </w:r>
      <w:r>
        <w:rPr>
          <w:rFonts w:ascii="Arial" w:cs="Arial" w:eastAsia="Arial" w:hAnsi="Arial"/>
          <w:sz w:val="16"/>
          <w:szCs w:val="16"/>
          <w:u w:val="single" w:color="auto"/>
          <w:color w:val="auto"/>
        </w:rPr>
        <w:t>Transaction</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 The Holder is the record and/or beneficial owner of certain shares of Company Capital Stock, which will be exchange for shares of Purchaser Common Stock pursuant to the Merger Agreement.</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D. As a condition of, and as a material inducement for Purchaser to enter into and consummate the transactions contemplated by the Merger Agreement, the Holder has agreed to execute and deliver this Agreement.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AGREEMENT</w:t>
      </w:r>
    </w:p>
    <w:p>
      <w:pPr>
        <w:spacing w:after="0" w:line="202" w:lineRule="exact"/>
        <w:rPr>
          <w:sz w:val="20"/>
          <w:szCs w:val="20"/>
          <w:color w:val="auto"/>
        </w:rPr>
      </w:pPr>
    </w:p>
    <w:p>
      <w:pPr>
        <w:ind w:left="720" w:hanging="151"/>
        <w:spacing w:after="0"/>
        <w:tabs>
          <w:tab w:leader="none" w:pos="720" w:val="left"/>
        </w:tabs>
        <w:numPr>
          <w:ilvl w:val="0"/>
          <w:numId w:val="99"/>
        </w:numPr>
        <w:rPr>
          <w:rFonts w:ascii="Arial" w:cs="Arial" w:eastAsia="Arial" w:hAnsi="Arial"/>
          <w:sz w:val="16"/>
          <w:szCs w:val="16"/>
          <w:color w:val="010000"/>
        </w:rPr>
      </w:pPr>
      <w:r>
        <w:rPr>
          <w:rFonts w:ascii="Arial" w:cs="Arial" w:eastAsia="Arial" w:hAnsi="Arial"/>
          <w:sz w:val="16"/>
          <w:szCs w:val="16"/>
          <w:u w:val="single" w:color="auto"/>
          <w:color w:val="auto"/>
        </w:rPr>
        <w:t>Lock-Up</w:t>
      </w:r>
      <w:r>
        <w:rPr>
          <w:rFonts w:ascii="Arial" w:cs="Arial" w:eastAsia="Arial" w:hAnsi="Arial"/>
          <w:sz w:val="16"/>
          <w:szCs w:val="16"/>
          <w:color w:val="auto"/>
        </w:rPr>
        <w:t>.</w:t>
      </w:r>
    </w:p>
    <w:p>
      <w:pPr>
        <w:spacing w:after="0" w:line="198" w:lineRule="exact"/>
        <w:rPr>
          <w:rFonts w:ascii="Arial" w:cs="Arial" w:eastAsia="Arial" w:hAnsi="Arial"/>
          <w:sz w:val="16"/>
          <w:szCs w:val="16"/>
          <w:color w:val="010000"/>
        </w:rPr>
      </w:pPr>
    </w:p>
    <w:p>
      <w:pPr>
        <w:jc w:val="both"/>
        <w:ind w:firstLine="1143"/>
        <w:spacing w:after="0" w:line="273" w:lineRule="auto"/>
        <w:tabs>
          <w:tab w:leader="none" w:pos="1376" w:val="left"/>
        </w:tabs>
        <w:numPr>
          <w:ilvl w:val="1"/>
          <w:numId w:val="99"/>
        </w:numPr>
        <w:rPr>
          <w:rFonts w:ascii="Arial" w:cs="Arial" w:eastAsia="Arial" w:hAnsi="Arial"/>
          <w:sz w:val="15"/>
          <w:szCs w:val="15"/>
          <w:color w:val="010000"/>
        </w:rPr>
      </w:pPr>
      <w:r>
        <w:rPr>
          <w:rFonts w:ascii="Arial" w:cs="Arial" w:eastAsia="Arial" w:hAnsi="Arial"/>
          <w:sz w:val="15"/>
          <w:szCs w:val="15"/>
          <w:color w:val="auto"/>
        </w:rPr>
        <w:t>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Purchaser; provided, for the avoidance of doubt, that nothing in this Agreement shall restrict the Holder’s right to cause the Company to file and cause to become effective a registration statement with the U.S. Securities and Exchange Commission (the “SEC”) naming such Holder as a selling securityholder (and to make any required disclosures in respect thereof).</w:t>
      </w:r>
    </w:p>
    <w:p>
      <w:pPr>
        <w:spacing w:after="0" w:line="156" w:lineRule="exact"/>
        <w:rPr>
          <w:rFonts w:ascii="Arial" w:cs="Arial" w:eastAsia="Arial" w:hAnsi="Arial"/>
          <w:sz w:val="15"/>
          <w:szCs w:val="15"/>
          <w:color w:val="010000"/>
        </w:rPr>
      </w:pPr>
    </w:p>
    <w:p>
      <w:pPr>
        <w:jc w:val="both"/>
        <w:ind w:right="20" w:firstLine="1143"/>
        <w:spacing w:after="0" w:line="287" w:lineRule="auto"/>
        <w:tabs>
          <w:tab w:leader="none" w:pos="1385" w:val="left"/>
        </w:tabs>
        <w:numPr>
          <w:ilvl w:val="1"/>
          <w:numId w:val="99"/>
        </w:numPr>
        <w:rPr>
          <w:rFonts w:ascii="Arial" w:cs="Arial" w:eastAsia="Arial" w:hAnsi="Arial"/>
          <w:sz w:val="15"/>
          <w:szCs w:val="15"/>
          <w:color w:val="010000"/>
        </w:rPr>
      </w:pPr>
      <w:r>
        <w:rPr>
          <w:rFonts w:ascii="Arial" w:cs="Arial" w:eastAsia="Arial" w:hAnsi="Arial"/>
          <w:sz w:val="15"/>
          <w:szCs w:val="15"/>
          <w:color w:val="auto"/>
        </w:rPr>
        <w:t>In furtherance of the foregoing, Purchaser will (i) place an irrevocable stop order on all Lock-up Shares, including those which may be covered by a registration statement, and (ii) notify Purchaser’ transfer agent in writing of the stop order and the restrictions on such Lock-up Shares under this Agreement and direct Purchaser’ transfer agent not to process any attempts by the Holder to resell or transfer any Lock-up Shares, except in compliance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03" w:name="page104"/>
    <w:bookmarkEnd w:id="103"/>
    <w:p>
      <w:pPr>
        <w:jc w:val="both"/>
        <w:ind w:right="20" w:firstLine="1143"/>
        <w:spacing w:after="0" w:line="287" w:lineRule="auto"/>
        <w:tabs>
          <w:tab w:leader="none" w:pos="1376" w:val="left"/>
        </w:tabs>
        <w:numPr>
          <w:ilvl w:val="1"/>
          <w:numId w:val="100"/>
        </w:numPr>
        <w:rPr>
          <w:rFonts w:ascii="Arial" w:cs="Arial" w:eastAsia="Arial" w:hAnsi="Arial"/>
          <w:sz w:val="15"/>
          <w:szCs w:val="15"/>
          <w:color w:val="010000"/>
        </w:rPr>
      </w:pPr>
      <w:r>
        <w:rPr>
          <w:rFonts w:ascii="Arial" w:cs="Arial" w:eastAsia="Arial" w:hAnsi="Arial"/>
          <w:sz w:val="15"/>
          <w:szCs w:val="15"/>
          <w:color w:val="auto"/>
        </w:rPr>
        <w:t>For purposes hereof, “</w:t>
      </w:r>
      <w:r>
        <w:rPr>
          <w:rFonts w:ascii="Arial" w:cs="Arial" w:eastAsia="Arial" w:hAnsi="Arial"/>
          <w:sz w:val="15"/>
          <w:szCs w:val="15"/>
          <w:u w:val="single" w:color="auto"/>
          <w:color w:val="auto"/>
        </w:rPr>
        <w:t>Short Sales</w:t>
      </w:r>
      <w:r>
        <w:rPr>
          <w:rFonts w:ascii="Arial" w:cs="Arial" w:eastAsia="Arial" w:hAnsi="Arial"/>
          <w:sz w:val="15"/>
          <w:szCs w:val="15"/>
          <w:color w:val="auto"/>
        </w:rPr>
        <w:t>” include, without limitation, all “short sales” as defined in Rule 200 promulgated under Regulation SHO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146" w:lineRule="exact"/>
        <w:rPr>
          <w:rFonts w:ascii="Arial" w:cs="Arial" w:eastAsia="Arial" w:hAnsi="Arial"/>
          <w:sz w:val="15"/>
          <w:szCs w:val="15"/>
          <w:color w:val="010000"/>
        </w:rPr>
      </w:pPr>
    </w:p>
    <w:p>
      <w:pPr>
        <w:ind w:right="20" w:firstLine="1143"/>
        <w:spacing w:after="0" w:line="275" w:lineRule="auto"/>
        <w:tabs>
          <w:tab w:leader="none" w:pos="1373"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For purpose of this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means with respect to the Lock-up Shares, the period commencing on the Closing Date and ending on the date that is 180 calendar days thereafter.</w:t>
      </w:r>
    </w:p>
    <w:p>
      <w:pPr>
        <w:spacing w:after="0" w:line="151" w:lineRule="exact"/>
        <w:rPr>
          <w:rFonts w:ascii="Arial" w:cs="Arial" w:eastAsia="Arial" w:hAnsi="Arial"/>
          <w:sz w:val="16"/>
          <w:szCs w:val="16"/>
          <w:color w:val="010000"/>
        </w:rPr>
      </w:pPr>
    </w:p>
    <w:p>
      <w:pPr>
        <w:jc w:val="both"/>
        <w:ind w:firstLine="1143"/>
        <w:spacing w:after="0" w:line="253" w:lineRule="auto"/>
        <w:tabs>
          <w:tab w:leader="none" w:pos="1364"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 xml:space="preserve">The restrictions set forth herein shall not apply to: (1) transfers or distributions to the Holder’s current or former general or limited partners, managers or members, stockholders, other equityholders or other direct or indirect affiliates (within the meaning of Rule 405 under the Securities Act of 1933, as amended) or to the estates of any of the foregoing; (2) transfers by bona fide gift to a member of the Holder’s immediate family or to a trust, the beneficiary of which is the Holder or a member of the Holder’s immediate family for estate planning purposes; (3) by virtue of will, intestate succession or the laws of descent and distribution upon death of the Holder; (4) pursuant to a qualified domestic relations order, in each case where such transferee agrees to be bound by the terms of this Agreement; (5) establishment of a trading plan pursuant to Rule 10b5-1 under the Exchange Act for the transfer of Restricted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plan does not provide for the transfer of Lock-Up Shares during the Lock-Up Period.</w:t>
      </w:r>
    </w:p>
    <w:p>
      <w:pPr>
        <w:spacing w:after="0" w:line="171" w:lineRule="exact"/>
        <w:rPr>
          <w:rFonts w:ascii="Arial" w:cs="Arial" w:eastAsia="Arial" w:hAnsi="Arial"/>
          <w:sz w:val="16"/>
          <w:szCs w:val="16"/>
          <w:color w:val="010000"/>
        </w:rPr>
      </w:pPr>
    </w:p>
    <w:p>
      <w:pPr>
        <w:jc w:val="both"/>
        <w:ind w:right="20" w:firstLine="1143"/>
        <w:spacing w:after="0" w:line="301" w:lineRule="auto"/>
        <w:tabs>
          <w:tab w:leader="none" w:pos="1346" w:val="left"/>
        </w:tabs>
        <w:numPr>
          <w:ilvl w:val="1"/>
          <w:numId w:val="100"/>
        </w:numPr>
        <w:rPr>
          <w:rFonts w:ascii="Arial" w:cs="Arial" w:eastAsia="Arial" w:hAnsi="Arial"/>
          <w:sz w:val="14"/>
          <w:szCs w:val="14"/>
          <w:color w:val="010000"/>
        </w:rPr>
      </w:pPr>
      <w:r>
        <w:rPr>
          <w:rFonts w:ascii="Arial" w:cs="Arial" w:eastAsia="Arial" w:hAnsi="Arial"/>
          <w:sz w:val="14"/>
          <w:szCs w:val="14"/>
          <w:color w:val="auto"/>
        </w:rPr>
        <w:t>In addition, after the Closing Date, if there is a Change of Control, then upon the consummation of such Change of Control, all Lock-up Shares shall be released from the restrictions contained herein. A “</w:t>
      </w:r>
      <w:r>
        <w:rPr>
          <w:rFonts w:ascii="Arial" w:cs="Arial" w:eastAsia="Arial" w:hAnsi="Arial"/>
          <w:sz w:val="14"/>
          <w:szCs w:val="14"/>
          <w:u w:val="single" w:color="auto"/>
          <w:color w:val="auto"/>
        </w:rPr>
        <w:t>Change of Control</w:t>
      </w:r>
      <w:r>
        <w:rPr>
          <w:rFonts w:ascii="Arial" w:cs="Arial" w:eastAsia="Arial" w:hAnsi="Arial"/>
          <w:sz w:val="14"/>
          <w:szCs w:val="14"/>
          <w:color w:val="auto"/>
        </w:rPr>
        <w:t>” means: (a) the sale of all or substantially all of the consolidated assets of Purchaser and Purchaser subsidiaries to a third-party purchaser; (b) a sale resulting in no less than a majority of the voting power of the Purchaser being held by person that did not own a majority of the voting power prior to such sale; or (c) a merger, consolidation, recapitalization or reorganization of Purchaser with or into a third-party purchaser that results in the inability of the pre-transaction equity holders to designate or elect a majority of the Board of Directors (or its equivalent) of the resulting entity or its parent company.</w:t>
      </w:r>
    </w:p>
    <w:p>
      <w:pPr>
        <w:spacing w:after="0" w:line="137" w:lineRule="exact"/>
        <w:rPr>
          <w:rFonts w:ascii="Arial" w:cs="Arial" w:eastAsia="Arial" w:hAnsi="Arial"/>
          <w:sz w:val="14"/>
          <w:szCs w:val="14"/>
          <w:color w:val="010000"/>
        </w:rPr>
      </w:pPr>
    </w:p>
    <w:p>
      <w:pPr>
        <w:jc w:val="both"/>
        <w:ind w:firstLine="569"/>
        <w:spacing w:after="0" w:line="254" w:lineRule="auto"/>
        <w:tabs>
          <w:tab w:leader="none" w:pos="745" w:val="left"/>
        </w:tabs>
        <w:numPr>
          <w:ilvl w:val="0"/>
          <w:numId w:val="101"/>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parties hereto, by their respective execution and delivery of this Agreement, hereby represents and warrants to the others and to all third party beneficiaries of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spacing w:after="0" w:line="170" w:lineRule="exact"/>
        <w:rPr>
          <w:rFonts w:ascii="Arial" w:cs="Arial" w:eastAsia="Arial" w:hAnsi="Arial"/>
          <w:sz w:val="16"/>
          <w:szCs w:val="16"/>
          <w:color w:val="010000"/>
        </w:rPr>
      </w:pPr>
    </w:p>
    <w:p>
      <w:pPr>
        <w:jc w:val="both"/>
        <w:ind w:firstLine="569"/>
        <w:spacing w:after="0" w:line="255" w:lineRule="auto"/>
        <w:tabs>
          <w:tab w:leader="none" w:pos="733" w:val="left"/>
        </w:tabs>
        <w:numPr>
          <w:ilvl w:val="0"/>
          <w:numId w:val="101"/>
        </w:numPr>
        <w:rPr>
          <w:rFonts w:ascii="Arial" w:cs="Arial" w:eastAsia="Arial" w:hAnsi="Arial"/>
          <w:sz w:val="16"/>
          <w:szCs w:val="16"/>
          <w:color w:val="010000"/>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The Holder hereby represents and warrants that it does not beneficially own, directly or through its nominees (as determined in accordance with Section 13(d) of the Exchange Act, and the rules and regulations promulgated thereunder), any shares of capital stock of Purchaser, or any economic interest in or derivative of such stock, other than those securities specified on the signature page hereto. For purposes of this Agreement, the common stock of Company beneficially owned by the Holder as specified on the signature hereto, and the shares of Purchaser such shares will be converted into in connection with the Transaction, are collectively referred to as the “</w:t>
      </w:r>
      <w:r>
        <w:rPr>
          <w:rFonts w:ascii="Arial" w:cs="Arial" w:eastAsia="Arial" w:hAnsi="Arial"/>
          <w:sz w:val="16"/>
          <w:szCs w:val="16"/>
          <w:u w:val="single" w:color="auto"/>
          <w:color w:val="auto"/>
        </w:rPr>
        <w:t>Lock-up Shares</w:t>
      </w:r>
      <w:r>
        <w:rPr>
          <w:rFonts w:ascii="Arial" w:cs="Arial" w:eastAsia="Arial" w:hAnsi="Arial"/>
          <w:sz w:val="16"/>
          <w:szCs w:val="16"/>
          <w:color w:val="auto"/>
        </w:rPr>
        <w: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04" w:name="page105"/>
    <w:bookmarkEnd w:id="104"/>
    <w:p>
      <w:pPr>
        <w:ind w:right="20" w:firstLine="569"/>
        <w:spacing w:after="0" w:line="275" w:lineRule="auto"/>
        <w:tabs>
          <w:tab w:leader="none" w:pos="733" w:val="left"/>
        </w:tabs>
        <w:numPr>
          <w:ilvl w:val="0"/>
          <w:numId w:val="102"/>
        </w:numPr>
        <w:rPr>
          <w:rFonts w:ascii="Arial" w:cs="Arial" w:eastAsia="Arial" w:hAnsi="Arial"/>
          <w:sz w:val="16"/>
          <w:szCs w:val="16"/>
          <w:color w:val="010000"/>
        </w:rPr>
      </w:pPr>
      <w:r>
        <w:rPr>
          <w:rFonts w:ascii="Arial" w:cs="Arial" w:eastAsia="Arial" w:hAnsi="Arial"/>
          <w:sz w:val="16"/>
          <w:szCs w:val="16"/>
          <w:u w:val="single" w:color="auto"/>
          <w:color w:val="auto"/>
        </w:rPr>
        <w:t>No Additional Fees/Payment</w:t>
      </w:r>
      <w:r>
        <w:rPr>
          <w:rFonts w:ascii="Arial" w:cs="Arial" w:eastAsia="Arial" w:hAnsi="Arial"/>
          <w:sz w:val="16"/>
          <w:szCs w:val="16"/>
          <w:color w:val="auto"/>
        </w:rPr>
        <w:t>. Other than the consideration specifically referenced herein, the parties hereto agree that no fee, payment or additional consideration in any form has been or will be paid to the Holder in connection with this Agreement.</w:t>
      </w:r>
    </w:p>
    <w:p>
      <w:pPr>
        <w:spacing w:after="0" w:line="151" w:lineRule="exact"/>
        <w:rPr>
          <w:rFonts w:ascii="Arial" w:cs="Arial" w:eastAsia="Arial" w:hAnsi="Arial"/>
          <w:sz w:val="16"/>
          <w:szCs w:val="16"/>
          <w:color w:val="010000"/>
        </w:rPr>
      </w:pPr>
    </w:p>
    <w:p>
      <w:pPr>
        <w:jc w:val="both"/>
        <w:ind w:firstLine="569"/>
        <w:spacing w:after="0" w:line="254" w:lineRule="auto"/>
        <w:tabs>
          <w:tab w:leader="none" w:pos="733" w:val="left"/>
        </w:tabs>
        <w:numPr>
          <w:ilvl w:val="0"/>
          <w:numId w:val="102"/>
        </w:numPr>
        <w:rPr>
          <w:rFonts w:ascii="Arial" w:cs="Arial" w:eastAsia="Arial" w:hAnsi="Arial"/>
          <w:sz w:val="16"/>
          <w:szCs w:val="16"/>
          <w:color w:val="010000"/>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required or permitted to be sent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0" w:lineRule="exact"/>
        <w:rPr>
          <w:rFonts w:ascii="Arial" w:cs="Arial" w:eastAsia="Arial" w:hAnsi="Arial"/>
          <w:sz w:val="16"/>
          <w:szCs w:val="16"/>
          <w:color w:val="010000"/>
        </w:rPr>
      </w:pPr>
    </w:p>
    <w:p>
      <w:pPr>
        <w:ind w:left="1480" w:hanging="337"/>
        <w:spacing w:after="0"/>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If to Purchaser, to:</w:t>
      </w:r>
    </w:p>
    <w:p>
      <w:pPr>
        <w:spacing w:after="0" w:line="19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BCTG Acquisition Corp.</w:t>
      </w:r>
    </w:p>
    <w:p>
      <w:pPr>
        <w:spacing w:after="0" w:line="19" w:lineRule="exact"/>
        <w:rPr>
          <w:rFonts w:ascii="Arial" w:cs="Arial" w:eastAsia="Arial" w:hAnsi="Arial"/>
          <w:sz w:val="16"/>
          <w:szCs w:val="16"/>
          <w:color w:val="auto"/>
        </w:rPr>
      </w:pPr>
    </w:p>
    <w:p>
      <w:pPr>
        <w:ind w:left="1480" w:right="7640"/>
        <w:spacing w:after="0" w:line="252" w:lineRule="auto"/>
        <w:rPr>
          <w:rFonts w:ascii="Arial" w:cs="Arial" w:eastAsia="Arial" w:hAnsi="Arial"/>
          <w:sz w:val="16"/>
          <w:szCs w:val="16"/>
          <w:color w:val="auto"/>
        </w:rPr>
      </w:pPr>
      <w:r>
        <w:rPr>
          <w:rFonts w:ascii="Arial" w:cs="Arial" w:eastAsia="Arial" w:hAnsi="Arial"/>
          <w:sz w:val="16"/>
          <w:szCs w:val="16"/>
          <w:color w:val="auto"/>
        </w:rPr>
        <w:t>12860 El Camino Real, Suite 300 San Diego, CA 92130 Attention: Aaron Davis E-mail: notices@tavistock.com</w:t>
      </w:r>
    </w:p>
    <w:p>
      <w:pPr>
        <w:spacing w:after="0" w:line="170"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with a copy to (which shall not constitute notice):</w:t>
      </w:r>
    </w:p>
    <w:p>
      <w:pPr>
        <w:spacing w:after="0" w:line="19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Loeb &amp; Loeb</w:t>
      </w:r>
    </w:p>
    <w:p>
      <w:pPr>
        <w:spacing w:after="0" w:line="19" w:lineRule="exact"/>
        <w:rPr>
          <w:rFonts w:ascii="Arial" w:cs="Arial" w:eastAsia="Arial" w:hAnsi="Arial"/>
          <w:sz w:val="16"/>
          <w:szCs w:val="16"/>
          <w:color w:val="auto"/>
        </w:rPr>
      </w:pPr>
    </w:p>
    <w:p>
      <w:pPr>
        <w:ind w:left="1480" w:right="7940"/>
        <w:spacing w:after="0" w:line="266" w:lineRule="auto"/>
        <w:rPr>
          <w:rFonts w:ascii="Arial" w:cs="Arial" w:eastAsia="Arial" w:hAnsi="Arial"/>
          <w:sz w:val="16"/>
          <w:szCs w:val="16"/>
          <w:color w:val="auto"/>
        </w:rPr>
      </w:pPr>
      <w:r>
        <w:rPr>
          <w:rFonts w:ascii="Arial" w:cs="Arial" w:eastAsia="Arial" w:hAnsi="Arial"/>
          <w:sz w:val="15"/>
          <w:szCs w:val="15"/>
          <w:color w:val="auto"/>
        </w:rPr>
        <w:t>345 Park Avenue, 19th Floor New York, NY 10154</w:t>
      </w:r>
    </w:p>
    <w:p>
      <w:pPr>
        <w:ind w:left="1480"/>
        <w:spacing w:after="0"/>
        <w:rPr>
          <w:rFonts w:ascii="Arial" w:cs="Arial" w:eastAsia="Arial" w:hAnsi="Arial"/>
          <w:sz w:val="16"/>
          <w:szCs w:val="16"/>
          <w:color w:val="auto"/>
        </w:rPr>
      </w:pPr>
      <w:r>
        <w:rPr>
          <w:rFonts w:ascii="Arial" w:cs="Arial" w:eastAsia="Arial" w:hAnsi="Arial"/>
          <w:sz w:val="16"/>
          <w:szCs w:val="16"/>
          <w:color w:val="auto"/>
        </w:rPr>
        <w:t>Attention: Mitchell S. Nussbaum, Esq.</w:t>
      </w:r>
    </w:p>
    <w:p>
      <w:pPr>
        <w:spacing w:after="0" w:line="7"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E-mail: mnussbaum@loeb.com</w:t>
      </w:r>
    </w:p>
    <w:p>
      <w:pPr>
        <w:spacing w:after="0" w:line="185" w:lineRule="exact"/>
        <w:rPr>
          <w:rFonts w:ascii="Arial" w:cs="Arial" w:eastAsia="Arial" w:hAnsi="Arial"/>
          <w:sz w:val="16"/>
          <w:szCs w:val="16"/>
          <w:color w:val="auto"/>
        </w:rPr>
      </w:pPr>
    </w:p>
    <w:p>
      <w:pPr>
        <w:ind w:left="1480" w:hanging="337"/>
        <w:spacing w:after="0"/>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If to the Holder, to the addresses set forth on the Holder’s signature page hereto.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as any party may have furnished to the others in writing in accordance herewith.</w:t>
      </w:r>
    </w:p>
    <w:p>
      <w:pPr>
        <w:spacing w:after="0" w:line="198" w:lineRule="exact"/>
        <w:rPr>
          <w:sz w:val="20"/>
          <w:szCs w:val="20"/>
          <w:color w:val="auto"/>
        </w:rPr>
      </w:pPr>
    </w:p>
    <w:p>
      <w:pPr>
        <w:ind w:right="20" w:firstLine="569"/>
        <w:spacing w:after="0" w:line="275" w:lineRule="auto"/>
        <w:tabs>
          <w:tab w:leader="none" w:pos="745" w:val="left"/>
        </w:tabs>
        <w:numPr>
          <w:ilvl w:val="0"/>
          <w:numId w:val="103"/>
        </w:numPr>
        <w:rPr>
          <w:rFonts w:ascii="Arial" w:cs="Arial" w:eastAsia="Arial" w:hAnsi="Arial"/>
          <w:sz w:val="16"/>
          <w:szCs w:val="16"/>
          <w:color w:val="010000"/>
        </w:rPr>
      </w:pPr>
      <w:r>
        <w:rPr>
          <w:rFonts w:ascii="Arial" w:cs="Arial" w:eastAsia="Arial" w:hAnsi="Arial"/>
          <w:sz w:val="16"/>
          <w:szCs w:val="16"/>
          <w:u w:val="single" w:color="auto"/>
          <w:color w:val="auto"/>
        </w:rPr>
        <w:t>Enumeration and Headings</w:t>
      </w:r>
      <w:r>
        <w:rPr>
          <w:rFonts w:ascii="Arial" w:cs="Arial" w:eastAsia="Arial" w:hAnsi="Arial"/>
          <w:sz w:val="16"/>
          <w:szCs w:val="16"/>
          <w:color w:val="auto"/>
        </w:rPr>
        <w:t>. The enumeration and headings contained in this Agreement are for convenience of reference only and shall not control or affect the meaning or construction of any of the provisions of this Agreement.</w:t>
      </w:r>
    </w:p>
    <w:p>
      <w:pPr>
        <w:spacing w:after="0" w:line="151" w:lineRule="exact"/>
        <w:rPr>
          <w:rFonts w:ascii="Arial" w:cs="Arial" w:eastAsia="Arial" w:hAnsi="Arial"/>
          <w:sz w:val="16"/>
          <w:szCs w:val="16"/>
          <w:color w:val="010000"/>
        </w:rPr>
      </w:pPr>
    </w:p>
    <w:p>
      <w:pPr>
        <w:ind w:right="20" w:firstLine="569"/>
        <w:spacing w:after="0" w:line="275" w:lineRule="auto"/>
        <w:tabs>
          <w:tab w:leader="none" w:pos="733" w:val="left"/>
        </w:tabs>
        <w:numPr>
          <w:ilvl w:val="0"/>
          <w:numId w:val="103"/>
        </w:numPr>
        <w:rPr>
          <w:rFonts w:ascii="Arial" w:cs="Arial" w:eastAsia="Arial" w:hAnsi="Arial"/>
          <w:sz w:val="16"/>
          <w:szCs w:val="16"/>
          <w:color w:val="010000"/>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facsimile and in any number of counterparts, each of which when so executed and delivered shall be deemed an original, but all of which shall together constitute one and the same agreement.</w:t>
      </w:r>
    </w:p>
    <w:p>
      <w:pPr>
        <w:spacing w:after="0" w:line="151" w:lineRule="exact"/>
        <w:rPr>
          <w:rFonts w:ascii="Arial" w:cs="Arial" w:eastAsia="Arial" w:hAnsi="Arial"/>
          <w:sz w:val="16"/>
          <w:szCs w:val="16"/>
          <w:color w:val="010000"/>
        </w:rPr>
      </w:pPr>
    </w:p>
    <w:p>
      <w:pPr>
        <w:jc w:val="both"/>
        <w:ind w:right="20" w:firstLine="569"/>
        <w:spacing w:after="0" w:line="262" w:lineRule="auto"/>
        <w:tabs>
          <w:tab w:leader="none" w:pos="745" w:val="left"/>
        </w:tabs>
        <w:numPr>
          <w:ilvl w:val="0"/>
          <w:numId w:val="103"/>
        </w:numPr>
        <w:rPr>
          <w:rFonts w:ascii="Arial" w:cs="Arial" w:eastAsia="Arial" w:hAnsi="Arial"/>
          <w:sz w:val="16"/>
          <w:szCs w:val="16"/>
          <w:color w:val="010000"/>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Purchaser and its successors and assigns.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05" w:name="page106"/>
    <w:bookmarkEnd w:id="105"/>
    <w:p>
      <w:pPr>
        <w:jc w:val="both"/>
        <w:ind w:right="20" w:firstLine="569"/>
        <w:spacing w:after="0" w:line="262" w:lineRule="auto"/>
        <w:tabs>
          <w:tab w:leader="none" w:pos="733"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162" w:lineRule="exact"/>
        <w:rPr>
          <w:rFonts w:ascii="Arial" w:cs="Arial" w:eastAsia="Arial" w:hAnsi="Arial"/>
          <w:sz w:val="16"/>
          <w:szCs w:val="16"/>
          <w:color w:val="010000"/>
        </w:rPr>
      </w:pPr>
    </w:p>
    <w:p>
      <w:pPr>
        <w:ind w:left="800" w:hanging="231"/>
        <w:spacing w:after="0"/>
        <w:tabs>
          <w:tab w:leader="none" w:pos="800"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by written agreement executed by each of the parties hereto.</w:t>
      </w:r>
    </w:p>
    <w:p>
      <w:pPr>
        <w:spacing w:after="0" w:line="198" w:lineRule="exact"/>
        <w:rPr>
          <w:rFonts w:ascii="Arial" w:cs="Arial" w:eastAsia="Arial" w:hAnsi="Arial"/>
          <w:sz w:val="16"/>
          <w:szCs w:val="16"/>
          <w:color w:val="010000"/>
        </w:rPr>
      </w:pPr>
    </w:p>
    <w:p>
      <w:pPr>
        <w:jc w:val="both"/>
        <w:ind w:right="20" w:firstLine="569"/>
        <w:spacing w:after="0" w:line="262" w:lineRule="auto"/>
        <w:tabs>
          <w:tab w:leader="none" w:pos="806"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Arial" w:cs="Arial" w:eastAsia="Arial" w:hAnsi="Arial"/>
          <w:sz w:val="16"/>
          <w:szCs w:val="16"/>
          <w:color w:val="010000"/>
        </w:rPr>
      </w:pPr>
    </w:p>
    <w:p>
      <w:pPr>
        <w:ind w:firstLine="569"/>
        <w:spacing w:after="0" w:line="275" w:lineRule="auto"/>
        <w:tabs>
          <w:tab w:leader="none" w:pos="812"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No Strict Construction</w:t>
      </w:r>
      <w:r>
        <w:rPr>
          <w:rFonts w:ascii="Arial" w:cs="Arial" w:eastAsia="Arial" w:hAnsi="Arial"/>
          <w:sz w:val="16"/>
          <w:szCs w:val="16"/>
          <w:color w:val="auto"/>
        </w:rPr>
        <w:t>. The language used in this Agreement will be deemed to be the language chosen by the parties to express their mutual intent, and no rules of strict construction will be applied against any party.</w:t>
      </w:r>
    </w:p>
    <w:p>
      <w:pPr>
        <w:spacing w:after="0" w:line="151" w:lineRule="exact"/>
        <w:rPr>
          <w:rFonts w:ascii="Arial" w:cs="Arial" w:eastAsia="Arial" w:hAnsi="Arial"/>
          <w:sz w:val="16"/>
          <w:szCs w:val="16"/>
          <w:color w:val="010000"/>
        </w:rPr>
      </w:pPr>
    </w:p>
    <w:p>
      <w:pPr>
        <w:ind w:left="800" w:hanging="231"/>
        <w:spacing w:after="0"/>
        <w:tabs>
          <w:tab w:leader="none" w:pos="800"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terms and provisions of this Agreement shall be construed in accordance with the laws of the State of Delaware.</w:t>
      </w:r>
    </w:p>
    <w:p>
      <w:pPr>
        <w:spacing w:after="0" w:line="198" w:lineRule="exact"/>
        <w:rPr>
          <w:rFonts w:ascii="Arial" w:cs="Arial" w:eastAsia="Arial" w:hAnsi="Arial"/>
          <w:sz w:val="16"/>
          <w:szCs w:val="16"/>
          <w:color w:val="010000"/>
        </w:rPr>
      </w:pPr>
    </w:p>
    <w:p>
      <w:pPr>
        <w:ind w:firstLine="569"/>
        <w:spacing w:after="0" w:line="275" w:lineRule="auto"/>
        <w:tabs>
          <w:tab w:leader="none" w:pos="812"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Controlling Agreement</w:t>
      </w:r>
      <w:r>
        <w:rPr>
          <w:rFonts w:ascii="Arial" w:cs="Arial" w:eastAsia="Arial" w:hAnsi="Arial"/>
          <w:sz w:val="16"/>
          <w:szCs w:val="16"/>
          <w:color w:val="auto"/>
        </w:rPr>
        <w:t>. To the extent the terms of this Agreement (as amended, supplemented, restated or otherwise modified from time to time) directly conflicts with a provision in the Merger Agreement, the terms of this Agreement shall control.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06" w:name="page107"/>
    <w:bookmarkEnd w:id="106"/>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BCTG ACQUISITION CORP.</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07" w:name="page108"/>
    <w:bookmarkEnd w:id="107"/>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257810</wp:posOffset>
            </wp:positionV>
            <wp:extent cx="285305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5080</wp:posOffset>
            </wp:positionV>
            <wp:extent cx="257238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505460</wp:posOffset>
            </wp:positionV>
            <wp:extent cx="257238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2385" cy="1524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255270</wp:posOffset>
            </wp:positionV>
            <wp:extent cx="257238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505460</wp:posOffset>
            </wp:positionV>
            <wp:extent cx="257238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2385" cy="1524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255270</wp:posOffset>
            </wp:positionV>
            <wp:extent cx="257238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NUMBER OF LOCK-UP SHARES:</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 shares of Company Capital Stock</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BCTG ACQUISITION CORP.</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_______________, 2021</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BCTG Acquisition Corp., a corporation organized and existing under the laws of the State of Delaware (the “</w:t>
      </w:r>
      <w:r>
        <w:rPr>
          <w:rFonts w:ascii="Arial" w:cs="Arial" w:eastAsia="Arial" w:hAnsi="Arial"/>
          <w:sz w:val="15"/>
          <w:szCs w:val="15"/>
          <w:u w:val="single" w:color="auto"/>
          <w:color w:val="auto"/>
        </w:rPr>
        <w:t>Corporation</w:t>
      </w:r>
      <w:r>
        <w:rPr>
          <w:rFonts w:ascii="Arial" w:cs="Arial" w:eastAsia="Arial" w:hAnsi="Arial"/>
          <w:sz w:val="15"/>
          <w:szCs w:val="15"/>
          <w:color w:val="auto"/>
        </w:rPr>
        <w:t>”), DOES HEREBY CERTIFY AS FOLLOWS:</w:t>
      </w:r>
    </w:p>
    <w:p>
      <w:pPr>
        <w:spacing w:after="0" w:line="210" w:lineRule="exact"/>
        <w:rPr>
          <w:sz w:val="20"/>
          <w:szCs w:val="20"/>
          <w:color w:val="auto"/>
        </w:rPr>
      </w:pPr>
    </w:p>
    <w:p>
      <w:pPr>
        <w:jc w:val="both"/>
        <w:ind w:left="560" w:hanging="278"/>
        <w:spacing w:after="0" w:line="287" w:lineRule="auto"/>
        <w:tabs>
          <w:tab w:leader="none" w:pos="5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name of the Corporation is “BCTG Acquisition Corp.” The original certificate of incorporation was filed with the Secretary of State of the State of Delaware on May 21, 2020 (the “</w:t>
      </w:r>
      <w:r>
        <w:rPr>
          <w:rFonts w:ascii="Arial" w:cs="Arial" w:eastAsia="Arial" w:hAnsi="Arial"/>
          <w:sz w:val="15"/>
          <w:szCs w:val="15"/>
          <w:u w:val="single" w:color="auto"/>
          <w:color w:val="auto"/>
        </w:rPr>
        <w:t>Original Certificate</w:t>
      </w:r>
      <w:r>
        <w:rPr>
          <w:rFonts w:ascii="Arial" w:cs="Arial" w:eastAsia="Arial" w:hAnsi="Arial"/>
          <w:sz w:val="15"/>
          <w:szCs w:val="15"/>
          <w:color w:val="auto"/>
        </w:rPr>
        <w:t>”). The Amended and Restated Certificate of Incorporation (the “</w:t>
      </w:r>
      <w:r>
        <w:rPr>
          <w:rFonts w:ascii="Arial" w:cs="Arial" w:eastAsia="Arial" w:hAnsi="Arial"/>
          <w:sz w:val="15"/>
          <w:szCs w:val="15"/>
          <w:u w:val="single" w:color="auto"/>
          <w:color w:val="auto"/>
        </w:rPr>
        <w:t>First Amended and Restated Certificate</w:t>
      </w:r>
      <w:r>
        <w:rPr>
          <w:rFonts w:ascii="Arial" w:cs="Arial" w:eastAsia="Arial" w:hAnsi="Arial"/>
          <w:sz w:val="15"/>
          <w:szCs w:val="15"/>
          <w:color w:val="auto"/>
        </w:rPr>
        <w:t>”), which both restated and amended the provisions of the Original Certificate was filed with the Secretary of the State of Delaware on September 2, 2020.</w:t>
      </w:r>
    </w:p>
    <w:p>
      <w:pPr>
        <w:spacing w:after="0" w:line="146" w:lineRule="exact"/>
        <w:rPr>
          <w:rFonts w:ascii="Arial" w:cs="Arial" w:eastAsia="Arial" w:hAnsi="Arial"/>
          <w:sz w:val="15"/>
          <w:szCs w:val="15"/>
          <w:color w:val="auto"/>
        </w:rPr>
      </w:pPr>
    </w:p>
    <w:p>
      <w:pPr>
        <w:jc w:val="both"/>
        <w:ind w:left="560" w:right="20" w:hanging="278"/>
        <w:spacing w:after="0" w:line="262" w:lineRule="auto"/>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w:t>
      </w:r>
      <w:r>
        <w:rPr>
          <w:rFonts w:ascii="Arial" w:cs="Arial" w:eastAsia="Arial" w:hAnsi="Arial"/>
          <w:sz w:val="16"/>
          <w:szCs w:val="16"/>
          <w:u w:val="single" w:color="auto"/>
          <w:color w:val="auto"/>
        </w:rPr>
        <w:t>Second Amended and Restated Certificate</w:t>
      </w:r>
      <w:r>
        <w:rPr>
          <w:rFonts w:ascii="Arial" w:cs="Arial" w:eastAsia="Arial" w:hAnsi="Arial"/>
          <w:sz w:val="16"/>
          <w:szCs w:val="16"/>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This Second Amended and Restated Certificate shall become effective on the date of filing with the Secretary of State of Delaware.</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Certain capitalized terms used in this Second Amended and Restated Certificate are defined where appropriate herein.</w:t>
      </w:r>
    </w:p>
    <w:p>
      <w:pPr>
        <w:spacing w:after="0" w:line="198" w:lineRule="exact"/>
        <w:rPr>
          <w:rFonts w:ascii="Arial" w:cs="Arial" w:eastAsia="Arial" w:hAnsi="Arial"/>
          <w:sz w:val="16"/>
          <w:szCs w:val="16"/>
          <w:color w:val="auto"/>
        </w:rPr>
      </w:pPr>
    </w:p>
    <w:p>
      <w:pPr>
        <w:ind w:left="560" w:right="20" w:hanging="278"/>
        <w:spacing w:after="0" w:line="309" w:lineRule="auto"/>
        <w:tabs>
          <w:tab w:leader="none" w:pos="5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This Second Amended and Restated Certificate is being amended and restated in connection with the transactions contemplated by that certain Agreement and Plan of Merger, dated [_______________] (the “Merger Agreement”), by and among the Corporation, Tango Therapeutics, Inc., and BCTG Merger Sub Inc.</w:t>
      </w:r>
    </w:p>
    <w:p>
      <w:pPr>
        <w:spacing w:after="0" w:line="129" w:lineRule="exact"/>
        <w:rPr>
          <w:rFonts w:ascii="Arial" w:cs="Arial" w:eastAsia="Arial" w:hAnsi="Arial"/>
          <w:sz w:val="15"/>
          <w:szCs w:val="15"/>
          <w:color w:val="auto"/>
        </w:rPr>
      </w:pPr>
    </w:p>
    <w:p>
      <w:pPr>
        <w:ind w:left="560" w:hanging="278"/>
        <w:spacing w:after="0"/>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text of the First Amended and Restated Certificate is hereby restated and amended in its entirety to read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name of the Corporation is Tango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color w:val="auto"/>
        </w:rPr>
        <w:t>ARTICLE II</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address of the Corporation’s registered office in the State of Delaware is c/o The Corporation Trust Company, 1209 Orange Street in the City of Wilmington, County of New Castle. The name of its registered agent at such address is The Corporation Trust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III</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DGCL. The Corporation is to have a perpetual existence.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CAPITAL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total number of shares of capital stock which the Corporation shall have authority to issue is __________million (__________), of which (i) one __________</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million (________) shares shall be a class designated as common stock, par value $0.001 per share (the “Common Stock”), and (ii) _________ (________) shares shall be 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class designated as undesignated preferred stock, par value $0.001 per share (the “</w:t>
      </w:r>
      <w:r>
        <w:rPr>
          <w:rFonts w:ascii="Arial" w:cs="Arial" w:eastAsia="Arial" w:hAnsi="Arial"/>
          <w:sz w:val="16"/>
          <w:szCs w:val="16"/>
          <w:u w:val="single" w:color="auto"/>
          <w:color w:val="auto"/>
        </w:rPr>
        <w:t>Undesignated Preferred Stock</w:t>
      </w:r>
      <w:r>
        <w:rPr>
          <w:rFonts w:ascii="Arial" w:cs="Arial" w:eastAsia="Arial" w:hAnsi="Arial"/>
          <w:sz w:val="16"/>
          <w:szCs w:val="16"/>
          <w:color w:val="auto"/>
        </w:rPr>
        <w:t>”).</w:t>
      </w:r>
    </w:p>
    <w:p>
      <w:pPr>
        <w:spacing w:after="0" w:line="186"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27"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powers, preferences and rights of, and the qualifications, limitations and restrictions upon, each class or series of stock shall be determined in accordance with, or as set forth below in, this Article IV.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COMMON STOCK</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52" w:lineRule="exact"/>
        <w:rPr>
          <w:sz w:val="20"/>
          <w:szCs w:val="20"/>
          <w:color w:val="auto"/>
        </w:rPr>
      </w:pPr>
    </w:p>
    <w:p>
      <w:pPr>
        <w:jc w:val="both"/>
        <w:ind w:firstLine="1143"/>
        <w:spacing w:after="0" w:line="253" w:lineRule="auto"/>
        <w:tabs>
          <w:tab w:leader="none" w:pos="137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71" w:lineRule="exact"/>
        <w:rPr>
          <w:rFonts w:ascii="Arial" w:cs="Arial" w:eastAsia="Arial" w:hAnsi="Arial"/>
          <w:sz w:val="16"/>
          <w:szCs w:val="16"/>
          <w:color w:val="auto"/>
        </w:rPr>
      </w:pPr>
    </w:p>
    <w:p>
      <w:pPr>
        <w:ind w:firstLine="1143"/>
        <w:spacing w:after="0" w:line="349" w:lineRule="auto"/>
        <w:tabs>
          <w:tab w:leader="none" w:pos="1381" w:val="left"/>
        </w:tabs>
        <w:numPr>
          <w:ilvl w:val="0"/>
          <w:numId w:val="106"/>
        </w:numPr>
        <w:rPr>
          <w:rFonts w:ascii="Arial" w:cs="Arial" w:eastAsia="Arial" w:hAnsi="Arial"/>
          <w:sz w:val="14"/>
          <w:szCs w:val="14"/>
          <w:color w:val="auto"/>
        </w:rPr>
      </w:pPr>
      <w:r>
        <w:rPr>
          <w:rFonts w:ascii="Arial" w:cs="Arial" w:eastAsia="Arial" w:hAnsi="Arial"/>
          <w:sz w:val="14"/>
          <w:szCs w:val="14"/>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05" w:lineRule="exact"/>
        <w:rPr>
          <w:rFonts w:ascii="Arial" w:cs="Arial" w:eastAsia="Arial" w:hAnsi="Arial"/>
          <w:sz w:val="14"/>
          <w:szCs w:val="14"/>
          <w:color w:val="auto"/>
        </w:rPr>
      </w:pPr>
    </w:p>
    <w:p>
      <w:pPr>
        <w:ind w:firstLine="1143"/>
        <w:spacing w:after="0" w:line="275" w:lineRule="auto"/>
        <w:tabs>
          <w:tab w:leader="none" w:pos="136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the voluntary or involuntary liquidation, dissolution or winding up of the Corporation, the net assets of the Corporation shall be distributed pro rata to the holders of the Common Stock.</w:t>
      </w:r>
    </w:p>
    <w:p>
      <w:pPr>
        <w:spacing w:after="0" w:line="151" w:lineRule="exact"/>
        <w:rPr>
          <w:rFonts w:ascii="Arial" w:cs="Arial" w:eastAsia="Arial" w:hAnsi="Arial"/>
          <w:sz w:val="16"/>
          <w:szCs w:val="16"/>
          <w:color w:val="auto"/>
        </w:rPr>
      </w:pPr>
    </w:p>
    <w:p>
      <w:pPr>
        <w:ind w:left="4360" w:hanging="190"/>
        <w:spacing w:after="0"/>
        <w:tabs>
          <w:tab w:leader="none" w:pos="436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UNDESIGNATED PREFERRED STOCK</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STOCKHOLDER ACTION</w:t>
      </w:r>
    </w:p>
    <w:p>
      <w:pPr>
        <w:spacing w:after="0" w:line="198" w:lineRule="exact"/>
        <w:rPr>
          <w:sz w:val="20"/>
          <w:szCs w:val="20"/>
          <w:color w:val="auto"/>
        </w:rPr>
      </w:pPr>
    </w:p>
    <w:p>
      <w:pPr>
        <w:jc w:val="both"/>
        <w:ind w:firstLine="569"/>
        <w:spacing w:after="0" w:line="274" w:lineRule="auto"/>
        <w:tabs>
          <w:tab w:leader="none" w:pos="745"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Action without Meeting</w:t>
      </w:r>
      <w:r>
        <w:rPr>
          <w:rFonts w:ascii="Arial" w:cs="Arial" w:eastAsia="Arial" w:hAnsi="Arial"/>
          <w:sz w:val="15"/>
          <w:szCs w:val="15"/>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1" w:name="page112"/>
    <w:bookmarkEnd w:id="111"/>
    <w:p>
      <w:pPr>
        <w:jc w:val="both"/>
        <w:ind w:right="20" w:firstLine="569"/>
        <w:spacing w:after="0" w:line="274" w:lineRule="auto"/>
        <w:tabs>
          <w:tab w:leader="none" w:pos="745" w:val="left"/>
        </w:tabs>
        <w:numPr>
          <w:ilvl w:val="0"/>
          <w:numId w:val="108"/>
        </w:numPr>
        <w:rPr>
          <w:rFonts w:ascii="Arial" w:cs="Arial" w:eastAsia="Arial" w:hAnsi="Arial"/>
          <w:sz w:val="15"/>
          <w:szCs w:val="15"/>
          <w:color w:val="auto"/>
        </w:rPr>
      </w:pPr>
      <w:r>
        <w:rPr>
          <w:rFonts w:ascii="Arial" w:cs="Arial" w:eastAsia="Arial" w:hAnsi="Arial"/>
          <w:sz w:val="15"/>
          <w:szCs w:val="15"/>
          <w:u w:val="single" w:color="auto"/>
          <w:color w:val="auto"/>
        </w:rPr>
        <w:t>Special Meetings</w:t>
      </w:r>
      <w:r>
        <w:rPr>
          <w:rFonts w:ascii="Arial" w:cs="Arial" w:eastAsia="Arial" w:hAnsi="Arial"/>
          <w:sz w:val="15"/>
          <w:szCs w:val="15"/>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DIRECTORS</w:t>
      </w:r>
    </w:p>
    <w:p>
      <w:pPr>
        <w:spacing w:after="0" w:line="198" w:lineRule="exact"/>
        <w:rPr>
          <w:sz w:val="20"/>
          <w:szCs w:val="20"/>
          <w:color w:val="auto"/>
        </w:rPr>
      </w:pPr>
    </w:p>
    <w:p>
      <w:pPr>
        <w:ind w:right="20" w:firstLine="569"/>
        <w:spacing w:after="0" w:line="275" w:lineRule="auto"/>
        <w:tabs>
          <w:tab w:leader="none" w:pos="73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business and affairs of the Corporation shall be managed by or under the direction of the Board of Directors except as otherwise provided herein or required by law.</w:t>
      </w:r>
    </w:p>
    <w:p>
      <w:pPr>
        <w:spacing w:after="0" w:line="151" w:lineRule="exact"/>
        <w:rPr>
          <w:rFonts w:ascii="Arial" w:cs="Arial" w:eastAsia="Arial" w:hAnsi="Arial"/>
          <w:sz w:val="16"/>
          <w:szCs w:val="16"/>
          <w:color w:val="auto"/>
        </w:rPr>
      </w:pPr>
    </w:p>
    <w:p>
      <w:pPr>
        <w:ind w:left="720" w:hanging="151"/>
        <w:spacing w:after="0"/>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Election of Directors need not be by written ballot unless the By-laws of the Corporation (the “By-laws”) shall so provide.</w:t>
      </w:r>
    </w:p>
    <w:p>
      <w:pPr>
        <w:spacing w:after="0" w:line="198" w:lineRule="exact"/>
        <w:rPr>
          <w:rFonts w:ascii="Arial" w:cs="Arial" w:eastAsia="Arial" w:hAnsi="Arial"/>
          <w:sz w:val="16"/>
          <w:szCs w:val="16"/>
          <w:color w:val="auto"/>
        </w:rPr>
      </w:pPr>
    </w:p>
    <w:p>
      <w:pPr>
        <w:jc w:val="both"/>
        <w:ind w:firstLine="569"/>
        <w:spacing w:after="0" w:line="271" w:lineRule="auto"/>
        <w:tabs>
          <w:tab w:leader="none" w:pos="733"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Number of Directors; Term of Office</w:t>
      </w:r>
      <w:r>
        <w:rPr>
          <w:rFonts w:ascii="Arial" w:cs="Arial" w:eastAsia="Arial" w:hAnsi="Arial"/>
          <w:sz w:val="15"/>
          <w:szCs w:val="15"/>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__________________; the initial Class II Directors of the Corporation shall be _____________________; and the initial Class III Directors of the Corporation shall be _______________.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2" w:name="page113"/>
    <w:bookmarkEnd w:id="112"/>
    <w:p>
      <w:pPr>
        <w:jc w:val="both"/>
        <w:ind w:firstLine="574"/>
        <w:spacing w:after="0" w:line="258" w:lineRule="auto"/>
        <w:rPr>
          <w:sz w:val="20"/>
          <w:szCs w:val="20"/>
          <w:color w:val="auto"/>
        </w:rPr>
      </w:pPr>
      <w:r>
        <w:rPr>
          <w:rFonts w:ascii="Arial" w:cs="Arial" w:eastAsia="Arial" w:hAnsi="Arial"/>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p>
    <w:p>
      <w:pPr>
        <w:spacing w:after="0" w:line="162" w:lineRule="exact"/>
        <w:rPr>
          <w:sz w:val="20"/>
          <w:szCs w:val="20"/>
          <w:color w:val="auto"/>
        </w:rPr>
      </w:pPr>
    </w:p>
    <w:p>
      <w:pPr>
        <w:jc w:val="both"/>
        <w:ind w:firstLine="569"/>
        <w:spacing w:after="0" w:line="270" w:lineRule="auto"/>
        <w:tabs>
          <w:tab w:leader="none" w:pos="733"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Vacancies</w:t>
      </w:r>
      <w:r>
        <w:rPr>
          <w:rFonts w:ascii="Arial" w:cs="Arial" w:eastAsia="Arial" w:hAnsi="Arial"/>
          <w:sz w:val="15"/>
          <w:szCs w:val="15"/>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62" w:lineRule="exact"/>
        <w:rPr>
          <w:rFonts w:ascii="Arial" w:cs="Arial" w:eastAsia="Arial" w:hAnsi="Arial"/>
          <w:sz w:val="15"/>
          <w:szCs w:val="15"/>
          <w:color w:val="auto"/>
        </w:rPr>
      </w:pPr>
    </w:p>
    <w:p>
      <w:pPr>
        <w:jc w:val="both"/>
        <w:ind w:firstLine="569"/>
        <w:spacing w:after="0" w:line="276" w:lineRule="auto"/>
        <w:tabs>
          <w:tab w:leader="none" w:pos="733"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Removal</w:t>
      </w:r>
      <w:r>
        <w:rPr>
          <w:rFonts w:ascii="Arial" w:cs="Arial" w:eastAsia="Arial" w:hAnsi="Arial"/>
          <w:sz w:val="15"/>
          <w:szCs w:val="15"/>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color w:val="auto"/>
        </w:rPr>
        <w:t>ARTICLE VII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LIMITATION OF LIABILITY</w:t>
      </w:r>
    </w:p>
    <w:p>
      <w:pPr>
        <w:spacing w:after="0" w:line="198" w:lineRule="exact"/>
        <w:rPr>
          <w:sz w:val="20"/>
          <w:szCs w:val="20"/>
          <w:color w:val="auto"/>
        </w:rPr>
      </w:pPr>
    </w:p>
    <w:p>
      <w:pPr>
        <w:jc w:val="both"/>
        <w:ind w:firstLine="569"/>
        <w:spacing w:after="0" w:line="276" w:lineRule="auto"/>
        <w:tabs>
          <w:tab w:leader="none" w:pos="72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5" w:lineRule="exact"/>
        <w:rPr>
          <w:rFonts w:ascii="Arial" w:cs="Arial" w:eastAsia="Arial" w:hAnsi="Arial"/>
          <w:sz w:val="15"/>
          <w:szCs w:val="15"/>
          <w:color w:val="auto"/>
        </w:rPr>
      </w:pPr>
    </w:p>
    <w:p>
      <w:pPr>
        <w:jc w:val="both"/>
        <w:ind w:firstLine="569"/>
        <w:spacing w:after="0" w:line="262" w:lineRule="auto"/>
        <w:tabs>
          <w:tab w:leader="none" w:pos="72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75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VIII</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AMENDMENT OF BY-LAWS</w:t>
      </w:r>
    </w:p>
    <w:p>
      <w:pPr>
        <w:spacing w:after="0" w:line="198" w:lineRule="exact"/>
        <w:rPr>
          <w:sz w:val="20"/>
          <w:szCs w:val="20"/>
          <w:color w:val="auto"/>
        </w:rPr>
      </w:pPr>
    </w:p>
    <w:p>
      <w:pPr>
        <w:ind w:firstLine="569"/>
        <w:spacing w:after="0" w:line="275" w:lineRule="auto"/>
        <w:tabs>
          <w:tab w:leader="none" w:pos="745"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by Directors</w:t>
      </w:r>
      <w:r>
        <w:rPr>
          <w:rFonts w:ascii="Arial" w:cs="Arial" w:eastAsia="Arial" w:hAnsi="Arial"/>
          <w:sz w:val="16"/>
          <w:szCs w:val="16"/>
          <w:color w:val="auto"/>
        </w:rPr>
        <w:t>. Except as otherwise provided by law, the By-laws of the Corporation may be amended or repealed by the Board of Directors by the affirmative vote of a majority of the Directors then in office.</w:t>
      </w:r>
    </w:p>
    <w:p>
      <w:pPr>
        <w:spacing w:after="0" w:line="151" w:lineRule="exact"/>
        <w:rPr>
          <w:rFonts w:ascii="Arial" w:cs="Arial" w:eastAsia="Arial" w:hAnsi="Arial"/>
          <w:sz w:val="16"/>
          <w:szCs w:val="16"/>
          <w:color w:val="auto"/>
        </w:rPr>
      </w:pPr>
    </w:p>
    <w:p>
      <w:pPr>
        <w:jc w:val="both"/>
        <w:ind w:firstLine="569"/>
        <w:spacing w:after="0" w:line="255" w:lineRule="auto"/>
        <w:tabs>
          <w:tab w:leader="none" w:pos="75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color w:val="auto"/>
        </w:rPr>
        <w:t>ARTICLE IX</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AMENDMENT OF CERTIFICATE OF INCORPORATION</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BUSINESS COMBINATIONS</w:t>
      </w:r>
    </w:p>
    <w:p>
      <w:pPr>
        <w:spacing w:after="0" w:line="198" w:lineRule="exact"/>
        <w:rPr>
          <w:sz w:val="20"/>
          <w:szCs w:val="20"/>
          <w:color w:val="auto"/>
        </w:rPr>
      </w:pPr>
    </w:p>
    <w:p>
      <w:pPr>
        <w:ind w:left="720" w:hanging="151"/>
        <w:spacing w:after="0"/>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Opt Out of DGCL 203</w:t>
      </w:r>
      <w:r>
        <w:rPr>
          <w:rFonts w:ascii="Arial" w:cs="Arial" w:eastAsia="Arial" w:hAnsi="Arial"/>
          <w:sz w:val="16"/>
          <w:szCs w:val="16"/>
          <w:color w:val="auto"/>
        </w:rPr>
        <w:t>. The Corporation shall not be governed by Section 203 of the DGCL.</w:t>
      </w:r>
    </w:p>
    <w:p>
      <w:pPr>
        <w:spacing w:after="0" w:line="198" w:lineRule="exact"/>
        <w:rPr>
          <w:rFonts w:ascii="Arial" w:cs="Arial" w:eastAsia="Arial" w:hAnsi="Arial"/>
          <w:sz w:val="16"/>
          <w:szCs w:val="16"/>
          <w:color w:val="auto"/>
        </w:rPr>
      </w:pPr>
    </w:p>
    <w:p>
      <w:pPr>
        <w:jc w:val="both"/>
        <w:ind w:firstLine="569"/>
        <w:spacing w:after="0" w:line="255" w:lineRule="auto"/>
        <w:tabs>
          <w:tab w:leader="none" w:pos="757"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Excluded Opportunity</w:t>
      </w:r>
      <w:r>
        <w:rPr>
          <w:rFonts w:ascii="Arial" w:cs="Arial" w:eastAsia="Arial" w:hAnsi="Arial"/>
          <w:sz w:val="16"/>
          <w:szCs w:val="16"/>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6"/>
          <w:szCs w:val="16"/>
          <w:u w:val="single" w:color="auto"/>
          <w:color w:val="auto"/>
        </w:rPr>
        <w:t>Covered Person</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360"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6"/>
          <w:szCs w:val="16"/>
          <w:color w:val="auto"/>
        </w:rPr>
        <w:t>*   *   *</w:t>
      </w:r>
    </w:p>
    <w:p>
      <w:pPr>
        <w:spacing w:after="0" w:line="29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THIS SECOND AMENDED AND RESTATED CERTIFICATE OF INCORPORATION is executed as of this ____ day of __________, 2021.</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TANGO THERAPEUTICS,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5080</wp:posOffset>
            </wp:positionV>
            <wp:extent cx="242824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31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724"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F</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AMENDED AND RESTATED</w:t>
      </w:r>
    </w:p>
    <w:p>
      <w:pPr>
        <w:spacing w:after="0" w:line="210"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BY-LAWS</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OF</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BCTG ACQUISITION CORP.</w:t>
      </w: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2759710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529"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u w:val="single" w:color="auto"/>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Stockholders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Annual Meeting</w:t>
      </w:r>
      <w:r>
        <w:rPr>
          <w:rFonts w:ascii="Arial" w:cs="Arial" w:eastAsia="Arial" w:hAnsi="Arial"/>
          <w:sz w:val="15"/>
          <w:szCs w:val="15"/>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2. Notice of Stockholder Business and Nominations.</w:t>
      </w:r>
    </w:p>
    <w:p>
      <w:pPr>
        <w:spacing w:after="0" w:line="198" w:lineRule="exact"/>
        <w:rPr>
          <w:sz w:val="20"/>
          <w:szCs w:val="20"/>
          <w:color w:val="auto"/>
        </w:rPr>
      </w:pPr>
    </w:p>
    <w:p>
      <w:pPr>
        <w:ind w:left="780" w:hanging="211"/>
        <w:spacing w:after="0"/>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560" w:firstLine="583"/>
        <w:spacing w:after="0" w:line="252" w:lineRule="auto"/>
        <w:tabs>
          <w:tab w:leader="none" w:pos="136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8" w:name="page119"/>
    <w:bookmarkEnd w:id="118"/>
    <w:p>
      <w:pPr>
        <w:jc w:val="both"/>
        <w:ind w:left="-560" w:firstLine="583"/>
        <w:spacing w:after="0" w:line="289" w:lineRule="auto"/>
        <w:tabs>
          <w:tab w:leader="none" w:pos="24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53" w:lineRule="exact"/>
        <w:rPr>
          <w:rFonts w:ascii="Arial" w:cs="Arial" w:eastAsia="Arial" w:hAnsi="Arial"/>
          <w:sz w:val="14"/>
          <w:szCs w:val="14"/>
          <w:color w:val="auto"/>
        </w:rPr>
      </w:pPr>
    </w:p>
    <w:p>
      <w:pPr>
        <w:jc w:val="both"/>
        <w:ind w:left="20" w:firstLine="576"/>
        <w:spacing w:after="0" w:line="258" w:lineRule="auto"/>
        <w:tabs>
          <w:tab w:leader="none" w:pos="859"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64" w:lineRule="exact"/>
        <w:rPr>
          <w:rFonts w:ascii="Arial" w:cs="Arial" w:eastAsia="Arial" w:hAnsi="Arial"/>
          <w:sz w:val="16"/>
          <w:szCs w:val="16"/>
          <w:color w:val="auto"/>
        </w:rPr>
      </w:pPr>
    </w:p>
    <w:p>
      <w:pPr>
        <w:ind w:left="20" w:right="20" w:firstLine="576"/>
        <w:spacing w:after="0" w:line="349" w:lineRule="auto"/>
        <w:tabs>
          <w:tab w:leader="none" w:pos="847" w:val="left"/>
        </w:tabs>
        <w:numPr>
          <w:ilvl w:val="1"/>
          <w:numId w:val="115"/>
        </w:numPr>
        <w:rPr>
          <w:rFonts w:ascii="Arial" w:cs="Arial" w:eastAsia="Arial" w:hAnsi="Arial"/>
          <w:sz w:val="14"/>
          <w:szCs w:val="14"/>
          <w:color w:val="auto"/>
        </w:rPr>
      </w:pPr>
      <w:r>
        <w:rPr>
          <w:rFonts w:ascii="Arial" w:cs="Arial" w:eastAsia="Arial" w:hAnsi="Arial"/>
          <w:sz w:val="14"/>
          <w:szCs w:val="14"/>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20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119" w:name="page120"/>
    <w:bookmarkEnd w:id="119"/>
    <w:p>
      <w:pPr>
        <w:jc w:val="both"/>
        <w:ind w:left="20" w:firstLine="576"/>
        <w:spacing w:after="0" w:line="288" w:lineRule="auto"/>
        <w:tabs>
          <w:tab w:leader="none" w:pos="8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51" w:lineRule="exact"/>
        <w:rPr>
          <w:rFonts w:ascii="Arial" w:cs="Arial" w:eastAsia="Arial" w:hAnsi="Arial"/>
          <w:sz w:val="14"/>
          <w:szCs w:val="14"/>
          <w:color w:val="auto"/>
        </w:rPr>
      </w:pPr>
    </w:p>
    <w:p>
      <w:pPr>
        <w:jc w:val="both"/>
        <w:ind w:left="20" w:right="20" w:firstLine="576"/>
        <w:spacing w:after="0" w:line="274" w:lineRule="auto"/>
        <w:tabs>
          <w:tab w:leader="none" w:pos="85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56" w:lineRule="exact"/>
        <w:rPr>
          <w:rFonts w:ascii="Arial" w:cs="Arial" w:eastAsia="Arial" w:hAnsi="Arial"/>
          <w:sz w:val="15"/>
          <w:szCs w:val="15"/>
          <w:color w:val="auto"/>
        </w:rPr>
      </w:pPr>
    </w:p>
    <w:p>
      <w:pPr>
        <w:jc w:val="both"/>
        <w:ind w:left="20" w:right="20" w:firstLine="576"/>
        <w:spacing w:after="0" w:line="255" w:lineRule="auto"/>
        <w:tabs>
          <w:tab w:leader="none" w:pos="83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26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120" w:name="page121"/>
    <w:bookmarkEnd w:id="120"/>
    <w:p>
      <w:pPr>
        <w:jc w:val="both"/>
        <w:ind w:firstLine="574"/>
        <w:spacing w:after="0" w:line="291" w:lineRule="auto"/>
        <w:rPr>
          <w:sz w:val="20"/>
          <w:szCs w:val="20"/>
          <w:color w:val="auto"/>
        </w:rPr>
      </w:pPr>
      <w:r>
        <w:rPr>
          <w:rFonts w:ascii="Arial" w:cs="Arial" w:eastAsia="Arial" w:hAnsi="Arial"/>
          <w:sz w:val="14"/>
          <w:szCs w:val="14"/>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47" w:lineRule="exact"/>
        <w:rPr>
          <w:sz w:val="20"/>
          <w:szCs w:val="20"/>
          <w:color w:val="auto"/>
        </w:rPr>
      </w:pPr>
    </w:p>
    <w:p>
      <w:pPr>
        <w:jc w:val="both"/>
        <w:ind w:firstLine="583"/>
        <w:spacing w:after="0" w:line="253" w:lineRule="auto"/>
        <w:tabs>
          <w:tab w:leader="none" w:pos="79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71" w:lineRule="exact"/>
        <w:rPr>
          <w:rFonts w:ascii="Arial" w:cs="Arial" w:eastAsia="Arial" w:hAnsi="Arial"/>
          <w:sz w:val="16"/>
          <w:szCs w:val="16"/>
          <w:color w:val="auto"/>
        </w:rPr>
      </w:pPr>
    </w:p>
    <w:p>
      <w:pPr>
        <w:jc w:val="both"/>
        <w:ind w:firstLine="583"/>
        <w:spacing w:after="0" w:line="274" w:lineRule="auto"/>
        <w:tabs>
          <w:tab w:leader="none" w:pos="80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21" w:name="page122"/>
    <w:bookmarkEnd w:id="121"/>
    <w:p>
      <w:pPr>
        <w:ind w:left="231" w:hanging="231"/>
        <w:spacing w:after="0"/>
        <w:tabs>
          <w:tab w:leader="none" w:pos="23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9" w:right="20" w:firstLine="583"/>
        <w:spacing w:after="0" w:line="271" w:lineRule="auto"/>
        <w:tabs>
          <w:tab w:leader="none" w:pos="802" w:val="left"/>
        </w:tabs>
        <w:numPr>
          <w:ilvl w:val="1"/>
          <w:numId w:val="118"/>
        </w:numPr>
        <w:rPr>
          <w:rFonts w:ascii="Arial" w:cs="Arial" w:eastAsia="Arial" w:hAnsi="Arial"/>
          <w:sz w:val="15"/>
          <w:szCs w:val="15"/>
          <w:color w:val="auto"/>
        </w:rPr>
      </w:pPr>
      <w:r>
        <w:rPr>
          <w:rFonts w:ascii="Arial" w:cs="Arial" w:eastAsia="Arial" w:hAnsi="Arial"/>
          <w:sz w:val="15"/>
          <w:szCs w:val="15"/>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59" w:lineRule="exact"/>
        <w:rPr>
          <w:rFonts w:ascii="Arial" w:cs="Arial" w:eastAsia="Arial" w:hAnsi="Arial"/>
          <w:sz w:val="15"/>
          <w:szCs w:val="15"/>
          <w:color w:val="auto"/>
        </w:rPr>
      </w:pPr>
    </w:p>
    <w:p>
      <w:pPr>
        <w:jc w:val="both"/>
        <w:ind w:left="-9" w:right="20" w:firstLine="583"/>
        <w:spacing w:after="0" w:line="262" w:lineRule="auto"/>
        <w:tabs>
          <w:tab w:leader="none" w:pos="79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62" w:lineRule="exact"/>
        <w:rPr>
          <w:rFonts w:ascii="Arial" w:cs="Arial" w:eastAsia="Arial" w:hAnsi="Arial"/>
          <w:sz w:val="16"/>
          <w:szCs w:val="16"/>
          <w:color w:val="auto"/>
        </w:rPr>
      </w:pPr>
    </w:p>
    <w:p>
      <w:pPr>
        <w:jc w:val="both"/>
        <w:ind w:left="-9" w:firstLine="583"/>
        <w:spacing w:after="0" w:line="274" w:lineRule="auto"/>
        <w:tabs>
          <w:tab w:leader="none" w:pos="809" w:val="left"/>
        </w:tabs>
        <w:numPr>
          <w:ilvl w:val="1"/>
          <w:numId w:val="118"/>
        </w:numPr>
        <w:rPr>
          <w:rFonts w:ascii="Arial" w:cs="Arial" w:eastAsia="Arial" w:hAnsi="Arial"/>
          <w:sz w:val="15"/>
          <w:szCs w:val="15"/>
          <w:color w:val="auto"/>
        </w:rPr>
      </w:pPr>
      <w:r>
        <w:rPr>
          <w:rFonts w:ascii="Arial" w:cs="Arial" w:eastAsia="Arial" w:hAnsi="Arial"/>
          <w:sz w:val="15"/>
          <w:szCs w:val="15"/>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56" w:lineRule="exact"/>
        <w:rPr>
          <w:rFonts w:ascii="Arial" w:cs="Arial" w:eastAsia="Arial" w:hAnsi="Arial"/>
          <w:sz w:val="15"/>
          <w:szCs w:val="15"/>
          <w:color w:val="auto"/>
        </w:rPr>
      </w:pPr>
    </w:p>
    <w:p>
      <w:pPr>
        <w:jc w:val="both"/>
        <w:ind w:left="-9" w:firstLine="583"/>
        <w:spacing w:after="0" w:line="262" w:lineRule="auto"/>
        <w:tabs>
          <w:tab w:leader="none" w:pos="79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2" w:lineRule="exact"/>
        <w:rPr>
          <w:rFonts w:ascii="Arial" w:cs="Arial" w:eastAsia="Arial" w:hAnsi="Arial"/>
          <w:sz w:val="16"/>
          <w:szCs w:val="16"/>
          <w:color w:val="auto"/>
        </w:rPr>
      </w:pPr>
    </w:p>
    <w:p>
      <w:pPr>
        <w:jc w:val="both"/>
        <w:ind w:left="-9" w:right="20" w:firstLine="583"/>
        <w:spacing w:after="0" w:line="255" w:lineRule="auto"/>
        <w:tabs>
          <w:tab w:leader="none" w:pos="80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265"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122" w:name="page123"/>
    <w:bookmarkEnd w:id="122"/>
    <w:p>
      <w:pPr>
        <w:jc w:val="both"/>
        <w:ind w:right="20" w:firstLine="574"/>
        <w:spacing w:after="0" w:line="25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4. Notice of Meetings; Adjournments.</w:t>
      </w:r>
    </w:p>
    <w:p>
      <w:pPr>
        <w:spacing w:after="0" w:line="198" w:lineRule="exact"/>
        <w:rPr>
          <w:sz w:val="20"/>
          <w:szCs w:val="20"/>
          <w:color w:val="auto"/>
        </w:rPr>
      </w:pPr>
    </w:p>
    <w:p>
      <w:pPr>
        <w:jc w:val="both"/>
        <w:ind w:firstLine="569"/>
        <w:spacing w:after="0" w:line="301" w:lineRule="auto"/>
        <w:tabs>
          <w:tab w:leader="none" w:pos="8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137" w:lineRule="exact"/>
        <w:rPr>
          <w:rFonts w:ascii="Arial" w:cs="Arial" w:eastAsia="Arial" w:hAnsi="Arial"/>
          <w:sz w:val="14"/>
          <w:szCs w:val="14"/>
          <w:color w:val="auto"/>
        </w:rPr>
      </w:pPr>
    </w:p>
    <w:p>
      <w:pPr>
        <w:ind w:right="20" w:firstLine="569"/>
        <w:spacing w:after="0" w:line="275" w:lineRule="auto"/>
        <w:tabs>
          <w:tab w:leader="none" w:pos="81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51" w:lineRule="exact"/>
        <w:rPr>
          <w:rFonts w:ascii="Arial" w:cs="Arial" w:eastAsia="Arial" w:hAnsi="Arial"/>
          <w:sz w:val="16"/>
          <w:szCs w:val="16"/>
          <w:color w:val="auto"/>
        </w:rPr>
      </w:pPr>
    </w:p>
    <w:p>
      <w:pPr>
        <w:jc w:val="both"/>
        <w:ind w:right="20" w:firstLine="569"/>
        <w:spacing w:after="0" w:line="287" w:lineRule="auto"/>
        <w:tabs>
          <w:tab w:leader="none" w:pos="81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46" w:lineRule="exact"/>
        <w:rPr>
          <w:rFonts w:ascii="Arial" w:cs="Arial" w:eastAsia="Arial" w:hAnsi="Arial"/>
          <w:sz w:val="15"/>
          <w:szCs w:val="15"/>
          <w:color w:val="auto"/>
        </w:rPr>
      </w:pPr>
    </w:p>
    <w:p>
      <w:pPr>
        <w:jc w:val="both"/>
        <w:ind w:right="20" w:firstLine="569"/>
        <w:spacing w:after="0" w:line="258" w:lineRule="auto"/>
        <w:tabs>
          <w:tab w:leader="none" w:pos="81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3" w:name="page124"/>
    <w:bookmarkEnd w:id="123"/>
    <w:p>
      <w:pPr>
        <w:jc w:val="both"/>
        <w:ind w:left="4" w:firstLine="569"/>
        <w:spacing w:after="0" w:line="288" w:lineRule="auto"/>
        <w:tabs>
          <w:tab w:leader="none" w:pos="794" w:val="left"/>
        </w:tabs>
        <w:numPr>
          <w:ilvl w:val="1"/>
          <w:numId w:val="120"/>
        </w:numPr>
        <w:rPr>
          <w:rFonts w:ascii="Arial" w:cs="Arial" w:eastAsia="Arial" w:hAnsi="Arial"/>
          <w:sz w:val="14"/>
          <w:szCs w:val="14"/>
          <w:color w:val="auto"/>
        </w:rPr>
      </w:pPr>
      <w:r>
        <w:rPr>
          <w:rFonts w:ascii="Arial" w:cs="Arial" w:eastAsia="Arial" w:hAnsi="Arial"/>
          <w:sz w:val="14"/>
          <w:szCs w:val="14"/>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w:t>
      </w:r>
    </w:p>
    <w:p>
      <w:pPr>
        <w:jc w:val="both"/>
        <w:ind w:left="4" w:right="20" w:hanging="4"/>
        <w:spacing w:after="0" w:line="252" w:lineRule="auto"/>
        <w:tabs>
          <w:tab w:leader="none" w:pos="32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71" w:lineRule="exact"/>
        <w:rPr>
          <w:sz w:val="20"/>
          <w:szCs w:val="20"/>
          <w:color w:val="auto"/>
        </w:rPr>
      </w:pPr>
    </w:p>
    <w:p>
      <w:pPr>
        <w:jc w:val="both"/>
        <w:ind w:left="4" w:firstLine="574"/>
        <w:spacing w:after="0" w:line="301"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Quorum</w:t>
      </w:r>
      <w:r>
        <w:rPr>
          <w:rFonts w:ascii="Arial" w:cs="Arial" w:eastAsia="Arial" w:hAnsi="Arial"/>
          <w:sz w:val="14"/>
          <w:szCs w:val="14"/>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38" w:lineRule="exact"/>
        <w:rPr>
          <w:sz w:val="20"/>
          <w:szCs w:val="20"/>
          <w:color w:val="auto"/>
        </w:rPr>
      </w:pPr>
    </w:p>
    <w:p>
      <w:pPr>
        <w:jc w:val="both"/>
        <w:ind w:left="4" w:firstLine="574"/>
        <w:spacing w:after="0" w:line="271"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Voting and Proxies</w:t>
      </w:r>
      <w:r>
        <w:rPr>
          <w:rFonts w:ascii="Arial" w:cs="Arial" w:eastAsia="Arial" w:hAnsi="Arial"/>
          <w:sz w:val="15"/>
          <w:szCs w:val="15"/>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2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124" w:name="page125"/>
    <w:bookmarkEnd w:id="124"/>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Action at Meeting</w:t>
      </w:r>
      <w:r>
        <w:rPr>
          <w:rFonts w:ascii="Arial" w:cs="Arial" w:eastAsia="Arial" w:hAnsi="Arial"/>
          <w:sz w:val="15"/>
          <w:szCs w:val="15"/>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Stockholder Lists</w:t>
      </w:r>
      <w:r>
        <w:rPr>
          <w:rFonts w:ascii="Arial" w:cs="Arial" w:eastAsia="Arial" w:hAnsi="Arial"/>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70"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Presiding Officer</w:t>
      </w:r>
      <w:r>
        <w:rPr>
          <w:rFonts w:ascii="Arial" w:cs="Arial" w:eastAsia="Arial" w:hAnsi="Arial"/>
          <w:sz w:val="15"/>
          <w:szCs w:val="15"/>
          <w:color w:val="auto"/>
        </w:rPr>
        <w:t>. The Board of Directors shall designate a representative to preside over all Annual Meetings or special meetings of stockholders, provide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56"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Inspectors of Elections</w:t>
      </w:r>
      <w:r>
        <w:rPr>
          <w:rFonts w:ascii="Arial" w:cs="Arial" w:eastAsia="Arial" w:hAnsi="Arial"/>
          <w:sz w:val="15"/>
          <w:szCs w:val="15"/>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u w:val="single" w:color="auto"/>
          <w:color w:val="auto"/>
        </w:rPr>
        <w:t>ARTICLE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Directors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and affairs of the Corporation shall be managed by or under the direction of the Board of Directors except as otherwise provided by the Certificate or required by law.</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and Terms</w:t>
      </w:r>
      <w:r>
        <w:rPr>
          <w:rFonts w:ascii="Arial" w:cs="Arial" w:eastAsia="Arial" w:hAnsi="Arial"/>
          <w:sz w:val="16"/>
          <w:szCs w:val="16"/>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director need be a stockholder of the Corporation.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in the Board of Directors shall be filled in the manner provided in the Certificate.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Removal</w:t>
      </w:r>
      <w:r>
        <w:rPr>
          <w:rFonts w:ascii="Arial" w:cs="Arial" w:eastAsia="Arial" w:hAnsi="Arial"/>
          <w:sz w:val="16"/>
          <w:szCs w:val="16"/>
          <w:color w:val="auto"/>
        </w:rPr>
        <w:t>. Directors may be removed from office only in the manner provided in the Certificate.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Resignation</w:t>
      </w:r>
      <w:r>
        <w:rPr>
          <w:rFonts w:ascii="Arial" w:cs="Arial" w:eastAsia="Arial" w:hAnsi="Arial"/>
          <w:sz w:val="16"/>
          <w:szCs w:val="16"/>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(including any annual meeting)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6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Special Meetings</w:t>
      </w:r>
      <w:r>
        <w:rPr>
          <w:rFonts w:ascii="Arial" w:cs="Arial" w:eastAsia="Arial" w:hAnsi="Arial"/>
          <w:sz w:val="14"/>
          <w:szCs w:val="14"/>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6" w:name="page127"/>
    <w:bookmarkEnd w:id="126"/>
    <w:p>
      <w:pPr>
        <w:jc w:val="both"/>
        <w:ind w:firstLine="574"/>
        <w:spacing w:after="0" w:line="291"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Notice of Meetings</w:t>
      </w:r>
      <w:r>
        <w:rPr>
          <w:rFonts w:ascii="Arial" w:cs="Arial" w:eastAsia="Arial" w:hAnsi="Arial"/>
          <w:sz w:val="14"/>
          <w:szCs w:val="14"/>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4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Quorum</w:t>
      </w:r>
      <w:r>
        <w:rPr>
          <w:rFonts w:ascii="Arial" w:cs="Arial" w:eastAsia="Arial" w:hAnsi="Arial"/>
          <w:sz w:val="15"/>
          <w:szCs w:val="15"/>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Action at Meeting</w:t>
      </w:r>
      <w:r>
        <w:rPr>
          <w:rFonts w:ascii="Arial" w:cs="Arial" w:eastAsia="Arial" w:hAnsi="Arial"/>
          <w:sz w:val="16"/>
          <w:szCs w:val="16"/>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52"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Action by Consent</w:t>
      </w:r>
      <w:r>
        <w:rPr>
          <w:rFonts w:ascii="Arial" w:cs="Arial" w:eastAsia="Arial" w:hAnsi="Arial"/>
          <w:sz w:val="15"/>
          <w:szCs w:val="15"/>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5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Manner of Participation</w:t>
      </w:r>
      <w:r>
        <w:rPr>
          <w:rFonts w:ascii="Arial" w:cs="Arial" w:eastAsia="Arial" w:hAnsi="Arial"/>
          <w:sz w:val="16"/>
          <w:szCs w:val="16"/>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7" w:name="page128"/>
    <w:bookmarkEnd w:id="127"/>
    <w:p>
      <w:pPr>
        <w:jc w:val="both"/>
        <w:ind w:right="20" w:firstLine="574"/>
        <w:spacing w:after="0" w:line="306"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Presiding Director</w:t>
      </w:r>
      <w:r>
        <w:rPr>
          <w:rFonts w:ascii="Arial" w:cs="Arial" w:eastAsia="Arial" w:hAnsi="Arial"/>
          <w:sz w:val="14"/>
          <w:szCs w:val="14"/>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3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Committees</w:t>
      </w:r>
      <w:r>
        <w:rPr>
          <w:rFonts w:ascii="Arial" w:cs="Arial" w:eastAsia="Arial" w:hAnsi="Arial"/>
          <w:sz w:val="15"/>
          <w:szCs w:val="15"/>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5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Officers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Election</w:t>
      </w:r>
      <w:r>
        <w:rPr>
          <w:rFonts w:ascii="Arial" w:cs="Arial" w:eastAsia="Arial" w:hAnsi="Arial"/>
          <w:sz w:val="16"/>
          <w:szCs w:val="16"/>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8" w:name="page129"/>
    <w:bookmarkEnd w:id="128"/>
    <w:p>
      <w:pPr>
        <w:ind w:left="5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 time.</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Tenure</w:t>
      </w:r>
      <w:r>
        <w:rPr>
          <w:rFonts w:ascii="Arial" w:cs="Arial" w:eastAsia="Arial" w:hAnsi="Arial"/>
          <w:sz w:val="16"/>
          <w:szCs w:val="16"/>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Resignation</w:t>
      </w:r>
      <w:r>
        <w:rPr>
          <w:rFonts w:ascii="Arial" w:cs="Arial" w:eastAsia="Arial" w:hAnsi="Arial"/>
          <w:sz w:val="16"/>
          <w:szCs w:val="16"/>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Removal</w:t>
      </w:r>
      <w:r>
        <w:rPr>
          <w:rFonts w:ascii="Arial" w:cs="Arial" w:eastAsia="Arial" w:hAnsi="Arial"/>
          <w:sz w:val="16"/>
          <w:szCs w:val="16"/>
          <w:color w:val="auto"/>
        </w:rPr>
        <w:t>. Except as otherwise provided by law, the Board of Directors may remove any officer with or without cause by the affirmative vote of a majority of the directors then in office.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Absence or Disability</w:t>
      </w:r>
      <w:r>
        <w:rPr>
          <w:rFonts w:ascii="Arial" w:cs="Arial" w:eastAsia="Arial" w:hAnsi="Arial"/>
          <w:sz w:val="16"/>
          <w:szCs w:val="16"/>
          <w:color w:val="auto"/>
        </w:rPr>
        <w:t>. In the event of the absence or disability of any officer, the Board of Directors may designate another officer to act temporarily in place of such absent or disabled officer.</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Vacancies</w:t>
      </w:r>
      <w:r>
        <w:rPr>
          <w:rFonts w:ascii="Arial" w:cs="Arial" w:eastAsia="Arial" w:hAnsi="Arial"/>
          <w:sz w:val="16"/>
          <w:szCs w:val="16"/>
          <w:color w:val="auto"/>
        </w:rPr>
        <w:t>. Any vacancy in any office may be filled for the unexpired portion of the term by the Board of Directors.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subject to the direction of the Board of Directors, have such powers and shall perform such duties as the Board of Directors may from time to time designate.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if one is elected, shall have such powers and shall perform such duties as the Board of Directors may from time to time designate.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if one is elected, shall have such powers and shall perform such duties as the Board of Directors may from time to time designate.</w:t>
      </w:r>
    </w:p>
    <w:p>
      <w:pPr>
        <w:spacing w:after="0" w:line="15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Vice Presidents and Assistant Vice Presidents</w:t>
      </w:r>
      <w:r>
        <w:rPr>
          <w:rFonts w:ascii="Arial" w:cs="Arial" w:eastAsia="Arial" w:hAnsi="Arial"/>
          <w:sz w:val="15"/>
          <w:szCs w:val="15"/>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9" w:name="page130"/>
    <w:bookmarkEnd w:id="129"/>
    <w:p>
      <w:pPr>
        <w:jc w:val="both"/>
        <w:ind w:firstLine="574"/>
        <w:spacing w:after="0" w:line="255"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70"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Secretary and Assistant Secretaries</w:t>
      </w:r>
      <w:r>
        <w:rPr>
          <w:rFonts w:ascii="Arial" w:cs="Arial" w:eastAsia="Arial" w:hAnsi="Arial"/>
          <w:sz w:val="14"/>
          <w:szCs w:val="14"/>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44"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Other Powers and Duties</w:t>
      </w:r>
      <w:r>
        <w:rPr>
          <w:rFonts w:ascii="Arial" w:cs="Arial" w:eastAsia="Arial" w:hAnsi="Arial"/>
          <w:sz w:val="16"/>
          <w:szCs w:val="16"/>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Capital Stock</w:t>
      </w:r>
    </w:p>
    <w:p>
      <w:pPr>
        <w:spacing w:after="0" w:line="198" w:lineRule="exact"/>
        <w:rPr>
          <w:sz w:val="20"/>
          <w:szCs w:val="20"/>
          <w:color w:val="auto"/>
        </w:rPr>
      </w:pPr>
    </w:p>
    <w:p>
      <w:pPr>
        <w:jc w:val="both"/>
        <w:ind w:firstLine="574"/>
        <w:spacing w:after="0" w:line="292"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Certificates of Stock</w:t>
      </w:r>
      <w:r>
        <w:rPr>
          <w:rFonts w:ascii="Arial" w:cs="Arial" w:eastAsia="Arial" w:hAnsi="Arial"/>
          <w:sz w:val="14"/>
          <w:szCs w:val="14"/>
          <w:color w:val="auto"/>
        </w:rPr>
        <w:t>. Each stockholder shall be entitled to a certificate of the capital stock of the Corporation in such form as may from time to time be prescribed by the Board of Directors. Such certificate shall be signed by the Chairman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0" w:name="page131"/>
    <w:bookmarkEnd w:id="130"/>
    <w:p>
      <w:pPr>
        <w:jc w:val="both"/>
        <w:ind w:firstLine="574"/>
        <w:spacing w:after="0" w:line="301"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Transfers</w:t>
      </w:r>
      <w:r>
        <w:rPr>
          <w:rFonts w:ascii="Arial" w:cs="Arial" w:eastAsia="Arial" w:hAnsi="Arial"/>
          <w:sz w:val="14"/>
          <w:szCs w:val="14"/>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3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Record Holders</w:t>
      </w:r>
      <w:r>
        <w:rPr>
          <w:rFonts w:ascii="Arial" w:cs="Arial" w:eastAsia="Arial" w:hAnsi="Arial"/>
          <w:sz w:val="16"/>
          <w:szCs w:val="16"/>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65"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Record Date</w:t>
      </w:r>
      <w:r>
        <w:rPr>
          <w:rFonts w:ascii="Arial" w:cs="Arial" w:eastAsia="Arial" w:hAnsi="Arial"/>
          <w:sz w:val="15"/>
          <w:szCs w:val="15"/>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Replacement of Certificates</w:t>
      </w:r>
      <w:r>
        <w:rPr>
          <w:rFonts w:ascii="Arial" w:cs="Arial" w:eastAsia="Arial" w:hAnsi="Arial"/>
          <w:sz w:val="16"/>
          <w:szCs w:val="16"/>
          <w:color w:val="auto"/>
        </w:rPr>
        <w:t>. In case of the alleged loss, destruction or mutilation of a certificate of stock of the Corporation, a duplicate certificate may be issued in place thereof, upon such terms as the Board of Directors may prescribe.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u w:val="single" w:color="auto"/>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Indemnification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w:t>
      </w:r>
    </w:p>
    <w:p>
      <w:pPr>
        <w:spacing w:after="0" w:line="198" w:lineRule="exact"/>
        <w:rPr>
          <w:sz w:val="20"/>
          <w:szCs w:val="20"/>
          <w:color w:val="auto"/>
        </w:rPr>
      </w:pPr>
    </w:p>
    <w:p>
      <w:pPr>
        <w:jc w:val="both"/>
        <w:ind w:firstLine="569"/>
        <w:spacing w:after="0" w:line="295" w:lineRule="auto"/>
        <w:tabs>
          <w:tab w:leader="none" w:pos="79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44" w:lineRule="exact"/>
        <w:rPr>
          <w:rFonts w:ascii="Arial" w:cs="Arial" w:eastAsia="Arial" w:hAnsi="Arial"/>
          <w:sz w:val="14"/>
          <w:szCs w:val="14"/>
          <w:color w:val="auto"/>
        </w:rPr>
      </w:pPr>
    </w:p>
    <w:p>
      <w:pPr>
        <w:ind w:left="800" w:hanging="231"/>
        <w:spacing w:after="0"/>
        <w:tabs>
          <w:tab w:leader="none" w:pos="8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“Director” means any person who serves or has served the Corporation as a director on the Board of Directors of the Corporation;</w:t>
      </w:r>
    </w:p>
    <w:p>
      <w:pPr>
        <w:spacing w:after="0" w:line="198" w:lineRule="exact"/>
        <w:rPr>
          <w:rFonts w:ascii="Arial" w:cs="Arial" w:eastAsia="Arial" w:hAnsi="Arial"/>
          <w:sz w:val="16"/>
          <w:szCs w:val="16"/>
          <w:color w:val="auto"/>
        </w:rPr>
      </w:pPr>
    </w:p>
    <w:p>
      <w:pPr>
        <w:ind w:right="20" w:firstLine="569"/>
        <w:spacing w:after="0" w:line="275" w:lineRule="auto"/>
        <w:tabs>
          <w:tab w:leader="none" w:pos="79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“Disinterested Director” means, with respect to each Proceeding in respect of which indemnification is sought hereunder, a Director of the Corporation who is not and was not a party to such Proceeding;</w:t>
      </w:r>
    </w:p>
    <w:p>
      <w:pPr>
        <w:spacing w:after="0" w:line="151" w:lineRule="exact"/>
        <w:rPr>
          <w:rFonts w:ascii="Arial" w:cs="Arial" w:eastAsia="Arial" w:hAnsi="Arial"/>
          <w:sz w:val="16"/>
          <w:szCs w:val="16"/>
          <w:color w:val="auto"/>
        </w:rPr>
      </w:pPr>
    </w:p>
    <w:p>
      <w:pPr>
        <w:jc w:val="both"/>
        <w:ind w:right="20" w:firstLine="569"/>
        <w:spacing w:after="0" w:line="276" w:lineRule="auto"/>
        <w:tabs>
          <w:tab w:leader="none" w:pos="813" w:val="left"/>
        </w:tabs>
        <w:numPr>
          <w:ilvl w:val="0"/>
          <w:numId w:val="122"/>
        </w:numPr>
        <w:rPr>
          <w:rFonts w:ascii="Arial" w:cs="Arial" w:eastAsia="Arial" w:hAnsi="Arial"/>
          <w:sz w:val="15"/>
          <w:szCs w:val="15"/>
          <w:color w:val="auto"/>
        </w:rPr>
      </w:pPr>
      <w:r>
        <w:rPr>
          <w:rFonts w:ascii="Arial" w:cs="Arial" w:eastAsia="Arial" w:hAnsi="Arial"/>
          <w:sz w:val="15"/>
          <w:szCs w:val="15"/>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55" w:lineRule="exact"/>
        <w:rPr>
          <w:rFonts w:ascii="Arial" w:cs="Arial" w:eastAsia="Arial" w:hAnsi="Arial"/>
          <w:sz w:val="15"/>
          <w:szCs w:val="15"/>
          <w:color w:val="auto"/>
        </w:rPr>
      </w:pPr>
    </w:p>
    <w:p>
      <w:pPr>
        <w:ind w:left="780" w:hanging="211"/>
        <w:spacing w:after="0"/>
        <w:tabs>
          <w:tab w:leader="none" w:pos="7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“Liabilities” means judgments, damages, liabilities, losses, penalties, excise taxes, fines and amounts paid in settlement;</w:t>
      </w:r>
    </w:p>
    <w:p>
      <w:pPr>
        <w:spacing w:after="0" w:line="198" w:lineRule="exact"/>
        <w:rPr>
          <w:rFonts w:ascii="Arial" w:cs="Arial" w:eastAsia="Arial" w:hAnsi="Arial"/>
          <w:sz w:val="16"/>
          <w:szCs w:val="16"/>
          <w:color w:val="auto"/>
        </w:rPr>
      </w:pPr>
    </w:p>
    <w:p>
      <w:pPr>
        <w:ind w:left="760" w:hanging="191"/>
        <w:spacing w:after="0"/>
        <w:tabs>
          <w:tab w:leader="none" w:pos="7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“Non-Officer Employee” means any person who serves or has served as an employee or agent of the Corporation, but who is not or was not a Director or Officer;</w:t>
      </w:r>
    </w:p>
    <w:p>
      <w:pPr>
        <w:spacing w:after="0" w:line="221" w:lineRule="exact"/>
        <w:rPr>
          <w:rFonts w:ascii="Arial" w:cs="Arial" w:eastAsia="Arial" w:hAnsi="Arial"/>
          <w:sz w:val="14"/>
          <w:szCs w:val="14"/>
          <w:color w:val="auto"/>
        </w:rPr>
      </w:pPr>
    </w:p>
    <w:p>
      <w:pPr>
        <w:ind w:left="800" w:hanging="231"/>
        <w:spacing w:after="0"/>
        <w:tabs>
          <w:tab w:leader="none" w:pos="80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“Officer” means any person who serves or has served the Corporation as an officer of the Corporation appointed by the Board of Directors of the Corporation;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2" w:name="page133"/>
    <w:bookmarkEnd w:id="132"/>
    <w:p>
      <w:pPr>
        <w:ind w:right="20" w:firstLine="569"/>
        <w:spacing w:after="0" w:line="275" w:lineRule="auto"/>
        <w:tabs>
          <w:tab w:leader="none" w:pos="81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51" w:lineRule="exact"/>
        <w:rPr>
          <w:rFonts w:ascii="Arial" w:cs="Arial" w:eastAsia="Arial" w:hAnsi="Arial"/>
          <w:sz w:val="16"/>
          <w:szCs w:val="16"/>
          <w:color w:val="auto"/>
        </w:rPr>
      </w:pPr>
    </w:p>
    <w:p>
      <w:pPr>
        <w:jc w:val="both"/>
        <w:ind w:firstLine="569"/>
        <w:spacing w:after="0" w:line="306" w:lineRule="auto"/>
        <w:tabs>
          <w:tab w:leader="none" w:pos="76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2. Indemnification of Directors and Officers.</w:t>
      </w:r>
    </w:p>
    <w:p>
      <w:pPr>
        <w:spacing w:after="0" w:line="198" w:lineRule="exact"/>
        <w:rPr>
          <w:sz w:val="20"/>
          <w:szCs w:val="20"/>
          <w:color w:val="auto"/>
        </w:rPr>
      </w:pPr>
    </w:p>
    <w:p>
      <w:pPr>
        <w:jc w:val="both"/>
        <w:ind w:right="20" w:firstLine="569"/>
        <w:spacing w:after="0" w:line="258" w:lineRule="auto"/>
        <w:tabs>
          <w:tab w:leader="none" w:pos="79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64" w:lineRule="exact"/>
        <w:rPr>
          <w:rFonts w:ascii="Arial" w:cs="Arial" w:eastAsia="Arial" w:hAnsi="Arial"/>
          <w:sz w:val="16"/>
          <w:szCs w:val="16"/>
          <w:color w:val="auto"/>
        </w:rPr>
      </w:pPr>
    </w:p>
    <w:p>
      <w:pPr>
        <w:jc w:val="both"/>
        <w:ind w:left="560" w:firstLine="583"/>
        <w:spacing w:after="0" w:line="254" w:lineRule="auto"/>
        <w:tabs>
          <w:tab w:leader="none" w:pos="1359"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70" w:lineRule="exact"/>
        <w:rPr>
          <w:rFonts w:ascii="Arial" w:cs="Arial" w:eastAsia="Arial" w:hAnsi="Arial"/>
          <w:sz w:val="16"/>
          <w:szCs w:val="16"/>
          <w:color w:val="auto"/>
        </w:rPr>
      </w:pPr>
    </w:p>
    <w:p>
      <w:pPr>
        <w:jc w:val="both"/>
        <w:ind w:left="560" w:firstLine="583"/>
        <w:spacing w:after="0" w:line="252" w:lineRule="auto"/>
        <w:tabs>
          <w:tab w:leader="none" w:pos="1383"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3" w:name="page134"/>
    <w:bookmarkEnd w:id="133"/>
    <w:p>
      <w:pPr>
        <w:ind w:left="560" w:firstLine="583"/>
        <w:spacing w:after="0" w:line="275" w:lineRule="auto"/>
        <w:tabs>
          <w:tab w:leader="none" w:pos="135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51" w:lineRule="exact"/>
        <w:rPr>
          <w:rFonts w:ascii="Arial" w:cs="Arial" w:eastAsia="Arial" w:hAnsi="Arial"/>
          <w:sz w:val="16"/>
          <w:szCs w:val="16"/>
          <w:color w:val="auto"/>
        </w:rPr>
      </w:pPr>
    </w:p>
    <w:p>
      <w:pPr>
        <w:jc w:val="both"/>
        <w:ind w:left="560" w:firstLine="583"/>
        <w:spacing w:after="0" w:line="280" w:lineRule="auto"/>
        <w:tabs>
          <w:tab w:leader="none" w:pos="1371"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Actions by Directors or Officers</w:t>
      </w:r>
      <w:r>
        <w:rPr>
          <w:rFonts w:ascii="Arial" w:cs="Arial" w:eastAsia="Arial" w:hAnsi="Arial"/>
          <w:sz w:val="15"/>
          <w:szCs w:val="15"/>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5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Indemnification of Non-Officer Employees</w:t>
      </w:r>
      <w:r>
        <w:rPr>
          <w:rFonts w:ascii="Arial" w:cs="Arial" w:eastAsia="Arial" w:hAnsi="Arial"/>
          <w:sz w:val="15"/>
          <w:szCs w:val="15"/>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63"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Determination</w:t>
      </w:r>
      <w:r>
        <w:rPr>
          <w:rFonts w:ascii="Arial" w:cs="Arial" w:eastAsia="Arial" w:hAnsi="Arial"/>
          <w:sz w:val="14"/>
          <w:szCs w:val="14"/>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4" w:name="page135"/>
    <w:bookmarkEnd w:id="134"/>
    <w:p>
      <w:pPr>
        <w:ind w:left="560"/>
        <w:spacing w:after="0"/>
        <w:rPr>
          <w:sz w:val="20"/>
          <w:szCs w:val="20"/>
          <w:color w:val="auto"/>
        </w:rPr>
      </w:pPr>
      <w:r>
        <w:rPr>
          <w:rFonts w:ascii="Arial" w:cs="Arial" w:eastAsia="Arial" w:hAnsi="Arial"/>
          <w:sz w:val="16"/>
          <w:szCs w:val="16"/>
          <w:color w:val="auto"/>
        </w:rPr>
        <w:t>SECTION 5. Advancement of Expenses to Directors Prior to Final Disposition.</w:t>
      </w:r>
    </w:p>
    <w:p>
      <w:pPr>
        <w:spacing w:after="0" w:line="198" w:lineRule="exact"/>
        <w:rPr>
          <w:sz w:val="20"/>
          <w:szCs w:val="20"/>
          <w:color w:val="auto"/>
        </w:rPr>
      </w:pPr>
    </w:p>
    <w:p>
      <w:pPr>
        <w:jc w:val="both"/>
        <w:ind w:right="20" w:firstLine="569"/>
        <w:spacing w:after="0" w:line="272" w:lineRule="auto"/>
        <w:tabs>
          <w:tab w:leader="none" w:pos="80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56" w:lineRule="exact"/>
        <w:rPr>
          <w:rFonts w:ascii="Arial" w:cs="Arial" w:eastAsia="Arial" w:hAnsi="Arial"/>
          <w:sz w:val="15"/>
          <w:szCs w:val="15"/>
          <w:color w:val="auto"/>
        </w:rPr>
      </w:pPr>
    </w:p>
    <w:p>
      <w:pPr>
        <w:jc w:val="both"/>
        <w:ind w:firstLine="569"/>
        <w:spacing w:after="0" w:line="274" w:lineRule="auto"/>
        <w:tabs>
          <w:tab w:leader="none" w:pos="81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56" w:lineRule="exact"/>
        <w:rPr>
          <w:rFonts w:ascii="Arial" w:cs="Arial" w:eastAsia="Arial" w:hAnsi="Arial"/>
          <w:sz w:val="15"/>
          <w:szCs w:val="15"/>
          <w:color w:val="auto"/>
        </w:rPr>
      </w:pPr>
    </w:p>
    <w:p>
      <w:pPr>
        <w:ind w:firstLine="569"/>
        <w:spacing w:after="0" w:line="275" w:lineRule="auto"/>
        <w:tabs>
          <w:tab w:leader="none" w:pos="79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6. Advancement of Expenses to Officers and Non-Officer Employees Prior to Final Disposition.</w:t>
      </w:r>
    </w:p>
    <w:p>
      <w:pPr>
        <w:spacing w:after="0" w:line="198" w:lineRule="exact"/>
        <w:rPr>
          <w:sz w:val="20"/>
          <w:szCs w:val="20"/>
          <w:color w:val="auto"/>
        </w:rPr>
      </w:pPr>
    </w:p>
    <w:p>
      <w:pPr>
        <w:jc w:val="both"/>
        <w:ind w:firstLine="569"/>
        <w:spacing w:after="0" w:line="274" w:lineRule="auto"/>
        <w:tabs>
          <w:tab w:leader="none" w:pos="798"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5" w:name="page136"/>
    <w:bookmarkEnd w:id="135"/>
    <w:p>
      <w:pPr>
        <w:ind w:right="20" w:firstLine="569"/>
        <w:spacing w:after="0" w:line="309" w:lineRule="auto"/>
        <w:tabs>
          <w:tab w:leader="none" w:pos="80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7. Contractual Nature of Rights.</w:t>
      </w:r>
    </w:p>
    <w:p>
      <w:pPr>
        <w:spacing w:after="0" w:line="198" w:lineRule="exact"/>
        <w:rPr>
          <w:sz w:val="20"/>
          <w:szCs w:val="20"/>
          <w:color w:val="auto"/>
        </w:rPr>
      </w:pPr>
    </w:p>
    <w:p>
      <w:pPr>
        <w:jc w:val="both"/>
        <w:ind w:right="20" w:firstLine="569"/>
        <w:spacing w:after="0" w:line="271" w:lineRule="auto"/>
        <w:tabs>
          <w:tab w:leader="none" w:pos="79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59" w:lineRule="exact"/>
        <w:rPr>
          <w:rFonts w:ascii="Arial" w:cs="Arial" w:eastAsia="Arial" w:hAnsi="Arial"/>
          <w:sz w:val="15"/>
          <w:szCs w:val="15"/>
          <w:color w:val="auto"/>
        </w:rPr>
      </w:pPr>
    </w:p>
    <w:p>
      <w:pPr>
        <w:jc w:val="both"/>
        <w:ind w:firstLine="569"/>
        <w:spacing w:after="0" w:line="274" w:lineRule="auto"/>
        <w:tabs>
          <w:tab w:leader="none" w:pos="806"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56" w:lineRule="exact"/>
        <w:rPr>
          <w:rFonts w:ascii="Arial" w:cs="Arial" w:eastAsia="Arial" w:hAnsi="Arial"/>
          <w:sz w:val="15"/>
          <w:szCs w:val="15"/>
          <w:color w:val="auto"/>
        </w:rPr>
      </w:pPr>
    </w:p>
    <w:p>
      <w:pPr>
        <w:ind w:firstLine="569"/>
        <w:spacing w:after="0" w:line="275" w:lineRule="auto"/>
        <w:tabs>
          <w:tab w:leader="none" w:pos="80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6" w:name="page137"/>
    <w:bookmarkEnd w:id="136"/>
    <w:p>
      <w:pPr>
        <w:jc w:val="both"/>
        <w:ind w:firstLine="574"/>
        <w:spacing w:after="0" w:line="26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6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Insurance</w:t>
      </w:r>
      <w:r>
        <w:rPr>
          <w:rFonts w:ascii="Arial" w:cs="Arial" w:eastAsia="Arial" w:hAnsi="Arial"/>
          <w:sz w:val="15"/>
          <w:szCs w:val="15"/>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46"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Other Indemnification</w:t>
      </w:r>
      <w:r>
        <w:rPr>
          <w:rFonts w:ascii="Arial" w:cs="Arial" w:eastAsia="Arial" w:hAnsi="Arial"/>
          <w:sz w:val="15"/>
          <w:szCs w:val="15"/>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Miscellaneous Provisions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the Board of Directors.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shall have power to adopt and alter the seal of the Corporation.</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Execution of Instruments</w:t>
      </w:r>
      <w:r>
        <w:rPr>
          <w:rFonts w:ascii="Arial" w:cs="Arial" w:eastAsia="Arial" w:hAnsi="Arial"/>
          <w:sz w:val="15"/>
          <w:szCs w:val="15"/>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7" w:name="page138"/>
    <w:bookmarkEnd w:id="137"/>
    <w:p>
      <w:pPr>
        <w:jc w:val="both"/>
        <w:ind w:firstLine="574"/>
        <w:spacing w:after="0" w:line="25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Voting of Securities</w:t>
      </w:r>
      <w:r>
        <w:rPr>
          <w:rFonts w:ascii="Arial" w:cs="Arial" w:eastAsia="Arial" w:hAnsi="Arial"/>
          <w:sz w:val="16"/>
          <w:szCs w:val="16"/>
          <w:color w:val="auto"/>
        </w:rPr>
        <w:t>. Unless the Board of Directors otherwise provides, the Chairman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Resident Agent</w:t>
      </w:r>
      <w:r>
        <w:rPr>
          <w:rFonts w:ascii="Arial" w:cs="Arial" w:eastAsia="Arial" w:hAnsi="Arial"/>
          <w:sz w:val="16"/>
          <w:szCs w:val="16"/>
          <w:color w:val="auto"/>
        </w:rPr>
        <w:t>. The Board of Directors may appoint a resident agent upon whom legal process may be served in any action or proceeding against the Corporation.</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Corporate Records</w:t>
      </w:r>
      <w:r>
        <w:rPr>
          <w:rFonts w:ascii="Arial" w:cs="Arial" w:eastAsia="Arial" w:hAnsi="Arial"/>
          <w:sz w:val="16"/>
          <w:szCs w:val="16"/>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Certificate</w:t>
      </w:r>
      <w:r>
        <w:rPr>
          <w:rFonts w:ascii="Arial" w:cs="Arial" w:eastAsia="Arial" w:hAnsi="Arial"/>
          <w:sz w:val="16"/>
          <w:szCs w:val="16"/>
          <w:color w:val="auto"/>
        </w:rPr>
        <w:t>. All references in these By-laws to the Certificate shall be deemed to refer to the Amended and Restated Certificate of Incorporation of the Corporation, as amended and/or restated and in effect from time to time.</w:t>
      </w:r>
    </w:p>
    <w:p>
      <w:pPr>
        <w:spacing w:after="0" w:line="152"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Exclusive Jurisdiction of Delaware Courts or the United States Federal District Courts</w:t>
      </w:r>
      <w:r>
        <w:rPr>
          <w:rFonts w:ascii="Arial" w:cs="Arial" w:eastAsia="Arial" w:hAnsi="Arial"/>
          <w:sz w:val="14"/>
          <w:szCs w:val="14"/>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or a claim based on, a breach of a fiduciary duty owed by any current or former director, officer or other employee of the Corporation to the Corporation or the Corporation’s stockholders, (iii) any action asserting a claim arising pursuant to any provision of the Delaware General Corporation Law or the Certificate or Bylaws (including the interpretation, validity or enforceability thereof), or (iv) any action asserting a claim governed by the internal affairs doctrine.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9. Amendment of By-laws.</w:t>
      </w:r>
    </w:p>
    <w:p>
      <w:pPr>
        <w:spacing w:after="0" w:line="198" w:lineRule="exact"/>
        <w:rPr>
          <w:sz w:val="20"/>
          <w:szCs w:val="20"/>
          <w:color w:val="auto"/>
        </w:rPr>
      </w:pPr>
    </w:p>
    <w:p>
      <w:pPr>
        <w:ind w:right="20" w:firstLine="569"/>
        <w:spacing w:after="0" w:line="275" w:lineRule="auto"/>
        <w:tabs>
          <w:tab w:leader="none" w:pos="79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Amendment by Directors</w:t>
      </w:r>
      <w:r>
        <w:rPr>
          <w:rFonts w:ascii="Arial" w:cs="Arial" w:eastAsia="Arial" w:hAnsi="Arial"/>
          <w:sz w:val="16"/>
          <w:szCs w:val="16"/>
          <w:color w:val="auto"/>
        </w:rPr>
        <w:t>. Except as provided otherwise by law, these By-laws may be amended or repealed by the Board of Directors by the affirmative vote of a majority of the directors then in office.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8" w:name="page139"/>
    <w:bookmarkEnd w:id="138"/>
    <w:p>
      <w:pPr>
        <w:jc w:val="both"/>
        <w:ind w:firstLine="569"/>
        <w:spacing w:after="0" w:line="301" w:lineRule="auto"/>
        <w:tabs>
          <w:tab w:leader="none" w:pos="799"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Amendment by Stockholders</w:t>
      </w:r>
      <w:r>
        <w:rPr>
          <w:rFonts w:ascii="Arial" w:cs="Arial" w:eastAsia="Arial" w:hAnsi="Arial"/>
          <w:sz w:val="14"/>
          <w:szCs w:val="14"/>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3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Notices</w:t>
      </w:r>
      <w:r>
        <w:rPr>
          <w:rFonts w:ascii="Arial" w:cs="Arial" w:eastAsia="Arial" w:hAnsi="Arial"/>
          <w:sz w:val="16"/>
          <w:szCs w:val="16"/>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Waivers</w:t>
      </w:r>
      <w:r>
        <w:rPr>
          <w:rFonts w:ascii="Arial" w:cs="Arial" w:eastAsia="Arial" w:hAnsi="Arial"/>
          <w:sz w:val="16"/>
          <w:szCs w:val="16"/>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Adopted by the Board on _____________, 2021 and approved by the stockholders on _________, 2021.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G</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AMENDED AND RESTATED</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REGISTRATION AND STOCKHOLDER RIGHTS AGREEMENT</w:t>
      </w:r>
    </w:p>
    <w:p>
      <w:pPr>
        <w:spacing w:after="0" w:line="182" w:lineRule="exact"/>
        <w:rPr>
          <w:sz w:val="20"/>
          <w:szCs w:val="20"/>
          <w:color w:val="auto"/>
        </w:rPr>
      </w:pPr>
    </w:p>
    <w:p>
      <w:pPr>
        <w:ind w:left="564"/>
        <w:spacing w:after="0"/>
        <w:rPr>
          <w:sz w:val="20"/>
          <w:szCs w:val="20"/>
          <w:color w:val="auto"/>
        </w:rPr>
      </w:pPr>
      <w:r>
        <w:rPr>
          <w:rFonts w:ascii="Arial" w:cs="Arial" w:eastAsia="Arial" w:hAnsi="Arial"/>
          <w:sz w:val="15"/>
          <w:szCs w:val="15"/>
          <w:color w:val="auto"/>
        </w:rPr>
        <w:t>THIS AMENDED AND RESTATED REGISTRATION AND STOCKHOLDER RIGHTS AGREEMENT (this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is entered into as of the __ day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4"/>
          <w:szCs w:val="14"/>
          <w:color w:val="auto"/>
        </w:rPr>
        <w:t>______________, 2021, is made and entered into by and among. TANGO THERAPEUTICS, INC. a Delaware corporation (the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and certain former stockholders</w:t>
      </w:r>
    </w:p>
    <w:p>
      <w:pPr>
        <w:spacing w:after="0" w:line="30" w:lineRule="exact"/>
        <w:rPr>
          <w:sz w:val="20"/>
          <w:szCs w:val="20"/>
          <w:color w:val="auto"/>
        </w:rPr>
      </w:pPr>
    </w:p>
    <w:p>
      <w:pPr>
        <w:jc w:val="both"/>
        <w:ind w:left="4"/>
        <w:spacing w:after="0" w:line="219" w:lineRule="auto"/>
        <w:rPr>
          <w:sz w:val="20"/>
          <w:szCs w:val="20"/>
          <w:color w:val="auto"/>
        </w:rPr>
      </w:pPr>
      <w:r>
        <w:rPr>
          <w:rFonts w:ascii="Arial" w:cs="Arial" w:eastAsia="Arial" w:hAnsi="Arial"/>
          <w:sz w:val="16"/>
          <w:szCs w:val="16"/>
          <w:color w:val="auto"/>
        </w:rPr>
        <w:t>of [Tango Therapeutics, Inc.] (“</w:t>
      </w:r>
      <w:r>
        <w:rPr>
          <w:rFonts w:ascii="Arial" w:cs="Arial" w:eastAsia="Arial" w:hAnsi="Arial"/>
          <w:sz w:val="16"/>
          <w:szCs w:val="16"/>
          <w:b w:val="1"/>
          <w:bCs w:val="1"/>
          <w:u w:val="single" w:color="auto"/>
          <w:color w:val="auto"/>
        </w:rPr>
        <w:t>Old Tango</w:t>
      </w:r>
      <w:r>
        <w:rPr>
          <w:rFonts w:ascii="Arial" w:cs="Arial" w:eastAsia="Arial" w:hAnsi="Arial"/>
          <w:sz w:val="16"/>
          <w:szCs w:val="16"/>
          <w:color w:val="auto"/>
        </w:rPr>
        <w:t>”), set forth on Schedule 1</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hereto under the heading “Holders” (such stockholders, the “</w:t>
      </w:r>
      <w:r>
        <w:rPr>
          <w:rFonts w:ascii="Arial" w:cs="Arial" w:eastAsia="Arial" w:hAnsi="Arial"/>
          <w:sz w:val="16"/>
          <w:szCs w:val="16"/>
          <w:b w:val="1"/>
          <w:bCs w:val="1"/>
          <w:u w:val="single" w:color="auto"/>
          <w:color w:val="auto"/>
        </w:rPr>
        <w:t>Tango Investors</w:t>
      </w:r>
      <w:r>
        <w:rPr>
          <w:rFonts w:ascii="Arial" w:cs="Arial" w:eastAsia="Arial" w:hAnsi="Arial"/>
          <w:sz w:val="16"/>
          <w:szCs w:val="16"/>
          <w:color w:val="auto"/>
        </w:rPr>
        <w:t>”), and the undersigned parties set forth on Schedule I hereto under the heading “Investors” (each, an “</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Investors</w:t>
      </w:r>
      <w:r>
        <w:rPr>
          <w:rFonts w:ascii="Arial" w:cs="Arial" w:eastAsia="Arial" w:hAnsi="Arial"/>
          <w:sz w:val="16"/>
          <w:szCs w:val="16"/>
          <w:color w:val="auto"/>
        </w:rPr>
        <w:t>”). The Tango Investors, the Investors and any other person or entity who becomes a party to this Agreement, are referred to herein as the “</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or each a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w:t>
      </w:r>
    </w:p>
    <w:p>
      <w:pPr>
        <w:spacing w:after="0" w:line="175" w:lineRule="exact"/>
        <w:rPr>
          <w:sz w:val="20"/>
          <w:szCs w:val="20"/>
          <w:color w:val="auto"/>
        </w:rPr>
      </w:pPr>
    </w:p>
    <w:p>
      <w:pPr>
        <w:ind w:left="564"/>
        <w:spacing w:after="0"/>
        <w:rPr>
          <w:sz w:val="20"/>
          <w:szCs w:val="20"/>
          <w:color w:val="auto"/>
        </w:rPr>
      </w:pPr>
      <w:r>
        <w:rPr>
          <w:rFonts w:ascii="Arial" w:cs="Arial" w:eastAsia="Arial" w:hAnsi="Arial"/>
          <w:sz w:val="14"/>
          <w:szCs w:val="14"/>
          <w:color w:val="auto"/>
        </w:rPr>
        <w:t>WHEREAS, the Company and the Investors are party to that certain Registration and Stockholder Rights Agreement, dated as of September 2, 2020 (the “</w:t>
      </w:r>
      <w:r>
        <w:rPr>
          <w:rFonts w:ascii="Arial" w:cs="Arial" w:eastAsia="Arial" w:hAnsi="Arial"/>
          <w:sz w:val="14"/>
          <w:szCs w:val="14"/>
          <w:b w:val="1"/>
          <w:bCs w:val="1"/>
          <w:u w:val="single" w:color="auto"/>
          <w:color w:val="auto"/>
        </w:rPr>
        <w:t>Original</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RRA</w:t>
      </w:r>
      <w:r>
        <w:rPr>
          <w:rFonts w:ascii="Arial" w:cs="Arial" w:eastAsia="Arial" w:hAnsi="Arial"/>
          <w:sz w:val="16"/>
          <w:szCs w:val="16"/>
          <w:color w:val="auto"/>
        </w:rPr>
        <w:t>”);</w:t>
      </w:r>
    </w:p>
    <w:p>
      <w:pPr>
        <w:spacing w:after="0" w:line="182"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entered into that certain Agreement and Plan of Merger, dated as of April ●], 2021 (as it may be amended, supplemented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from time to time, the “</w:t>
      </w:r>
      <w:r>
        <w:rPr>
          <w:rFonts w:ascii="Arial" w:cs="Arial" w:eastAsia="Arial" w:hAnsi="Arial"/>
          <w:sz w:val="16"/>
          <w:szCs w:val="16"/>
          <w:b w:val="1"/>
          <w:bCs w:val="1"/>
          <w:u w:val="single" w:color="auto"/>
          <w:color w:val="auto"/>
        </w:rPr>
        <w:t>Merger Agreement</w:t>
      </w:r>
      <w:r>
        <w:rPr>
          <w:rFonts w:ascii="Arial" w:cs="Arial" w:eastAsia="Arial" w:hAnsi="Arial"/>
          <w:sz w:val="16"/>
          <w:szCs w:val="16"/>
          <w:color w:val="auto"/>
        </w:rPr>
        <w:t>”), by and among the Company, BCTG Merger Sub Inc., a Delaware corporation and a direct, wholly owned subsidiary of the Company (“</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and Old Tango, pursuant to which Merger Sub merged with and into Old Tango (the “</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with Old Tango continuing as the surviving corporation and becoming a direct, wholly owned subsidiary of the Company;</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pursuant to the Merger Agreement, the Holders received shares of Common Stock (as defined below) (the “</w:t>
      </w:r>
      <w:r>
        <w:rPr>
          <w:rFonts w:ascii="Arial" w:cs="Arial" w:eastAsia="Arial" w:hAnsi="Arial"/>
          <w:sz w:val="16"/>
          <w:szCs w:val="16"/>
          <w:b w:val="1"/>
          <w:bCs w:val="1"/>
          <w:u w:val="single" w:color="auto"/>
          <w:color w:val="auto"/>
        </w:rPr>
        <w:t>Merger Shares</w:t>
      </w:r>
      <w:r>
        <w:rPr>
          <w:rFonts w:ascii="Arial" w:cs="Arial" w:eastAsia="Arial" w:hAnsi="Arial"/>
          <w:sz w:val="16"/>
          <w:szCs w:val="16"/>
          <w:color w:val="auto"/>
        </w:rPr>
        <w:t>”) or</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to acquire shares of Common Stock (the “</w:t>
      </w:r>
      <w:r>
        <w:rPr>
          <w:rFonts w:ascii="Arial" w:cs="Arial" w:eastAsia="Arial" w:hAnsi="Arial"/>
          <w:sz w:val="16"/>
          <w:szCs w:val="16"/>
          <w:b w:val="1"/>
          <w:bCs w:val="1"/>
          <w:u w:val="single" w:color="auto"/>
          <w:color w:val="auto"/>
        </w:rPr>
        <w:t>Merger Options</w:t>
      </w:r>
      <w:r>
        <w:rPr>
          <w:rFonts w:ascii="Arial" w:cs="Arial" w:eastAsia="Arial" w:hAnsi="Arial"/>
          <w:sz w:val="16"/>
          <w:szCs w:val="16"/>
          <w:color w:val="auto"/>
        </w:rPr>
        <w:t>”);</w:t>
      </w:r>
    </w:p>
    <w:p>
      <w:pPr>
        <w:spacing w:after="0" w:line="144"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certain investors (such other investors, collectively, the “</w:t>
      </w:r>
      <w:r>
        <w:rPr>
          <w:rFonts w:ascii="Arial" w:cs="Arial" w:eastAsia="Arial" w:hAnsi="Arial"/>
          <w:sz w:val="16"/>
          <w:szCs w:val="16"/>
          <w:b w:val="1"/>
          <w:bCs w:val="1"/>
          <w:u w:val="single" w:color="auto"/>
          <w:color w:val="auto"/>
        </w:rPr>
        <w:t>Third-Party Investor Stockholders</w:t>
      </w:r>
      <w:r>
        <w:rPr>
          <w:rFonts w:ascii="Arial" w:cs="Arial" w:eastAsia="Arial" w:hAnsi="Arial"/>
          <w:sz w:val="16"/>
          <w:szCs w:val="16"/>
          <w:color w:val="auto"/>
        </w:rPr>
        <w:t>”) purchased an aggregate of [●]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(the “</w:t>
      </w:r>
      <w:r>
        <w:rPr>
          <w:rFonts w:ascii="Arial" w:cs="Arial" w:eastAsia="Arial" w:hAnsi="Arial"/>
          <w:sz w:val="16"/>
          <w:szCs w:val="16"/>
          <w:b w:val="1"/>
          <w:bCs w:val="1"/>
          <w:u w:val="single" w:color="auto"/>
          <w:color w:val="auto"/>
        </w:rPr>
        <w:t>Investor Shares</w:t>
      </w:r>
      <w:r>
        <w:rPr>
          <w:rFonts w:ascii="Arial" w:cs="Arial" w:eastAsia="Arial" w:hAnsi="Arial"/>
          <w:sz w:val="16"/>
          <w:szCs w:val="16"/>
          <w:color w:val="auto"/>
        </w:rPr>
        <w:t>”) in a transaction exempt from registration under the Securities Act pursuant to the respective Subscription Agreements, each dated as of April [ ● ], 2021, entered into by and between the Company and each such Third-Party Investor Stockholder (each, a “</w:t>
      </w:r>
      <w:r>
        <w:rPr>
          <w:rFonts w:ascii="Arial" w:cs="Arial" w:eastAsia="Arial" w:hAnsi="Arial"/>
          <w:sz w:val="16"/>
          <w:szCs w:val="16"/>
          <w:b w:val="1"/>
          <w:bCs w:val="1"/>
          <w:u w:val="single" w:color="auto"/>
          <w:color w:val="auto"/>
        </w:rPr>
        <w:t>Subscription Agreement</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Subscription Agreements</w:t>
      </w:r>
      <w:r>
        <w:rPr>
          <w:rFonts w:ascii="Arial" w:cs="Arial" w:eastAsia="Arial" w:hAnsi="Arial"/>
          <w:sz w:val="16"/>
          <w:szCs w:val="16"/>
          <w:color w:val="auto"/>
        </w:rPr>
        <w:t>”);</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7.8</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RRA, the provisions, covenants and conditions set forth therein may be amended or modified upon the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holders of a majority of the Registrable Securities (the “Required Investors; and</w:t>
      </w:r>
    </w:p>
    <w:p>
      <w:pPr>
        <w:spacing w:after="0" w:line="144" w:lineRule="exact"/>
        <w:rPr>
          <w:sz w:val="20"/>
          <w:szCs w:val="20"/>
          <w:color w:val="auto"/>
        </w:rPr>
      </w:pPr>
    </w:p>
    <w:p>
      <w:pPr>
        <w:jc w:val="both"/>
        <w:ind w:left="4" w:right="20" w:firstLine="574"/>
        <w:spacing w:after="0" w:line="35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and the Investors desire to amend and restate the Original RRA in its entirety and enter into this Agreement, pursuant to which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shall grant the Holders certain registration rights with respect to certain securities of the Company, as set forth in this Agreement, and terminate the Original RRA.</w:t>
      </w:r>
    </w:p>
    <w:p>
      <w:pPr>
        <w:spacing w:after="0" w:line="99"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hereto, intending to be legally bound, hereby agree as follows:</w:t>
      </w:r>
    </w:p>
    <w:p>
      <w:pPr>
        <w:spacing w:after="0" w:line="14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capitalized terms used herein have the following meanings:</w:t>
      </w:r>
    </w:p>
    <w:p>
      <w:pPr>
        <w:spacing w:after="0" w:line="19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means this Agreement, as amended, restated, supplemented, or otherwise modified from time to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Block Trade</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2.3.1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106997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99" w:lineRule="exact"/>
        <w:rPr>
          <w:sz w:val="20"/>
          <w:szCs w:val="20"/>
          <w:color w:val="auto"/>
        </w:rPr>
      </w:pPr>
    </w:p>
    <w:p>
      <w:pPr>
        <w:ind w:left="284" w:hanging="284"/>
        <w:spacing w:after="0"/>
        <w:tabs>
          <w:tab w:leader="none" w:pos="284" w:val="left"/>
        </w:tabs>
        <w:numPr>
          <w:ilvl w:val="0"/>
          <w:numId w:val="132"/>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To consist of Target stockholders who are directors, officers or affiliates who will need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0" w:right="319" w:bottom="1440" w:gutter="0" w:footer="0" w:header="0"/>
        </w:sectPr>
      </w:pPr>
    </w:p>
    <w:bookmarkStart w:id="140" w:name="page141"/>
    <w:bookmarkEnd w:id="14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means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Commission</w:t>
      </w:r>
      <w:r>
        <w:rPr>
          <w:rFonts w:ascii="Arial" w:cs="Arial" w:eastAsia="Arial" w:hAnsi="Arial"/>
          <w:sz w:val="15"/>
          <w:szCs w:val="15"/>
          <w:color w:val="auto"/>
        </w:rPr>
        <w:t>” means the Securities and Exchange Commission, or any other Federal agency then administering the Securities Act or the Exchange Act.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means the common stock, par value $0.0001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3.1.3</w:t>
      </w:r>
      <w:r>
        <w:rPr>
          <w:rFonts w:ascii="Arial" w:cs="Arial" w:eastAsia="Arial" w:hAnsi="Arial"/>
          <w:sz w:val="16"/>
          <w:szCs w:val="16"/>
          <w:color w:val="auto"/>
        </w:rPr>
        <w:t>.</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Form S-1 Shelf</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Form S-3 Shelf</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 Information</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Public Offering</w:t>
      </w:r>
      <w:r>
        <w:rPr>
          <w:rFonts w:ascii="Arial" w:cs="Arial" w:eastAsia="Arial" w:hAnsi="Arial"/>
          <w:sz w:val="16"/>
          <w:szCs w:val="16"/>
          <w:color w:val="auto"/>
        </w:rPr>
        <w:t>” means the initial public offering of the Common Stock, which occurred on September 8, 2020.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Initial Public Offering.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Joinder</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5.10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Maximum Number of Securities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shall have the meaning given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Minimum Takedown Threshold</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Misstatement</w:t>
      </w:r>
      <w:r>
        <w:rPr>
          <w:rFonts w:ascii="Arial" w:cs="Arial" w:eastAsia="Arial" w:hAnsi="Arial"/>
          <w:sz w:val="16"/>
          <w:szCs w:val="16"/>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Original RRA</w:t>
      </w:r>
      <w:r>
        <w:rPr>
          <w:rFonts w:ascii="Arial" w:cs="Arial" w:eastAsia="Arial" w:hAnsi="Arial"/>
          <w:sz w:val="16"/>
          <w:szCs w:val="16"/>
          <w:color w:val="auto"/>
        </w:rPr>
        <w:t>” shall have the meaning given in the Recitals hereto.</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41" w:name="page142"/>
    <w:bookmarkEnd w:id="141"/>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Other Coordinated Offering</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Plan of Distribution</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Transferees</w:t>
      </w:r>
      <w:r>
        <w:rPr>
          <w:rFonts w:ascii="Arial" w:cs="Arial" w:eastAsia="Arial" w:hAnsi="Arial"/>
          <w:sz w:val="16"/>
          <w:szCs w:val="16"/>
          <w:color w:val="auto"/>
        </w:rPr>
        <w:t>” shall mean with respect to each Holder and its Permitted Transferees, any person or entity to whom such Holder is permitted to transfer such Registrable Securities, subject to and in accordance with any applicable agreement between such Holder and/or its Permitted Transferees and the Company and any transferee thereafter.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2.2.1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Shares</w:t>
      </w:r>
      <w:r>
        <w:rPr>
          <w:rFonts w:ascii="Arial" w:cs="Arial" w:eastAsia="Arial" w:hAnsi="Arial"/>
          <w:sz w:val="16"/>
          <w:szCs w:val="16"/>
          <w:color w:val="auto"/>
        </w:rPr>
        <w:t>” means the aggregate of 533,500 shares of common stock (that Sponsor purchased in a private place that occurred simultaneously with the Initial Public Offering.</w:t>
      </w:r>
    </w:p>
    <w:p>
      <w:pPr>
        <w:spacing w:after="0" w:line="144" w:lineRule="exact"/>
        <w:rPr>
          <w:sz w:val="20"/>
          <w:szCs w:val="20"/>
          <w:color w:val="auto"/>
        </w:rPr>
      </w:pPr>
    </w:p>
    <w:p>
      <w:pPr>
        <w:jc w:val="both"/>
        <w:ind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Register</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Registered</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Registration</w:t>
      </w:r>
      <w:r>
        <w:rPr>
          <w:rFonts w:ascii="Arial" w:cs="Arial" w:eastAsia="Arial" w:hAnsi="Arial"/>
          <w:sz w:val="15"/>
          <w:szCs w:val="15"/>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Expenses</w:t>
      </w:r>
      <w:r>
        <w:rPr>
          <w:rFonts w:ascii="Arial" w:cs="Arial" w:eastAsia="Arial" w:hAnsi="Arial"/>
          <w:sz w:val="16"/>
          <w:szCs w:val="16"/>
          <w:color w:val="auto"/>
        </w:rPr>
        <w:t>” shall mean the documented, out-of-pocket expenses of a Registration, including, without limitation, the following:</w:t>
      </w:r>
    </w:p>
    <w:p>
      <w:pPr>
        <w:spacing w:after="0" w:line="202" w:lineRule="exact"/>
        <w:rPr>
          <w:sz w:val="20"/>
          <w:szCs w:val="20"/>
          <w:color w:val="auto"/>
        </w:rPr>
      </w:pPr>
    </w:p>
    <w:p>
      <w:pPr>
        <w:ind w:right="20" w:firstLine="569"/>
        <w:spacing w:after="0" w:line="275" w:lineRule="auto"/>
        <w:tabs>
          <w:tab w:leader="none" w:pos="84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registration, listing and filing fees (including fees with respect to filings required to be made with the Financial Industry Regulatory Authority, Inc.) and any national securities exchange on which the Common Stock is then listed;</w:t>
      </w:r>
    </w:p>
    <w:p>
      <w:pPr>
        <w:spacing w:after="0" w:line="151" w:lineRule="exact"/>
        <w:rPr>
          <w:rFonts w:ascii="Arial" w:cs="Arial" w:eastAsia="Arial" w:hAnsi="Arial"/>
          <w:sz w:val="16"/>
          <w:szCs w:val="16"/>
          <w:color w:val="auto"/>
        </w:rPr>
      </w:pPr>
    </w:p>
    <w:p>
      <w:pPr>
        <w:ind w:right="20" w:firstLine="569"/>
        <w:spacing w:after="0" w:line="275" w:lineRule="auto"/>
        <w:tabs>
          <w:tab w:leader="none" w:pos="85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51" w:lineRule="exact"/>
        <w:rPr>
          <w:rFonts w:ascii="Arial" w:cs="Arial" w:eastAsia="Arial" w:hAnsi="Arial"/>
          <w:sz w:val="16"/>
          <w:szCs w:val="16"/>
          <w:color w:val="auto"/>
        </w:rPr>
      </w:pPr>
    </w:p>
    <w:p>
      <w:pPr>
        <w:ind w:left="820" w:hanging="251"/>
        <w:spacing w:after="0"/>
        <w:tabs>
          <w:tab w:leader="none" w:pos="8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printing, messenger, telephone and delivery expenses;</w:t>
      </w:r>
    </w:p>
    <w:p>
      <w:pPr>
        <w:spacing w:after="0" w:line="198" w:lineRule="exact"/>
        <w:rPr>
          <w:rFonts w:ascii="Arial" w:cs="Arial" w:eastAsia="Arial" w:hAnsi="Arial"/>
          <w:sz w:val="16"/>
          <w:szCs w:val="16"/>
          <w:color w:val="auto"/>
        </w:rPr>
      </w:pPr>
    </w:p>
    <w:p>
      <w:pPr>
        <w:ind w:left="840" w:hanging="271"/>
        <w:spacing w:after="0"/>
        <w:tabs>
          <w:tab w:leader="none" w:pos="8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fees and disbursements of counsel for the Company;</w:t>
      </w:r>
    </w:p>
    <w:p>
      <w:pPr>
        <w:spacing w:after="0" w:line="198" w:lineRule="exact"/>
        <w:rPr>
          <w:rFonts w:ascii="Arial" w:cs="Arial" w:eastAsia="Arial" w:hAnsi="Arial"/>
          <w:sz w:val="16"/>
          <w:szCs w:val="16"/>
          <w:color w:val="auto"/>
        </w:rPr>
      </w:pPr>
    </w:p>
    <w:p>
      <w:pPr>
        <w:ind w:right="20" w:firstLine="569"/>
        <w:spacing w:after="0" w:line="275" w:lineRule="auto"/>
        <w:tabs>
          <w:tab w:leader="none" w:pos="84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fees and disbursements of all independent registered public accountants of the Company and any other persons, including special experts, retained by the Company, incurred in connection with such Registration;</w:t>
      </w:r>
    </w:p>
    <w:p>
      <w:pPr>
        <w:spacing w:after="0" w:line="151" w:lineRule="exact"/>
        <w:rPr>
          <w:rFonts w:ascii="Arial" w:cs="Arial" w:eastAsia="Arial" w:hAnsi="Arial"/>
          <w:sz w:val="16"/>
          <w:szCs w:val="16"/>
          <w:color w:val="auto"/>
        </w:rPr>
      </w:pPr>
    </w:p>
    <w:p>
      <w:pPr>
        <w:ind w:right="20" w:firstLine="569"/>
        <w:spacing w:after="0" w:line="309" w:lineRule="auto"/>
        <w:tabs>
          <w:tab w:leader="none" w:pos="816"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all expenses in connection with the preparation, printing and filing of a Registration Statement, any Prospectus and amendments and supplements thereto and the mailing and delivering of copies thereof to any Holders, underwriters and dealers and all expenses incidental to delivery of the Registrable Securities; and</w:t>
      </w:r>
    </w:p>
    <w:p>
      <w:pPr>
        <w:spacing w:after="0" w:line="129" w:lineRule="exact"/>
        <w:rPr>
          <w:rFonts w:ascii="Arial" w:cs="Arial" w:eastAsia="Arial" w:hAnsi="Arial"/>
          <w:sz w:val="15"/>
          <w:szCs w:val="15"/>
          <w:color w:val="auto"/>
        </w:rPr>
      </w:pPr>
    </w:p>
    <w:p>
      <w:pPr>
        <w:ind w:right="20" w:firstLine="569"/>
        <w:spacing w:after="0" w:line="275" w:lineRule="auto"/>
        <w:tabs>
          <w:tab w:leader="none" w:pos="8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an Underwritten Offering, Block Trade or Other Coordinated Offering, reasonable fees and expenses of one (1) legal counsel selected by the majority-in-interest of the Demanding Holders (not to exceed $75,000 without the consent of the Company).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42" w:name="page143"/>
    <w:bookmarkEnd w:id="142"/>
    <w:p>
      <w:pPr>
        <w:jc w:val="both"/>
        <w:ind w:firstLine="574"/>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Registrable Securities</w:t>
      </w:r>
      <w:r>
        <w:rPr>
          <w:rFonts w:ascii="Arial" w:cs="Arial" w:eastAsia="Arial" w:hAnsi="Arial"/>
          <w:sz w:val="14"/>
          <w:szCs w:val="14"/>
          <w:color w:val="auto"/>
        </w:rPr>
        <w:t>” means (i) the Initial Shares, (ii) the Private Shares, (iii) the Merger Shares, (iv) the shares of Common Stock issuable upon exercise of the Merger Options, and (v) any warrants, shares of capital stock or other securities of the Company issued as a dividend or other distribution with respect to or in exchange for or in replacement of the shares specified in clauses (i) through (iv).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any volume limitations.</w:t>
      </w:r>
    </w:p>
    <w:p>
      <w:pPr>
        <w:spacing w:after="0" w:line="140"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2"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Release Date</w:t>
      </w:r>
      <w:r>
        <w:rPr>
          <w:rFonts w:ascii="Arial" w:cs="Arial" w:eastAsia="Arial" w:hAnsi="Arial"/>
          <w:sz w:val="16"/>
          <w:szCs w:val="16"/>
          <w:color w:val="auto"/>
        </w:rPr>
        <w:t>” means the date on which the Initial Shares are disbursed from escrow pursuant to Section 3 of that certain Stock Escrow Agreement dated as of September 2, 2020 by and among the Investors and Continental Stock Transfer &amp; Trust Company.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Requesting Holders</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Shelf</w:t>
      </w:r>
      <w:r>
        <w:rPr>
          <w:rFonts w:ascii="Arial" w:cs="Arial" w:eastAsia="Arial" w:hAnsi="Arial"/>
          <w:sz w:val="16"/>
          <w:szCs w:val="16"/>
          <w:color w:val="auto"/>
        </w:rPr>
        <w:t>” shall mean the Form S-1 Shelf, the Form S-3 Shelf or any Subsequent Shelf Registration Statement, as the case may be.</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Shelf Registration</w:t>
      </w:r>
      <w:r>
        <w:rPr>
          <w:rFonts w:ascii="Arial" w:cs="Arial" w:eastAsia="Arial" w:hAnsi="Arial"/>
          <w:sz w:val="16"/>
          <w:szCs w:val="16"/>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u w:val="single" w:color="auto"/>
          <w:color w:val="auto"/>
        </w:rPr>
        <w:t>Shelf Takedown</w:t>
      </w:r>
      <w:r>
        <w:rPr>
          <w:rFonts w:ascii="Arial" w:cs="Arial" w:eastAsia="Arial" w:hAnsi="Arial"/>
          <w:sz w:val="14"/>
          <w:szCs w:val="14"/>
          <w:color w:val="auto"/>
        </w:rPr>
        <w:t>” shall mean an Underwritten Shelf Takedown or any proposed transfer or sale using a Registration Statement, including a Piggyback Registration.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Sponsor</w:t>
      </w:r>
      <w:r>
        <w:rPr>
          <w:rFonts w:ascii="Arial" w:cs="Arial" w:eastAsia="Arial" w:hAnsi="Arial"/>
          <w:sz w:val="16"/>
          <w:szCs w:val="16"/>
          <w:color w:val="auto"/>
        </w:rPr>
        <w:t>” means BCTG Holdings, LLC.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Subscription Agreement</w:t>
      </w:r>
      <w:r>
        <w:rPr>
          <w:rFonts w:ascii="Arial" w:cs="Arial" w:eastAsia="Arial" w:hAnsi="Arial"/>
          <w:sz w:val="16"/>
          <w:szCs w:val="16"/>
          <w:color w:val="auto"/>
        </w:rPr>
        <w:t>” shall be as defined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Subsequent Shelf Registration Statement</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means a securities dealer who purchases any Registrable Securities as principal in an underwritten offering and not as part of such dealer’s market-making activities.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 shall mean a Registration in which securities of the Company are sold to an Underwriter in a firm commitment underwriting for distribution to the public.</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Underwritten Shelf Takedown</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Withdrawal Notice</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43" w:name="page144"/>
    <w:bookmarkEnd w:id="143"/>
    <w:p>
      <w:pPr>
        <w:ind w:left="160" w:hanging="151"/>
        <w:spacing w:after="0"/>
        <w:tabs>
          <w:tab w:leader="none" w:pos="16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Filing</w:t>
      </w:r>
      <w:r>
        <w:rPr>
          <w:rFonts w:ascii="Arial" w:cs="Arial" w:eastAsia="Arial" w:hAnsi="Arial"/>
          <w:sz w:val="15"/>
          <w:szCs w:val="15"/>
          <w:color w:val="auto"/>
        </w:rPr>
        <w:t>. As soon as practicable but no later than thirty (30) calendar days following the closing date of the Merger, the Company shall submit to or file with the Commission a Registration Statement for a Shelf Registration on Form S-1 (the “</w:t>
      </w:r>
      <w:r>
        <w:rPr>
          <w:rFonts w:ascii="Arial" w:cs="Arial" w:eastAsia="Arial" w:hAnsi="Arial"/>
          <w:sz w:val="15"/>
          <w:szCs w:val="15"/>
          <w:b w:val="1"/>
          <w:bCs w:val="1"/>
          <w:u w:val="single" w:color="auto"/>
          <w:color w:val="auto"/>
        </w:rPr>
        <w:t>Form S-1 Shelf</w:t>
      </w:r>
      <w:r>
        <w:rPr>
          <w:rFonts w:ascii="Arial" w:cs="Arial" w:eastAsia="Arial" w:hAnsi="Arial"/>
          <w:sz w:val="15"/>
          <w:szCs w:val="15"/>
          <w:color w:val="auto"/>
        </w:rPr>
        <w:t>”) or a Registration Statement for a Shelf Registration on Form S-3 (the “</w:t>
      </w:r>
      <w:r>
        <w:rPr>
          <w:rFonts w:ascii="Arial" w:cs="Arial" w:eastAsia="Arial" w:hAnsi="Arial"/>
          <w:sz w:val="15"/>
          <w:szCs w:val="15"/>
          <w:b w:val="1"/>
          <w:bCs w:val="1"/>
          <w:u w:val="single" w:color="auto"/>
          <w:color w:val="auto"/>
        </w:rPr>
        <w:t>Form S-3 Shelf</w:t>
      </w:r>
      <w:r>
        <w:rPr>
          <w:rFonts w:ascii="Arial" w:cs="Arial" w:eastAsia="Arial" w:hAnsi="Arial"/>
          <w:sz w:val="15"/>
          <w:szCs w:val="15"/>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sixty (60) calendar days (or ninety (90) calendar days if the Commission notifies the Company that it will “review” such Shelf Registration) following the initial filing date thereof and (b) ten (10) business days after the Company is notified (orally or in writing, whichever is earlier) by the Commission that such Shelf Registration will not be “reviewed” or will not be subject to further review. Such Shelf shall provide for the resale of the Registrable Securities included therein pursuant to any method or combination of methods legally available (the “</w:t>
      </w:r>
      <w:r>
        <w:rPr>
          <w:rFonts w:ascii="Arial" w:cs="Arial" w:eastAsia="Arial" w:hAnsi="Arial"/>
          <w:sz w:val="15"/>
          <w:szCs w:val="15"/>
          <w:b w:val="1"/>
          <w:bCs w:val="1"/>
          <w:u w:val="single" w:color="auto"/>
          <w:color w:val="auto"/>
        </w:rPr>
        <w:t>Plan of Distribution</w:t>
      </w:r>
      <w:r>
        <w:rPr>
          <w:rFonts w:ascii="Arial" w:cs="Arial" w:eastAsia="Arial" w:hAnsi="Arial"/>
          <w:sz w:val="15"/>
          <w:szCs w:val="15"/>
          <w:color w:val="auto"/>
        </w:rPr>
        <w:t>”)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a Form S-3 Shelf. The Company shall, if requested by the Holder, use its best efforts to (i) cause the removal of any restrictive legend related to compliance with the federal securities laws set forth on the Registrable Securities, (ii) cause its legal counsel to deliver an opinion, if necessary, to the transfer agent in connection with the instruction under subclause (i) to the effect that removal of such legends in such circumstances may be effected in compliance under the Securities Act, and (iii) issue Registrable Securities without any such legend in certificated or book-entry form or by electronic delivery through The Depository Trust Company, at the Holder’s option, within two (2) business days of such request, if (A) the Registrable Securities are registered for resale under the Securities Act, (B) the Registrable Securities may be sold by the Holder without restriction under Rule 144, including without limitation, any volume and manner of sale restrictions, or (C) the Holder has sold or transferred, or proposes to sell or transfer within five (5) business days of such request, Registrable Securities pursuant to the Registration Statement or in compliance with Rule 144. The Company’s obligation to remove legends under this Section 2.1.1 may be conditioned upon the Holder timely providing such representations and documentation as are reasonably necessary and customarily required in connection with the removal of restrictive legends related to compliance with the federal securities laws.</w:t>
      </w:r>
    </w:p>
    <w:p>
      <w:pPr>
        <w:spacing w:after="0" w:line="159"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Subsequent Shelf Registration</w:t>
      </w:r>
      <w:r>
        <w:rPr>
          <w:rFonts w:ascii="Arial" w:cs="Arial" w:eastAsia="Arial" w:hAnsi="Arial"/>
          <w:sz w:val="15"/>
          <w:szCs w:val="15"/>
          <w:color w:val="auto"/>
        </w:rPr>
        <w:t>. If any Shelf ceases to be effective under the Securities Act for any reason at any time while Registrable Securities are still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5"/>
          <w:szCs w:val="15"/>
          <w:b w:val="1"/>
          <w:bCs w:val="1"/>
          <w:u w:val="single" w:color="auto"/>
          <w:color w:val="auto"/>
        </w:rPr>
        <w:t>Subsequent Shelf</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Registration Statement</w:t>
      </w:r>
      <w:r>
        <w:rPr>
          <w:rFonts w:ascii="Arial" w:cs="Arial" w:eastAsia="Arial" w:hAnsi="Arial"/>
          <w:sz w:val="15"/>
          <w:szCs w:val="15"/>
          <w:color w:val="auto"/>
        </w:rPr>
        <w:t>”) registering the resale of all Registrable Securities (determined as of two (2) business days prior to such filing), and pursuant to the Plan of</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w:t>
      </w:r>
    </w:p>
    <w:p>
      <w:pPr>
        <w:spacing w:after="0" w:line="25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4" w:name="page145"/>
    <w:bookmarkEnd w:id="144"/>
    <w:p>
      <w:pPr>
        <w:jc w:val="both"/>
        <w:ind w:firstLine="574"/>
        <w:spacing w:after="0" w:line="297"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u w:val="single" w:color="auto"/>
          <w:color w:val="auto"/>
        </w:rPr>
        <w:t>Additional Registrable Securities</w:t>
      </w:r>
      <w:r>
        <w:rPr>
          <w:rFonts w:ascii="Arial" w:cs="Arial" w:eastAsia="Arial" w:hAnsi="Arial"/>
          <w:sz w:val="14"/>
          <w:szCs w:val="14"/>
          <w:color w:val="auto"/>
        </w:rPr>
        <w:t xml:space="preserve">. 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only be required to cause such additional Registrable Securities to be so covered once per calendar year for each of the Investors (as a group) and the Tango Investors (as a group) for an aggregate of not more than three (3) additional registrations per calendar year.</w:t>
      </w:r>
    </w:p>
    <w:p>
      <w:pPr>
        <w:spacing w:after="0" w:line="143"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2.1.4 </w:t>
      </w:r>
      <w:r>
        <w:rPr>
          <w:rFonts w:ascii="Arial" w:cs="Arial" w:eastAsia="Arial" w:hAnsi="Arial"/>
          <w:sz w:val="15"/>
          <w:szCs w:val="15"/>
          <w:u w:val="single" w:color="auto"/>
          <w:color w:val="auto"/>
        </w:rPr>
        <w:t>Requests for Underwritten Shelf Takedowns</w:t>
      </w:r>
      <w:r>
        <w:rPr>
          <w:rFonts w:ascii="Arial" w:cs="Arial" w:eastAsia="Arial" w:hAnsi="Arial"/>
          <w:sz w:val="15"/>
          <w:szCs w:val="15"/>
          <w:color w:val="auto"/>
        </w:rPr>
        <w:t>. At any time and from time to time when an effective Shelf is on file with the Commission, a Holder (in such case, a “</w:t>
      </w:r>
      <w:r>
        <w:rPr>
          <w:rFonts w:ascii="Arial" w:cs="Arial" w:eastAsia="Arial" w:hAnsi="Arial"/>
          <w:sz w:val="15"/>
          <w:szCs w:val="15"/>
          <w:b w:val="1"/>
          <w:bCs w:val="1"/>
          <w:u w:val="single" w:color="auto"/>
          <w:color w:val="auto"/>
        </w:rPr>
        <w:t>Demanding Holder</w:t>
      </w:r>
      <w:r>
        <w:rPr>
          <w:rFonts w:ascii="Arial" w:cs="Arial" w:eastAsia="Arial" w:hAnsi="Arial"/>
          <w:sz w:val="15"/>
          <w:szCs w:val="15"/>
          <w:color w:val="auto"/>
        </w:rPr>
        <w:t>”) may request to sell all or any portion of its Registrable Securities in an Underwritten Offering that is registered pursuant to the Shelf (each, an “</w:t>
      </w:r>
      <w:r>
        <w:rPr>
          <w:rFonts w:ascii="Arial" w:cs="Arial" w:eastAsia="Arial" w:hAnsi="Arial"/>
          <w:sz w:val="15"/>
          <w:szCs w:val="15"/>
          <w:b w:val="1"/>
          <w:bCs w:val="1"/>
          <w:u w:val="single" w:color="auto"/>
          <w:color w:val="auto"/>
        </w:rPr>
        <w:t>Underwritten Shelf Takedown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at least $20 million (the “</w:t>
      </w:r>
      <w:r>
        <w:rPr>
          <w:rFonts w:ascii="Arial" w:cs="Arial" w:eastAsia="Arial" w:hAnsi="Arial"/>
          <w:sz w:val="15"/>
          <w:szCs w:val="15"/>
          <w:b w:val="1"/>
          <w:bCs w:val="1"/>
          <w:u w:val="single" w:color="auto"/>
          <w:color w:val="auto"/>
        </w:rPr>
        <w:t>Minimum Takedown Threshold</w:t>
      </w:r>
      <w:r>
        <w:rPr>
          <w:rFonts w:ascii="Arial" w:cs="Arial" w:eastAsia="Arial" w:hAnsi="Arial"/>
          <w:sz w:val="15"/>
          <w:szCs w:val="15"/>
          <w:color w:val="auto"/>
        </w:rPr>
        <w:t>”).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Investors and the Tango Investors may each demand not more than three (3) Underwritten Shelf Takedowns, for an aggregate of not more than six (6) Underwritten Shelf Takedowns pursuant to this Agreement. The Company shall not be required to effect more than one (1) Underwritten Shelf Takedown during in any six (6) month period. Notwithstanding anything to the contrary in this Agreement, the Company may effect any Underwritten Offering pursuant to any then effective Registration Statement, including a Form S-3, that is then available for such offering.</w:t>
      </w:r>
    </w:p>
    <w:p>
      <w:pPr>
        <w:spacing w:after="0" w:line="157"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2.1.5 </w:t>
      </w:r>
      <w:r>
        <w:rPr>
          <w:rFonts w:ascii="Arial" w:cs="Arial" w:eastAsia="Arial" w:hAnsi="Arial"/>
          <w:sz w:val="15"/>
          <w:szCs w:val="15"/>
          <w:u w:val="single" w:color="auto"/>
          <w:color w:val="auto"/>
        </w:rPr>
        <w:t>Reduction of Underwritten Offering</w:t>
      </w:r>
      <w:r>
        <w:rPr>
          <w:rFonts w:ascii="Arial" w:cs="Arial" w:eastAsia="Arial" w:hAnsi="Arial"/>
          <w:sz w:val="15"/>
          <w:szCs w:val="15"/>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Arial" w:cs="Arial" w:eastAsia="Arial" w:hAnsi="Arial"/>
          <w:sz w:val="15"/>
          <w:szCs w:val="15"/>
          <w:b w:val="1"/>
          <w:bCs w:val="1"/>
          <w:color w:val="auto"/>
        </w:rPr>
        <w:t>Requesting Holders</w:t>
      </w:r>
      <w:r>
        <w:rPr>
          <w:rFonts w:ascii="Arial" w:cs="Arial" w:eastAsia="Arial" w:hAnsi="Arial"/>
          <w:sz w:val="15"/>
          <w:szCs w:val="15"/>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5"/>
          <w:szCs w:val="15"/>
          <w:b w:val="1"/>
          <w:bCs w:val="1"/>
          <w:color w:val="auto"/>
        </w:rPr>
        <w:t>Maximum Number of Securities</w:t>
      </w:r>
      <w:r>
        <w:rPr>
          <w:rFonts w:ascii="Arial" w:cs="Arial" w:eastAsia="Arial" w:hAnsi="Arial"/>
          <w:sz w:val="15"/>
          <w:szCs w:val="15"/>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(i) first, the Demanding Holders that can be sold without exceeding the Maximum Number of Securities (pro rata based on the respective number of Registrable Securities that each Demanding Holder has requested be included in such Underwritten Shelf Takedown and the aggregate number of Registrable Securities that all of the Demanding Holders have requested be included in such Underwritten Shelf Takedown) and (ii) second, to the extent that the Maximum Number of Securities has not been reached under the foregoing clause (i), the Requesting Holders (if any) (pro rata based on the respective number of Registrable Securities that each Requesting Holder (if any) has requested be included in such Underwritten Shelf Takedown and the aggregate number of Registrable Securities that all of the Requesting Holders have requested be included in such Underwritten Shelf Takedown) that can be sold without exceeding the Maximum Number of Securities.</w:t>
      </w:r>
    </w:p>
    <w:p>
      <w:pPr>
        <w:spacing w:after="0" w:line="264"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5" w:name="page146"/>
    <w:bookmarkEnd w:id="145"/>
    <w:p>
      <w:pPr>
        <w:jc w:val="both"/>
        <w:ind w:firstLine="574"/>
        <w:spacing w:after="0" w:line="268" w:lineRule="auto"/>
        <w:rPr>
          <w:sz w:val="20"/>
          <w:szCs w:val="20"/>
          <w:color w:val="auto"/>
        </w:rPr>
      </w:pPr>
      <w:r>
        <w:rPr>
          <w:rFonts w:ascii="Arial" w:cs="Arial" w:eastAsia="Arial" w:hAnsi="Arial"/>
          <w:sz w:val="15"/>
          <w:szCs w:val="15"/>
          <w:color w:val="auto"/>
        </w:rPr>
        <w:t xml:space="preserve">2.1.6 </w:t>
      </w:r>
      <w:r>
        <w:rPr>
          <w:rFonts w:ascii="Arial" w:cs="Arial" w:eastAsia="Arial" w:hAnsi="Arial"/>
          <w:sz w:val="15"/>
          <w:szCs w:val="15"/>
          <w:u w:val="single" w:color="auto"/>
          <w:color w:val="auto"/>
        </w:rPr>
        <w:t>Withdrawal</w:t>
      </w:r>
      <w:r>
        <w:rPr>
          <w:rFonts w:ascii="Arial" w:cs="Arial" w:eastAsia="Arial" w:hAnsi="Arial"/>
          <w:sz w:val="15"/>
          <w:szCs w:val="15"/>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Arial" w:cs="Arial" w:eastAsia="Arial" w:hAnsi="Arial"/>
          <w:sz w:val="15"/>
          <w:szCs w:val="15"/>
          <w:b w:val="1"/>
          <w:bCs w:val="1"/>
          <w:color w:val="auto"/>
        </w:rPr>
        <w:t>Withdrawal Notice</w:t>
      </w:r>
      <w:r>
        <w:rPr>
          <w:rFonts w:ascii="Arial" w:cs="Arial" w:eastAsia="Arial" w:hAnsi="Arial"/>
          <w:sz w:val="15"/>
          <w:szCs w:val="15"/>
          <w:color w:val="auto"/>
        </w:rPr>
        <w:t xml:space="preserve">”) to the Company and the Underwriter or Underwriters (if any) of their intention to withdraw from such Underwritten Shelf Takedown;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Sponsor or a Tango Investor may elect to have the Company continue an Underwritten Shelf Takedown if the Minimum Takedown Threshold would still be satisfied by the Registrable Securities proposed to be sold in the Underwritten Shelf Takedown by the Sponsor the Tango Investors or any of their respective Permitted Transferees, as applicable. If withdrawn, a demand for an Underwritten Shelf Takedown shall constitute a demand for an Underwritten Shelf Takedown by the withdrawing Demanding Holder for purposes of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unless either (i) such Demanding Holder has not previously withdrawn any Underwritten Shelf Takedown or (ii) 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Sponsor, a Director Holder or a Tango Investor elects to continue an Underwritten Shelf Takedown pursuant to the proviso in the immediately preceding sentence, such Underwritten Shelf Takedown shall instead count as an Underwritten Shelf Takedown demanded by the Sponsor, such Director Holder or such Tango Investor, as applicable, for purposes of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other than if a Demanding Holder elects to pay such Registration Expenses pursuant to clause (ii) of the second sentence of this </w:t>
      </w:r>
      <w:r>
        <w:rPr>
          <w:rFonts w:ascii="Arial" w:cs="Arial" w:eastAsia="Arial" w:hAnsi="Arial"/>
          <w:sz w:val="15"/>
          <w:szCs w:val="15"/>
          <w:u w:val="single" w:color="auto"/>
          <w:color w:val="auto"/>
        </w:rPr>
        <w:t>Section 0</w:t>
      </w:r>
      <w:r>
        <w:rPr>
          <w:rFonts w:ascii="Arial" w:cs="Arial" w:eastAsia="Arial" w:hAnsi="Arial"/>
          <w:sz w:val="15"/>
          <w:szCs w:val="15"/>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u w:val="single" w:color="auto"/>
          <w:color w:val="auto"/>
        </w:rPr>
        <w:t>Piggy-Back Rights</w:t>
      </w:r>
      <w:r>
        <w:rPr>
          <w:rFonts w:ascii="Arial" w:cs="Arial" w:eastAsia="Arial" w:hAnsi="Arial"/>
          <w:sz w:val="15"/>
          <w:szCs w:val="15"/>
          <w:color w:val="auto"/>
        </w:rPr>
        <w:t>. If at any time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5"/>
          <w:szCs w:val="15"/>
          <w:b w:val="1"/>
          <w:bCs w:val="1"/>
          <w:u w:val="single" w:color="auto"/>
          <w:color w:val="auto"/>
        </w:rPr>
        <w:t>Piggy-Back Registration</w:t>
      </w:r>
      <w:r>
        <w:rPr>
          <w:rFonts w:ascii="Arial" w:cs="Arial" w:eastAsia="Arial" w:hAnsi="Arial"/>
          <w:sz w:val="15"/>
          <w:szCs w:val="15"/>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59"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u w:val="single" w:color="auto"/>
          <w:color w:val="auto"/>
        </w:rPr>
        <w:t>Reduction of Offering</w:t>
      </w:r>
      <w:r>
        <w:rPr>
          <w:rFonts w:ascii="Arial" w:cs="Arial" w:eastAsia="Arial" w:hAnsi="Arial"/>
          <w:sz w:val="15"/>
          <w:szCs w:val="15"/>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Securities, then the Company shall include in any such registration:</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6" w:name="page147"/>
    <w:bookmarkEnd w:id="146"/>
    <w:p>
      <w:pPr>
        <w:jc w:val="both"/>
        <w:ind w:left="1160" w:firstLine="570"/>
        <w:spacing w:after="0" w:line="272" w:lineRule="auto"/>
        <w:tabs>
          <w:tab w:leader="none" w:pos="1955" w:val="left"/>
        </w:tabs>
        <w:numPr>
          <w:ilvl w:val="1"/>
          <w:numId w:val="135"/>
        </w:numPr>
        <w:rPr>
          <w:rFonts w:ascii="Arial" w:cs="Arial" w:eastAsia="Arial" w:hAnsi="Arial"/>
          <w:sz w:val="15"/>
          <w:szCs w:val="15"/>
          <w:color w:val="auto"/>
        </w:rPr>
      </w:pPr>
      <w:r>
        <w:rPr>
          <w:rFonts w:ascii="Arial" w:cs="Arial" w:eastAsia="Arial" w:hAnsi="Arial"/>
          <w:sz w:val="15"/>
          <w:szCs w:val="15"/>
          <w:color w:val="auto"/>
        </w:rPr>
        <w:t>If the registration is undertaken for the Company’s account: (A) first, the shares of Common Stock or other securities that the Company desires to sell that can be sold without exceeding the Maximum Number of Securities; (B) second, to the extent that the Maximum Number of Securities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Securities; and (C) third, to the extent that the Maximum Number of Securities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Securities;</w:t>
      </w:r>
    </w:p>
    <w:p>
      <w:pPr>
        <w:spacing w:after="0" w:line="156" w:lineRule="exact"/>
        <w:rPr>
          <w:rFonts w:ascii="Arial" w:cs="Arial" w:eastAsia="Arial" w:hAnsi="Arial"/>
          <w:sz w:val="15"/>
          <w:szCs w:val="15"/>
          <w:color w:val="auto"/>
        </w:rPr>
      </w:pPr>
    </w:p>
    <w:p>
      <w:pPr>
        <w:ind w:left="1960" w:hanging="230"/>
        <w:spacing w:after="0"/>
        <w:tabs>
          <w:tab w:leader="none" w:pos="196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If the registration is a “demand” registration undertaken at the demand of persons other than either the holders of Registrable Securities,</w:t>
      </w:r>
    </w:p>
    <w:p>
      <w:pPr>
        <w:spacing w:after="0" w:line="42" w:lineRule="exact"/>
        <w:rPr>
          <w:rFonts w:ascii="Arial" w:cs="Arial" w:eastAsia="Arial" w:hAnsi="Arial"/>
          <w:sz w:val="14"/>
          <w:szCs w:val="14"/>
          <w:color w:val="auto"/>
        </w:rPr>
      </w:pPr>
    </w:p>
    <w:p>
      <w:pPr>
        <w:jc w:val="both"/>
        <w:ind w:left="1160" w:right="20" w:hanging="4"/>
        <w:spacing w:after="0" w:line="285" w:lineRule="auto"/>
        <w:tabs>
          <w:tab w:leader="none" w:pos="1423" w:val="left"/>
        </w:tabs>
        <w:numPr>
          <w:ilvl w:val="0"/>
          <w:numId w:val="136"/>
        </w:numPr>
        <w:rPr>
          <w:rFonts w:ascii="Arial" w:cs="Arial" w:eastAsia="Arial" w:hAnsi="Arial"/>
          <w:sz w:val="14"/>
          <w:szCs w:val="14"/>
          <w:color w:val="auto"/>
        </w:rPr>
      </w:pPr>
      <w:r>
        <w:rPr>
          <w:rFonts w:ascii="Arial" w:cs="Arial" w:eastAsia="Arial" w:hAnsi="Arial"/>
          <w:sz w:val="14"/>
          <w:szCs w:val="14"/>
          <w:color w:val="auto"/>
        </w:rPr>
        <w:t>first, the shares of Common Stock or other securities for the account of the demanding persons that can be sold without exceeding the Maximum Number of Securities; (B) second, to the extent that the Maximum Number of Securities has not been reached under the foregoing clause (A), the shares of Common Stock or other securities that the Company desires to sell that can be sold without exceeding the Maximum Number of Securities;</w:t>
      </w:r>
    </w:p>
    <w:p>
      <w:pPr>
        <w:jc w:val="both"/>
        <w:ind w:left="1160" w:hanging="4"/>
        <w:spacing w:after="0" w:line="251" w:lineRule="auto"/>
        <w:tabs>
          <w:tab w:leader="none" w:pos="141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third, to the extent that the Maximum Number of Securities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Securities; and (D) fourth, to the extent that the Maximum Number of Securities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Securities.</w:t>
      </w:r>
    </w:p>
    <w:p>
      <w:pPr>
        <w:spacing w:after="0" w:line="171"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2.2.3 </w:t>
      </w:r>
      <w:r>
        <w:rPr>
          <w:rFonts w:ascii="Arial" w:cs="Arial" w:eastAsia="Arial" w:hAnsi="Arial"/>
          <w:sz w:val="15"/>
          <w:szCs w:val="15"/>
          <w:u w:val="single" w:color="auto"/>
          <w:color w:val="auto"/>
        </w:rPr>
        <w:t>Withdrawal</w:t>
      </w:r>
      <w:r>
        <w:rPr>
          <w:rFonts w:ascii="Arial" w:cs="Arial" w:eastAsia="Arial" w:hAnsi="Arial"/>
          <w:sz w:val="15"/>
          <w:szCs w:val="15"/>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Block Trades; Other Coordinated Offerings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2.3.1 Notwithstanding any other provision of this Article II, but subject to </w:t>
      </w:r>
      <w:r>
        <w:rPr>
          <w:rFonts w:ascii="Arial" w:cs="Arial" w:eastAsia="Arial" w:hAnsi="Arial"/>
          <w:sz w:val="14"/>
          <w:szCs w:val="14"/>
          <w:u w:val="single" w:color="auto"/>
          <w:color w:val="auto"/>
        </w:rPr>
        <w:t>Section 3.4</w:t>
      </w:r>
      <w:r>
        <w:rPr>
          <w:rFonts w:ascii="Arial" w:cs="Arial" w:eastAsia="Arial" w:hAnsi="Arial"/>
          <w:sz w:val="14"/>
          <w:szCs w:val="14"/>
          <w:color w:val="auto"/>
        </w:rPr>
        <w:t>, at any time and from time to time when an effective Shelf is on file with the Commission, if a Demanding Holder notifies the Company that such Demanding Holder wishes to engage in (a) an underwritten registered offering not involving a “roadshow,” an offer commonly known as a “block trade” (a “</w:t>
      </w:r>
      <w:r>
        <w:rPr>
          <w:rFonts w:ascii="Arial" w:cs="Arial" w:eastAsia="Arial" w:hAnsi="Arial"/>
          <w:sz w:val="14"/>
          <w:szCs w:val="14"/>
          <w:b w:val="1"/>
          <w:bCs w:val="1"/>
          <w:color w:val="auto"/>
        </w:rPr>
        <w:t>Block Trade</w:t>
      </w:r>
      <w:r>
        <w:rPr>
          <w:rFonts w:ascii="Arial" w:cs="Arial" w:eastAsia="Arial" w:hAnsi="Arial"/>
          <w:sz w:val="14"/>
          <w:szCs w:val="14"/>
          <w:color w:val="auto"/>
        </w:rPr>
        <w:t>”), or (b) an “at the market” or similar registered offering through a broker, sales agent or distribution agent, whether as agent or principal (an “</w:t>
      </w:r>
      <w:r>
        <w:rPr>
          <w:rFonts w:ascii="Arial" w:cs="Arial" w:eastAsia="Arial" w:hAnsi="Arial"/>
          <w:sz w:val="14"/>
          <w:szCs w:val="14"/>
          <w:b w:val="1"/>
          <w:bCs w:val="1"/>
          <w:color w:val="auto"/>
        </w:rPr>
        <w:t>Other Coordinated Offering</w:t>
      </w:r>
      <w:r>
        <w:rPr>
          <w:rFonts w:ascii="Arial" w:cs="Arial" w:eastAsia="Arial" w:hAnsi="Arial"/>
          <w:sz w:val="14"/>
          <w:szCs w:val="14"/>
          <w:color w:val="auto"/>
        </w:rPr>
        <w:t xml:space="preserve">”), in each case, (x) with a total offering price reasonably expected to exceed ten million dollars ($10,000,000) in the aggregate or (y) with respect to all remaining Registrable Securities held by the Demanding Holder, then such Demanding Holder only needs to notify the Company of the Block Trade or Other Coordinated Offering at least five (5) business days prior to the day such offering is to commence and the Company shall, use its reasonable best efforts to facilitate as expeditiously as possible, such Block Trade or Other Coordinated Offering of the Registrable Securities for which such Demanding Holder has requested such offering, without giving any effect to any required notice periods or delivery of notices to any other Holders; provided, that the Demanding Holders representing a majority of the Registrable Securities wishing to engage in the Block Trade or Other Coordinated Offering shall use reasonable best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 Any offering conducted as a Block Trade or Other Coordinated Offering will not count as an Underwritten Shelf Takedown for the purposes of </w:t>
      </w:r>
      <w:r>
        <w:rPr>
          <w:rFonts w:ascii="Arial" w:cs="Arial" w:eastAsia="Arial" w:hAnsi="Arial"/>
          <w:sz w:val="14"/>
          <w:szCs w:val="14"/>
          <w:u w:val="single" w:color="auto"/>
          <w:color w:val="auto"/>
        </w:rPr>
        <w:t>Section 2.1.4</w:t>
      </w:r>
      <w:r>
        <w:rPr>
          <w:rFonts w:ascii="Arial" w:cs="Arial" w:eastAsia="Arial" w:hAnsi="Arial"/>
          <w:sz w:val="14"/>
          <w:szCs w:val="14"/>
          <w:color w:val="auto"/>
        </w:rPr>
        <w:t>.</w:t>
      </w:r>
    </w:p>
    <w:p>
      <w:pPr>
        <w:spacing w:after="0" w:line="24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7" w:name="page148"/>
    <w:bookmarkEnd w:id="147"/>
    <w:p>
      <w:pPr>
        <w:jc w:val="both"/>
        <w:ind w:left="560" w:firstLine="574"/>
        <w:spacing w:after="0" w:line="276" w:lineRule="auto"/>
        <w:rPr>
          <w:sz w:val="20"/>
          <w:szCs w:val="20"/>
          <w:color w:val="auto"/>
        </w:rPr>
      </w:pPr>
      <w:r>
        <w:rPr>
          <w:rFonts w:ascii="Arial" w:cs="Arial" w:eastAsia="Arial" w:hAnsi="Arial"/>
          <w:sz w:val="15"/>
          <w:szCs w:val="15"/>
          <w:color w:val="auto"/>
        </w:rPr>
        <w:t xml:space="preserve">2.3.2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5"/>
          <w:szCs w:val="15"/>
          <w:u w:val="single" w:color="auto"/>
          <w:color w:val="auto"/>
        </w:rPr>
        <w:t>Section 0</w:t>
      </w:r>
      <w:r>
        <w:rPr>
          <w:rFonts w:ascii="Arial" w:cs="Arial" w:eastAsia="Arial" w:hAnsi="Arial"/>
          <w:sz w:val="15"/>
          <w:szCs w:val="15"/>
          <w:color w:val="auto"/>
        </w:rPr>
        <w:t>.</w:t>
      </w:r>
    </w:p>
    <w:p>
      <w:pPr>
        <w:spacing w:after="0" w:line="155" w:lineRule="exact"/>
        <w:rPr>
          <w:sz w:val="20"/>
          <w:szCs w:val="20"/>
          <w:color w:val="auto"/>
        </w:rPr>
      </w:pPr>
    </w:p>
    <w:p>
      <w:pPr>
        <w:jc w:val="both"/>
        <w:ind w:left="560" w:right="20" w:firstLine="574"/>
        <w:spacing w:after="0" w:line="275" w:lineRule="auto"/>
        <w:rPr>
          <w:sz w:val="20"/>
          <w:szCs w:val="20"/>
          <w:color w:val="auto"/>
        </w:rPr>
      </w:pPr>
      <w:r>
        <w:rPr>
          <w:rFonts w:ascii="Arial" w:cs="Arial" w:eastAsia="Arial" w:hAnsi="Arial"/>
          <w:sz w:val="16"/>
          <w:szCs w:val="16"/>
          <w:color w:val="auto"/>
        </w:rPr>
        <w:t xml:space="preserve">2.3.3 Notwithstanding anything to the contrary in this Agreement,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not apply to a Block Trade or Other Coordinated Offering initiated by a Demanding Holder pursuant to this Agreement.</w:t>
      </w:r>
    </w:p>
    <w:p>
      <w:pPr>
        <w:spacing w:after="0" w:line="152" w:lineRule="exact"/>
        <w:rPr>
          <w:sz w:val="20"/>
          <w:szCs w:val="20"/>
          <w:color w:val="auto"/>
        </w:rPr>
      </w:pPr>
    </w:p>
    <w:p>
      <w:pPr>
        <w:jc w:val="both"/>
        <w:ind w:left="560" w:firstLine="574"/>
        <w:spacing w:after="0" w:line="262" w:lineRule="auto"/>
        <w:rPr>
          <w:sz w:val="20"/>
          <w:szCs w:val="20"/>
          <w:color w:val="auto"/>
        </w:rPr>
      </w:pPr>
      <w:r>
        <w:rPr>
          <w:rFonts w:ascii="Arial" w:cs="Arial" w:eastAsia="Arial" w:hAnsi="Arial"/>
          <w:sz w:val="16"/>
          <w:szCs w:val="16"/>
          <w:color w:val="auto"/>
        </w:rPr>
        <w:t>2.3.4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spacing w:after="0" w:line="162"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 xml:space="preserve">2.3.5 A Demanding Holder in the aggregate may demand no more than two (2) Block Trades or Other Coordinated Offerings pursuant to this Section 0 in any twelve (12) month period. For the avoidance of doubt, any Block Trade or Other Coordinated Offering effected pursuant to this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shall not be counted as a demand for an Underwritten Shelf Takedown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 REGISTRATION PROCEDURES.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General Procedures</w:t>
      </w:r>
      <w:r>
        <w:rPr>
          <w:rFonts w:ascii="Arial" w:cs="Arial" w:eastAsia="Arial" w:hAnsi="Arial"/>
          <w:sz w:val="15"/>
          <w:szCs w:val="15"/>
          <w:color w:val="auto"/>
        </w:rPr>
        <w:t>. In connection with any Shelf and/or Shelf Takedown, the Company shall use its commercially reasonable efforts to effect such</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Registration to permit the sale of such Registrable Securities in accordance with the intended plan of distribution thereof, and pursuant thereto the Company shall:</w:t>
      </w:r>
    </w:p>
    <w:p>
      <w:pPr>
        <w:spacing w:after="0" w:line="197" w:lineRule="exact"/>
        <w:rPr>
          <w:sz w:val="20"/>
          <w:szCs w:val="20"/>
          <w:color w:val="auto"/>
        </w:rPr>
      </w:pPr>
    </w:p>
    <w:p>
      <w:pPr>
        <w:jc w:val="both"/>
        <w:ind w:left="560" w:right="20" w:firstLine="574"/>
        <w:spacing w:after="0" w:line="258" w:lineRule="auto"/>
        <w:rPr>
          <w:sz w:val="20"/>
          <w:szCs w:val="20"/>
          <w:color w:val="auto"/>
        </w:rPr>
      </w:pPr>
      <w:r>
        <w:rPr>
          <w:rFonts w:ascii="Arial" w:cs="Arial" w:eastAsia="Arial" w:hAnsi="Arial"/>
          <w:sz w:val="16"/>
          <w:szCs w:val="16"/>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are sold in accordance with the intended plan of distribution set forth in such Registration Statement or have ceased to be Registrable Securities;</w:t>
      </w:r>
    </w:p>
    <w:p>
      <w:pPr>
        <w:spacing w:after="0" w:line="165" w:lineRule="exact"/>
        <w:rPr>
          <w:sz w:val="20"/>
          <w:szCs w:val="20"/>
          <w:color w:val="auto"/>
        </w:rPr>
      </w:pPr>
    </w:p>
    <w:p>
      <w:pPr>
        <w:jc w:val="both"/>
        <w:ind w:left="560" w:firstLine="574"/>
        <w:spacing w:after="0" w:line="254" w:lineRule="auto"/>
        <w:rPr>
          <w:sz w:val="20"/>
          <w:szCs w:val="20"/>
          <w:color w:val="auto"/>
        </w:rPr>
      </w:pPr>
      <w:r>
        <w:rPr>
          <w:rFonts w:ascii="Arial" w:cs="Arial" w:eastAsia="Arial" w:hAnsi="Arial"/>
          <w:sz w:val="16"/>
          <w:szCs w:val="16"/>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170" w:lineRule="exact"/>
        <w:rPr>
          <w:sz w:val="20"/>
          <w:szCs w:val="20"/>
          <w:color w:val="auto"/>
        </w:rPr>
      </w:pPr>
    </w:p>
    <w:p>
      <w:pPr>
        <w:jc w:val="both"/>
        <w:ind w:left="560" w:firstLine="574"/>
        <w:spacing w:after="0" w:line="273" w:lineRule="auto"/>
        <w:rPr>
          <w:sz w:val="20"/>
          <w:szCs w:val="20"/>
          <w:color w:val="auto"/>
        </w:rPr>
      </w:pPr>
      <w:r>
        <w:rPr>
          <w:rFonts w:ascii="Arial" w:cs="Arial" w:eastAsia="Arial" w:hAnsi="Arial"/>
          <w:sz w:val="15"/>
          <w:szCs w:val="15"/>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w:t>
      </w:r>
      <w:r>
        <w:rPr>
          <w:rFonts w:ascii="Arial" w:cs="Arial" w:eastAsia="Arial" w:hAnsi="Arial"/>
          <w:sz w:val="15"/>
          <w:szCs w:val="15"/>
          <w:b w:val="1"/>
          <w:bCs w:val="1"/>
          <w:u w:val="single" w:color="auto"/>
          <w:color w:val="auto"/>
        </w:rPr>
        <w:t>EDGAR</w:t>
      </w:r>
      <w:r>
        <w:rPr>
          <w:rFonts w:ascii="Arial" w:cs="Arial" w:eastAsia="Arial" w:hAnsi="Arial"/>
          <w:sz w:val="15"/>
          <w:szCs w:val="15"/>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48" w:name="page149"/>
    <w:bookmarkEnd w:id="148"/>
    <w:p>
      <w:pPr>
        <w:jc w:val="both"/>
        <w:ind w:firstLine="574"/>
        <w:spacing w:after="0" w:line="271" w:lineRule="auto"/>
        <w:rPr>
          <w:sz w:val="20"/>
          <w:szCs w:val="20"/>
          <w:color w:val="auto"/>
        </w:rPr>
      </w:pPr>
      <w:r>
        <w:rPr>
          <w:rFonts w:ascii="Arial" w:cs="Arial" w:eastAsia="Arial" w:hAnsi="Arial"/>
          <w:sz w:val="15"/>
          <w:szCs w:val="15"/>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3.1.5 cause all such Registrable Securities to be listed on each national securities exchange on which similar securities issued by the Company are then listed;</w:t>
      </w:r>
    </w:p>
    <w:p>
      <w:pPr>
        <w:spacing w:after="0" w:line="22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3.1.6 provide a transfer agent or warrant agent, as applicable, and registrar for all such Registrable Securities no later than the effective date of such Registration Statement;</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4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Section 0), furnish a copy thereof to each seller of such Registrable Securities or its counsel (excluding any exhibits thereto and any filing made under the Exchange Act that is to be incorporated by reference therein);</w:t>
      </w:r>
    </w:p>
    <w:p>
      <w:pPr>
        <w:spacing w:after="0" w:line="170"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0;</w:t>
      </w:r>
    </w:p>
    <w:p>
      <w:pPr>
        <w:spacing w:after="0" w:line="16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3.1.10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provided, however, that such representatives, Underwriters or financial institutions agree to confidentiality arrangements in form and substance reasonably satisfactory to the Company, prior to the release or disclosure of any such information;</w:t>
      </w:r>
    </w:p>
    <w:p>
      <w:pPr>
        <w:spacing w:after="0" w:line="26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9" w:name="page150"/>
    <w:bookmarkEnd w:id="149"/>
    <w:p>
      <w:pPr>
        <w:jc w:val="both"/>
        <w:ind w:left="560" w:firstLine="574"/>
        <w:spacing w:after="0" w:line="276" w:lineRule="auto"/>
        <w:rPr>
          <w:sz w:val="20"/>
          <w:szCs w:val="20"/>
          <w:color w:val="auto"/>
        </w:rPr>
      </w:pPr>
      <w:r>
        <w:rPr>
          <w:rFonts w:ascii="Arial" w:cs="Arial" w:eastAsia="Arial" w:hAnsi="Arial"/>
          <w:sz w:val="15"/>
          <w:szCs w:val="15"/>
          <w:color w:val="auto"/>
        </w:rPr>
        <w:t>3.1.11 obtain a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for a transaction of its type as the managing Underwriter may reasonably request, and reasonably satisfactory to a majority-in-interest of the participating Holders;</w:t>
      </w:r>
    </w:p>
    <w:p>
      <w:pPr>
        <w:spacing w:after="0" w:line="155" w:lineRule="exact"/>
        <w:rPr>
          <w:sz w:val="20"/>
          <w:szCs w:val="20"/>
          <w:color w:val="auto"/>
        </w:rPr>
      </w:pPr>
    </w:p>
    <w:p>
      <w:pPr>
        <w:jc w:val="both"/>
        <w:ind w:left="560" w:firstLine="574"/>
        <w:spacing w:after="0" w:line="254" w:lineRule="auto"/>
        <w:rPr>
          <w:sz w:val="20"/>
          <w:szCs w:val="20"/>
          <w:color w:val="auto"/>
        </w:rPr>
      </w:pPr>
      <w:r>
        <w:rPr>
          <w:rFonts w:ascii="Arial" w:cs="Arial" w:eastAsia="Arial" w:hAnsi="Arial"/>
          <w:sz w:val="16"/>
          <w:szCs w:val="16"/>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170"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62"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62" w:lineRule="exact"/>
        <w:rPr>
          <w:sz w:val="20"/>
          <w:szCs w:val="20"/>
          <w:color w:val="auto"/>
        </w:rPr>
      </w:pPr>
    </w:p>
    <w:p>
      <w:pPr>
        <w:jc w:val="both"/>
        <w:ind w:left="560" w:right="20" w:firstLine="574"/>
        <w:spacing w:after="0" w:line="309" w:lineRule="auto"/>
        <w:rPr>
          <w:sz w:val="20"/>
          <w:szCs w:val="20"/>
          <w:color w:val="auto"/>
        </w:rPr>
      </w:pPr>
      <w:r>
        <w:rPr>
          <w:rFonts w:ascii="Arial" w:cs="Arial" w:eastAsia="Arial" w:hAnsi="Arial"/>
          <w:sz w:val="15"/>
          <w:szCs w:val="15"/>
          <w:color w:val="auto"/>
        </w:rPr>
        <w:t xml:space="preserve">3.1.15 with respect to an Underwritten Offering pursuant to </w:t>
      </w:r>
      <w:r>
        <w:rPr>
          <w:rFonts w:ascii="Arial" w:cs="Arial" w:eastAsia="Arial" w:hAnsi="Arial"/>
          <w:sz w:val="15"/>
          <w:szCs w:val="15"/>
          <w:u w:val="single" w:color="auto"/>
          <w:color w:val="auto"/>
        </w:rPr>
        <w:t>Section 0</w:t>
      </w:r>
      <w:r>
        <w:rPr>
          <w:rFonts w:ascii="Arial" w:cs="Arial" w:eastAsia="Arial" w:hAnsi="Arial"/>
          <w:sz w:val="15"/>
          <w:szCs w:val="15"/>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29" w:lineRule="exact"/>
        <w:rPr>
          <w:sz w:val="20"/>
          <w:szCs w:val="20"/>
          <w:color w:val="auto"/>
        </w:rPr>
      </w:pPr>
    </w:p>
    <w:p>
      <w:pPr>
        <w:jc w:val="both"/>
        <w:ind w:left="560" w:firstLine="574"/>
        <w:spacing w:after="0" w:line="275" w:lineRule="auto"/>
        <w:rPr>
          <w:sz w:val="20"/>
          <w:szCs w:val="20"/>
          <w:color w:val="auto"/>
        </w:rPr>
      </w:pPr>
      <w:r>
        <w:rPr>
          <w:rFonts w:ascii="Arial" w:cs="Arial" w:eastAsia="Arial" w:hAnsi="Arial"/>
          <w:sz w:val="16"/>
          <w:szCs w:val="16"/>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52" w:lineRule="exact"/>
        <w:rPr>
          <w:sz w:val="20"/>
          <w:szCs w:val="20"/>
          <w:color w:val="auto"/>
        </w:rPr>
      </w:pPr>
    </w:p>
    <w:p>
      <w:pPr>
        <w:jc w:val="both"/>
        <w:ind w:left="560" w:right="20"/>
        <w:spacing w:after="0" w:line="262" w:lineRule="auto"/>
        <w:rPr>
          <w:sz w:val="20"/>
          <w:szCs w:val="20"/>
          <w:color w:val="auto"/>
        </w:rPr>
      </w:pPr>
      <w:r>
        <w:rPr>
          <w:rFonts w:ascii="Arial" w:cs="Arial" w:eastAsia="Arial" w:hAnsi="Arial"/>
          <w:sz w:val="16"/>
          <w:szCs w:val="16"/>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6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0" w:name="page151"/>
    <w:bookmarkEnd w:id="150"/>
    <w:p>
      <w:pPr>
        <w:jc w:val="both"/>
        <w:ind w:right="20" w:firstLine="1147"/>
        <w:spacing w:after="0" w:line="293"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Requirements for Participation in Registration Statement in Offerings</w:t>
      </w:r>
      <w:r>
        <w:rPr>
          <w:rFonts w:ascii="Arial" w:cs="Arial" w:eastAsia="Arial" w:hAnsi="Arial"/>
          <w:sz w:val="14"/>
          <w:szCs w:val="14"/>
          <w:color w:val="auto"/>
        </w:rPr>
        <w:t>.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agreements, underwriting or other agreements and other customary documents as may be reasonably required under the terms of such underwriting, sales, distribution or placement arrangements. For the avoidance of doubt, the exclusion of a Holder’s Registrable Securities as a result of this Section 0 shall not affect the registration of the other Registrable Securities to be included in such Registration.</w:t>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Suspension of Sales; Adverse Disclosure; Restrictions on Registration Rights</w:t>
      </w:r>
      <w:r>
        <w:rPr>
          <w:rFonts w:ascii="Arial" w:cs="Arial" w:eastAsia="Arial" w:hAnsi="Arial"/>
          <w:sz w:val="16"/>
          <w:szCs w:val="16"/>
          <w:color w:val="auto"/>
        </w:rPr>
        <w:t>.</w:t>
      </w:r>
    </w:p>
    <w:p>
      <w:pPr>
        <w:spacing w:after="0" w:line="198" w:lineRule="exact"/>
        <w:rPr>
          <w:sz w:val="20"/>
          <w:szCs w:val="20"/>
          <w:color w:val="auto"/>
        </w:rPr>
      </w:pPr>
    </w:p>
    <w:p>
      <w:pPr>
        <w:jc w:val="both"/>
        <w:ind w:left="560" w:right="20" w:firstLine="574"/>
        <w:spacing w:after="0" w:line="258" w:lineRule="auto"/>
        <w:rPr>
          <w:sz w:val="20"/>
          <w:szCs w:val="20"/>
          <w:color w:val="auto"/>
        </w:rPr>
      </w:pPr>
      <w:r>
        <w:rPr>
          <w:rFonts w:ascii="Arial" w:cs="Arial" w:eastAsia="Arial" w:hAnsi="Arial"/>
          <w:sz w:val="16"/>
          <w:szCs w:val="16"/>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3.4.2 Subject to </w:t>
      </w:r>
      <w:r>
        <w:rPr>
          <w:rFonts w:ascii="Arial" w:cs="Arial" w:eastAsia="Arial" w:hAnsi="Arial"/>
          <w:sz w:val="15"/>
          <w:szCs w:val="15"/>
          <w:u w:val="single" w:color="auto"/>
          <w:color w:val="auto"/>
        </w:rPr>
        <w:t>Section 0</w:t>
      </w:r>
      <w:r>
        <w:rPr>
          <w:rFonts w:ascii="Arial" w:cs="Arial" w:eastAsia="Arial" w:hAnsi="Arial"/>
          <w:sz w:val="15"/>
          <w:szCs w:val="15"/>
          <w:color w:val="auto"/>
        </w:rPr>
        <w:t>, if the filing, initial effectiveness or continued use of a Registration Statement in respect of any Registration at any time would</w:t>
      </w:r>
    </w:p>
    <w:p>
      <w:pPr>
        <w:spacing w:after="0" w:line="31" w:lineRule="exact"/>
        <w:rPr>
          <w:sz w:val="20"/>
          <w:szCs w:val="20"/>
          <w:color w:val="auto"/>
        </w:rPr>
      </w:pPr>
    </w:p>
    <w:p>
      <w:pPr>
        <w:jc w:val="both"/>
        <w:ind w:left="560" w:firstLine="9"/>
        <w:spacing w:after="0" w:line="250" w:lineRule="auto"/>
        <w:tabs>
          <w:tab w:leader="none" w:pos="79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Arial" w:cs="Arial" w:eastAsia="Arial" w:hAnsi="Arial"/>
          <w:sz w:val="16"/>
          <w:szCs w:val="16"/>
          <w:u w:val="single" w:color="auto"/>
          <w:color w:val="auto"/>
        </w:rPr>
        <w:t>Section 0</w:t>
      </w:r>
      <w:r>
        <w:rPr>
          <w:rFonts w:ascii="Arial" w:cs="Arial" w:eastAsia="Arial" w:hAnsi="Arial"/>
          <w:sz w:val="16"/>
          <w:szCs w:val="16"/>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74" w:lineRule="exact"/>
        <w:rPr>
          <w:sz w:val="20"/>
          <w:szCs w:val="20"/>
          <w:color w:val="auto"/>
        </w:rPr>
      </w:pPr>
    </w:p>
    <w:p>
      <w:pPr>
        <w:jc w:val="both"/>
        <w:ind w:left="560" w:firstLine="574"/>
        <w:spacing w:after="0" w:line="254" w:lineRule="auto"/>
        <w:rPr>
          <w:sz w:val="20"/>
          <w:szCs w:val="20"/>
          <w:color w:val="auto"/>
        </w:rPr>
      </w:pPr>
      <w:r>
        <w:rPr>
          <w:rFonts w:ascii="Arial" w:cs="Arial" w:eastAsia="Arial" w:hAnsi="Arial"/>
          <w:sz w:val="16"/>
          <w:szCs w:val="16"/>
          <w:color w:val="auto"/>
        </w:rPr>
        <w:t xml:space="preserve">3.4.3 Subject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(a) during the period starting with the date sixty (60) days prior to the Company’s good faith estimate of the date of the filing of, and ending on a date one hundred and twenty (120) days after the effective date of, a Company-initiated Registration and provided that the Company continues to actively employ, in good faith, all commercially reasonable efforts to maintain the effectiveness of the applicable Shelf Registration Statement, or (b) if,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70" w:lineRule="exact"/>
        <w:rPr>
          <w:sz w:val="20"/>
          <w:szCs w:val="20"/>
          <w:color w:val="auto"/>
        </w:rPr>
      </w:pPr>
    </w:p>
    <w:p>
      <w:pPr>
        <w:jc w:val="both"/>
        <w:ind w:left="560" w:firstLine="574"/>
        <w:spacing w:after="0" w:line="262" w:lineRule="auto"/>
        <w:rPr>
          <w:sz w:val="20"/>
          <w:szCs w:val="20"/>
          <w:color w:val="auto"/>
        </w:rPr>
      </w:pPr>
      <w:r>
        <w:rPr>
          <w:rFonts w:ascii="Arial" w:cs="Arial" w:eastAsia="Arial" w:hAnsi="Arial"/>
          <w:sz w:val="16"/>
          <w:szCs w:val="16"/>
          <w:color w:val="auto"/>
        </w:rPr>
        <w:t xml:space="preserve">3.4.4 The right to delay or suspend any filing, initial effectiveness or continued use of a Registration Statement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or a registered offering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shall be exercised by the Company, in the aggregate, for not more than ninety (90) consecutive calendar days or more than one hundred and twenty (120) total calendar days in each case, during any twelve (12)-month period.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1" w:name="page152"/>
    <w:bookmarkEnd w:id="151"/>
    <w:p>
      <w:pPr>
        <w:jc w:val="both"/>
        <w:ind w:right="20" w:firstLine="1147"/>
        <w:spacing w:after="0" w:line="272"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Reporting Obligations</w:t>
      </w:r>
      <w:r>
        <w:rPr>
          <w:rFonts w:ascii="Arial" w:cs="Arial" w:eastAsia="Arial" w:hAnsi="Arial"/>
          <w:sz w:val="15"/>
          <w:szCs w:val="15"/>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provided that any documents publicly filed or furnished with the Commission pursuant to EDGAR shall be deemed to have been furnished or delivered to the Holders pursuant to this </w:t>
      </w:r>
      <w:r>
        <w:rPr>
          <w:rFonts w:ascii="Arial" w:cs="Arial" w:eastAsia="Arial" w:hAnsi="Arial"/>
          <w:sz w:val="15"/>
          <w:szCs w:val="15"/>
          <w:u w:val="single" w:color="auto"/>
          <w:color w:val="auto"/>
        </w:rPr>
        <w:t>Section 0</w:t>
      </w:r>
      <w:r>
        <w:rPr>
          <w:rFonts w:ascii="Arial" w:cs="Arial" w:eastAsia="Arial" w:hAnsi="Arial"/>
          <w:sz w:val="15"/>
          <w:szCs w:val="15"/>
          <w:color w:val="auto"/>
        </w:rPr>
        <w: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157" w:lineRule="exact"/>
        <w:rPr>
          <w:sz w:val="20"/>
          <w:szCs w:val="20"/>
          <w:color w:val="auto"/>
        </w:rPr>
      </w:pPr>
    </w:p>
    <w:p>
      <w:pPr>
        <w:ind w:left="720" w:hanging="151"/>
        <w:spacing w:after="0"/>
        <w:tabs>
          <w:tab w:leader="none" w:pos="72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69"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Indemnification by the Company</w:t>
      </w:r>
      <w:r>
        <w:rPr>
          <w:rFonts w:ascii="Arial" w:cs="Arial" w:eastAsia="Arial" w:hAnsi="Arial"/>
          <w:sz w:val="15"/>
          <w:szCs w:val="15"/>
          <w:color w:val="auto"/>
        </w:rPr>
        <w:t>. The Company agrees to indemnify and hold harmless the Holders, and each of their respective officers, employees, affiliates, directors, partners, members, attorneys and agents, and each person, if any, who controls a Holder (within the meaning of Section 15 of the Securities Act or Section 20 of the Exchange Act) (each, a “</w:t>
      </w:r>
      <w:r>
        <w:rPr>
          <w:rFonts w:ascii="Arial" w:cs="Arial" w:eastAsia="Arial" w:hAnsi="Arial"/>
          <w:sz w:val="15"/>
          <w:szCs w:val="15"/>
          <w:b w:val="1"/>
          <w:bCs w:val="1"/>
          <w:u w:val="single" w:color="auto"/>
          <w:color w:val="auto"/>
        </w:rPr>
        <w:t>Holder Indemnified Party</w:t>
      </w:r>
      <w:r>
        <w:rPr>
          <w:rFonts w:ascii="Arial" w:cs="Arial" w:eastAsia="Arial" w:hAnsi="Arial"/>
          <w:sz w:val="15"/>
          <w:szCs w:val="15"/>
          <w:color w:val="auto"/>
        </w:rPr>
        <w:t xml:space="preserve">”),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Holder Indemnified Party for any legal and any other expenses reasonably incurred by such Holder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w:t>
      </w:r>
      <w:r>
        <w:rPr>
          <w:rFonts w:ascii="Arial" w:cs="Arial" w:eastAsia="Arial" w:hAnsi="Arial"/>
          <w:sz w:val="15"/>
          <w:szCs w:val="15"/>
          <w:u w:val="single" w:color="auto"/>
          <w:color w:val="auto"/>
        </w:rPr>
        <w:t>Section 4.1</w:t>
      </w:r>
      <w:r>
        <w:rPr>
          <w:rFonts w:ascii="Arial" w:cs="Arial" w:eastAsia="Arial" w:hAnsi="Arial"/>
          <w:sz w:val="15"/>
          <w:szCs w:val="15"/>
          <w:color w:val="auto"/>
        </w:rPr>
        <w:t>.</w:t>
      </w:r>
    </w:p>
    <w:p>
      <w:pPr>
        <w:spacing w:after="0" w:line="159"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Indemnification by Holders of Registrable Securities</w:t>
      </w:r>
      <w:r>
        <w:rPr>
          <w:rFonts w:ascii="Arial" w:cs="Arial" w:eastAsia="Arial" w:hAnsi="Arial"/>
          <w:sz w:val="15"/>
          <w:szCs w:val="15"/>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2" w:name="page153"/>
    <w:bookmarkEnd w:id="152"/>
    <w:p>
      <w:pPr>
        <w:jc w:val="both"/>
        <w:ind w:firstLine="1147"/>
        <w:spacing w:after="0" w:line="26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Conduct of Indemnification Proceedings</w:t>
      </w:r>
      <w:r>
        <w:rPr>
          <w:rFonts w:ascii="Arial" w:cs="Arial" w:eastAsia="Arial" w:hAnsi="Arial"/>
          <w:sz w:val="15"/>
          <w:szCs w:val="15"/>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4.2</w:t>
      </w:r>
      <w:r>
        <w:rPr>
          <w:rFonts w:ascii="Arial" w:cs="Arial" w:eastAsia="Arial" w:hAnsi="Arial"/>
          <w:sz w:val="15"/>
          <w:szCs w:val="15"/>
          <w:color w:val="auto"/>
        </w:rPr>
        <w:t>, such person (the “Indemnified Party”) shall, if a claim in respect thereof is to be made against any other person for indemnification hereunder, notify such other person (the “</w:t>
      </w:r>
      <w:r>
        <w:rPr>
          <w:rFonts w:ascii="Arial" w:cs="Arial" w:eastAsia="Arial" w:hAnsi="Arial"/>
          <w:sz w:val="15"/>
          <w:szCs w:val="15"/>
          <w:b w:val="1"/>
          <w:bCs w:val="1"/>
          <w:u w:val="single" w:color="auto"/>
          <w:color w:val="auto"/>
        </w:rPr>
        <w:t>Indemnifying Party</w:t>
      </w:r>
      <w:r>
        <w:rPr>
          <w:rFonts w:ascii="Arial" w:cs="Arial" w:eastAsia="Arial" w:hAnsi="Arial"/>
          <w:sz w:val="15"/>
          <w:szCs w:val="15"/>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198" w:lineRule="exact"/>
        <w:rPr>
          <w:sz w:val="20"/>
          <w:szCs w:val="20"/>
          <w:color w:val="auto"/>
        </w:rPr>
      </w:pPr>
    </w:p>
    <w:p>
      <w:pPr>
        <w:jc w:val="both"/>
        <w:ind w:left="560" w:firstLine="574"/>
        <w:spacing w:after="0" w:line="253" w:lineRule="auto"/>
        <w:rPr>
          <w:sz w:val="20"/>
          <w:szCs w:val="20"/>
          <w:color w:val="auto"/>
        </w:rPr>
      </w:pPr>
      <w:r>
        <w:rPr>
          <w:rFonts w:ascii="Arial" w:cs="Arial" w:eastAsia="Arial" w:hAnsi="Arial"/>
          <w:sz w:val="16"/>
          <w:szCs w:val="16"/>
          <w:color w:val="auto"/>
        </w:rPr>
        <w:t xml:space="preserve">4.4.1 If the indemnification provided for in the foregoing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69" w:lineRule="exact"/>
        <w:rPr>
          <w:sz w:val="20"/>
          <w:szCs w:val="20"/>
          <w:color w:val="auto"/>
        </w:rPr>
      </w:pPr>
    </w:p>
    <w:p>
      <w:pPr>
        <w:jc w:val="both"/>
        <w:ind w:left="560" w:firstLine="574"/>
        <w:spacing w:after="0" w:line="309" w:lineRule="auto"/>
        <w:rPr>
          <w:sz w:val="20"/>
          <w:szCs w:val="20"/>
          <w:color w:val="auto"/>
        </w:rPr>
      </w:pPr>
      <w:r>
        <w:rPr>
          <w:rFonts w:ascii="Arial" w:cs="Arial" w:eastAsia="Arial" w:hAnsi="Arial"/>
          <w:sz w:val="15"/>
          <w:szCs w:val="15"/>
          <w:color w:val="auto"/>
        </w:rPr>
        <w:t xml:space="preserve">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w:t>
      </w:r>
      <w:r>
        <w:rPr>
          <w:rFonts w:ascii="Arial" w:cs="Arial" w:eastAsia="Arial" w:hAnsi="Arial"/>
          <w:sz w:val="15"/>
          <w:szCs w:val="15"/>
          <w:u w:val="single" w:color="auto"/>
          <w:color w:val="auto"/>
        </w:rPr>
        <w:t>Section 4.4.1</w:t>
      </w:r>
      <w:r>
        <w:rPr>
          <w:rFonts w:ascii="Arial" w:cs="Arial" w:eastAsia="Arial" w:hAnsi="Arial"/>
          <w:sz w:val="15"/>
          <w:szCs w:val="15"/>
          <w:color w:val="auto"/>
        </w:rPr>
        <w:t>.</w:t>
      </w:r>
    </w:p>
    <w:p>
      <w:pPr>
        <w:spacing w:after="0" w:line="129" w:lineRule="exact"/>
        <w:rPr>
          <w:sz w:val="20"/>
          <w:szCs w:val="20"/>
          <w:color w:val="auto"/>
        </w:rPr>
      </w:pPr>
    </w:p>
    <w:p>
      <w:pPr>
        <w:jc w:val="both"/>
        <w:ind w:left="560" w:right="20" w:firstLine="574"/>
        <w:spacing w:after="0" w:line="297" w:lineRule="auto"/>
        <w:rPr>
          <w:sz w:val="20"/>
          <w:szCs w:val="20"/>
          <w:color w:val="auto"/>
        </w:rPr>
      </w:pPr>
      <w:r>
        <w:rPr>
          <w:rFonts w:ascii="Arial" w:cs="Arial" w:eastAsia="Arial" w:hAnsi="Arial"/>
          <w:sz w:val="14"/>
          <w:szCs w:val="14"/>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3" w:name="page154"/>
    <w:bookmarkEnd w:id="153"/>
    <w:p>
      <w:pPr>
        <w:ind w:left="720" w:hanging="151"/>
        <w:spacing w:after="0"/>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Other Registration Rights</w:t>
      </w:r>
      <w:r>
        <w:rPr>
          <w:rFonts w:ascii="Arial" w:cs="Arial" w:eastAsia="Arial" w:hAnsi="Arial"/>
          <w:sz w:val="15"/>
          <w:szCs w:val="15"/>
          <w:color w:val="auto"/>
        </w:rPr>
        <w:t>. Other than the Sponsor and Holders who each have registration rights with respect to their Holder shares pursuant to their respective Subscription Agreements,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without (a) the prior written consent of (i) the Sponsor, for so long as the Sponsor and its affiliates hold, in the aggregate, Registrable Securities representing at least one percent (1%) of the outstanding shares of Common Stock of the Company, and (ii) a Tango Investor, for so long as such Tango Investor and its affiliates hold, in the aggregate, Registrable Securities representing at least one percent (1%) of the outstanding shares of Common Stock of the Company, or (b) granting economically and legally equivalent rights to the Holders hereunder such that the 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60"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xml:space="preserve">. This Agreement and the rights, duties and obligations of the Company hereunder may not be assigned or delegated by the Company in whole or in part.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Any transfer or assignment made other than as provided in this </w:t>
      </w:r>
      <w:r>
        <w:rPr>
          <w:rFonts w:ascii="Arial" w:cs="Arial" w:eastAsia="Arial" w:hAnsi="Arial"/>
          <w:sz w:val="16"/>
          <w:szCs w:val="16"/>
          <w:u w:val="single" w:color="auto"/>
          <w:color w:val="auto"/>
        </w:rPr>
        <w:t>Section 5.2</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shall be null and void.</w:t>
      </w:r>
    </w:p>
    <w:p>
      <w:pPr>
        <w:spacing w:after="0" w:line="166" w:lineRule="exact"/>
        <w:rPr>
          <w:sz w:val="20"/>
          <w:szCs w:val="20"/>
          <w:color w:val="auto"/>
        </w:rPr>
      </w:pPr>
    </w:p>
    <w:p>
      <w:pPr>
        <w:jc w:val="both"/>
        <w:ind w:firstLine="1147"/>
        <w:spacing w:after="0" w:line="299"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demands, requests, consents, approvals or other communications (collectively, “</w:t>
      </w: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 the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Binney Street, Suite 700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[CEO]</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[CEO]@[Tangotx].com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Goodwin Procter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Northern Avenue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Boston, MA 02210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Bloom, William D. Collins &amp; Laurie A. Burlingame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Email: MBloom@Goodwinlaw.com; Wcollins@Goodwinlaw.com; </w:t>
      </w:r>
      <w:r>
        <w:rPr>
          <w:rFonts w:ascii="Arial" w:cs="Arial" w:eastAsia="Arial" w:hAnsi="Arial"/>
          <w:sz w:val="16"/>
          <w:szCs w:val="16"/>
          <w:u w:val="single" w:color="auto"/>
          <w:color w:val="auto"/>
        </w:rPr>
        <w:t>LBurlingame@goodwinlaw.com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 a Holder, to the address set forth below such Holder’s name on Exhibit A hereto.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4" w:name="page155"/>
    <w:bookmarkEnd w:id="154"/>
    <w:p>
      <w:pPr>
        <w:jc w:val="both"/>
        <w:ind w:right="20" w:firstLine="1147"/>
        <w:spacing w:after="0" w:line="25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Severability</w:t>
      </w:r>
      <w:r>
        <w:rPr>
          <w:rFonts w:ascii="Arial" w:cs="Arial" w:eastAsia="Arial" w:hAnsi="Arial"/>
          <w:sz w:val="16"/>
          <w:szCs w:val="16"/>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multiple counterparts, each of which shall be deemed an original, and all of which taken together shall constitute one and the same instrument.</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2"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provided, however, that notwithstanding the foregoing, any amendment hereto or waiver hereof shall also require the written consent of the Sponsor; provided, further, that notwithstanding the foregoing, any amendment hereto or waiver hereof shall also require the written consent of each Tango Investor so long as such Tango Investor and its respective affiliates hold, in the aggregate, at least one percent (1%) of the outstanding shares of Common Stock of the Company; and provided, further,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6" w:lineRule="exact"/>
        <w:rPr>
          <w:sz w:val="20"/>
          <w:szCs w:val="20"/>
          <w:color w:val="auto"/>
        </w:rPr>
      </w:pPr>
    </w:p>
    <w:p>
      <w:pPr>
        <w:jc w:val="both"/>
        <w:ind w:right="20" w:firstLine="1147"/>
        <w:spacing w:after="0" w:line="21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on the earlier of (a) the tenth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date of this Agreement and (b) with respect to any Holder, on the date that such Holder no longer holds any Registrable Securities.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survive any termination.</w:t>
      </w:r>
    </w:p>
    <w:p>
      <w:pPr>
        <w:spacing w:after="0" w:line="179"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Holder Information</w:t>
      </w:r>
      <w:r>
        <w:rPr>
          <w:rFonts w:ascii="Arial" w:cs="Arial" w:eastAsia="Arial" w:hAnsi="Arial"/>
          <w:sz w:val="16"/>
          <w:szCs w:val="16"/>
          <w:color w:val="auto"/>
        </w:rPr>
        <w:t>. Each Holder agrees, if requested in writing, to represent to the Company the total number of Registrable Securities held by such Holder in order for the Company to make determinations hereunder.</w:t>
      </w:r>
    </w:p>
    <w:p>
      <w:pPr>
        <w:spacing w:after="0" w:line="152" w:lineRule="exact"/>
        <w:rPr>
          <w:sz w:val="20"/>
          <w:szCs w:val="20"/>
          <w:color w:val="auto"/>
        </w:rPr>
      </w:pPr>
    </w:p>
    <w:p>
      <w:pPr>
        <w:jc w:val="both"/>
        <w:ind w:firstLine="1147"/>
        <w:spacing w:after="0" w:line="272"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Additional Holders; Joinder</w:t>
      </w:r>
      <w:r>
        <w:rPr>
          <w:rFonts w:ascii="Arial" w:cs="Arial" w:eastAsia="Arial" w:hAnsi="Arial"/>
          <w:sz w:val="15"/>
          <w:szCs w:val="15"/>
          <w:color w:val="auto"/>
        </w:rPr>
        <w:t xml:space="preserve">. In addition to persons or entities who may become Holders pursuant to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hereof, subject to the prior written consent of each of the Sponsor and each Tango Investor (in each case, so long as such Tango Investor and its affiliates hold, in the aggregate, Registrable Securities representing at least one percent (1%) of the outstanding shares of Common Stock of the Company), the Company may make any person or entity who acquires Common Stock or rights to acquire Common Stock after the date hereof a party to this Agreement (each such person or entity, an “</w:t>
      </w:r>
      <w:r>
        <w:rPr>
          <w:rFonts w:ascii="Arial" w:cs="Arial" w:eastAsia="Arial" w:hAnsi="Arial"/>
          <w:sz w:val="15"/>
          <w:szCs w:val="15"/>
          <w:b w:val="1"/>
          <w:bCs w:val="1"/>
          <w:i w:val="1"/>
          <w:iCs w:val="1"/>
          <w:color w:val="auto"/>
        </w:rPr>
        <w:t>Additional Holder</w:t>
      </w:r>
      <w:r>
        <w:rPr>
          <w:rFonts w:ascii="Arial" w:cs="Arial" w:eastAsia="Arial" w:hAnsi="Arial"/>
          <w:sz w:val="15"/>
          <w:szCs w:val="15"/>
          <w:color w:val="auto"/>
        </w:rPr>
        <w:t>”) by obtaining an executed joinder to this Agreement from such Additional Holder in the form of Exhibit A attached hereto (a “</w:t>
      </w:r>
      <w:r>
        <w:rPr>
          <w:rFonts w:ascii="Arial" w:cs="Arial" w:eastAsia="Arial" w:hAnsi="Arial"/>
          <w:sz w:val="15"/>
          <w:szCs w:val="15"/>
          <w:b w:val="1"/>
          <w:bCs w:val="1"/>
          <w:i w:val="1"/>
          <w:iCs w:val="1"/>
          <w:color w:val="auto"/>
        </w:rPr>
        <w:t>Joinder</w:t>
      </w:r>
      <w:r>
        <w:rPr>
          <w:rFonts w:ascii="Arial" w:cs="Arial" w:eastAsia="Arial" w:hAnsi="Arial"/>
          <w:sz w:val="15"/>
          <w:szCs w:val="15"/>
          <w:color w:val="auto"/>
        </w:rPr>
        <w:t>”). Such Joinder shall specify the rights and obligations of the applicable Additional Holder under this Agreement. Upon the execution and delivery and subject to the terms of a Joinder by such Additional Holder, the Common Stock then owned, or underlying any rights then owned, by such Additional Holder (the “</w:t>
      </w:r>
      <w:r>
        <w:rPr>
          <w:rFonts w:ascii="Arial" w:cs="Arial" w:eastAsia="Arial" w:hAnsi="Arial"/>
          <w:sz w:val="15"/>
          <w:szCs w:val="15"/>
          <w:b w:val="1"/>
          <w:bCs w:val="1"/>
          <w:i w:val="1"/>
          <w:iCs w:val="1"/>
          <w:color w:val="auto"/>
        </w:rPr>
        <w:t>Additional Holder Common Stock</w:t>
      </w:r>
      <w:r>
        <w:rPr>
          <w:rFonts w:ascii="Arial" w:cs="Arial" w:eastAsia="Arial" w:hAnsi="Arial"/>
          <w:sz w:val="15"/>
          <w:szCs w:val="15"/>
          <w:color w:val="auto"/>
        </w:rPr>
        <w:t>”) shall be Registrable Securities to the extent provided herein and therein and such Additional Holder shall be a Holder under this Agreement with respect to such Additional Holder Common Stock.</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55" w:name="page156"/>
    <w:bookmarkEnd w:id="155"/>
    <w:p>
      <w:pPr>
        <w:jc w:val="both"/>
        <w:ind w:right="20" w:firstLine="1147"/>
        <w:spacing w:after="0" w:line="26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Titles and Headings</w:t>
      </w:r>
      <w:r>
        <w:rPr>
          <w:rFonts w:ascii="Arial" w:cs="Arial" w:eastAsia="Arial" w:hAnsi="Arial"/>
          <w:sz w:val="16"/>
          <w:szCs w:val="16"/>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6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Waivers and Extensions</w:t>
      </w:r>
      <w:r>
        <w:rPr>
          <w:rFonts w:ascii="Arial" w:cs="Arial" w:eastAsia="Arial" w:hAnsi="Arial"/>
          <w:sz w:val="15"/>
          <w:szCs w:val="15"/>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55" w:lineRule="exact"/>
        <w:rPr>
          <w:sz w:val="20"/>
          <w:szCs w:val="20"/>
          <w:color w:val="auto"/>
        </w:rPr>
      </w:pPr>
    </w:p>
    <w:p>
      <w:pPr>
        <w:jc w:val="both"/>
        <w:ind w:right="20" w:firstLine="1147"/>
        <w:spacing w:after="0" w:line="274"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Remedies Cumulative</w:t>
      </w:r>
      <w:r>
        <w:rPr>
          <w:rFonts w:ascii="Arial" w:cs="Arial" w:eastAsia="Arial" w:hAnsi="Arial"/>
          <w:sz w:val="15"/>
          <w:szCs w:val="15"/>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57"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6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6" w:name="page157"/>
    <w:bookmarkEnd w:id="156"/>
    <w:p>
      <w:pPr>
        <w:ind w:right="20" w:firstLine="574"/>
        <w:spacing w:after="0" w:line="275" w:lineRule="auto"/>
        <w:rPr>
          <w:sz w:val="20"/>
          <w:szCs w:val="20"/>
          <w:color w:val="auto"/>
        </w:rPr>
      </w:pPr>
      <w:r>
        <w:rPr>
          <w:rFonts w:ascii="Arial" w:cs="Arial" w:eastAsia="Arial" w:hAnsi="Arial"/>
          <w:sz w:val="16"/>
          <w:szCs w:val="16"/>
          <w:color w:val="auto"/>
        </w:rPr>
        <w:t>IN WITNESS WHEREOF, the parties have caused this Amended and Restated Registration and Stockholder Rights Agreement to be executed and delivered by their duly authorized representatives as of the date first written above.</w:t>
      </w:r>
    </w:p>
    <w:p>
      <w:pPr>
        <w:spacing w:after="0" w:line="15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COMPANY:</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TANGO THERAPEUTICS,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INVESTORS: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BCTG HOLDINGS, LLC</w:t>
      </w:r>
    </w:p>
    <w:p>
      <w:pPr>
        <w:spacing w:after="0" w:line="198" w:lineRule="exact"/>
        <w:rPr>
          <w:sz w:val="20"/>
          <w:szCs w:val="20"/>
          <w:color w:val="auto"/>
        </w:rPr>
      </w:pPr>
    </w:p>
    <w:tbl>
      <w:tblPr>
        <w:tblLayout w:type="fixed"/>
        <w:tblInd w:w="67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Andrew Ellis</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Andrew Ellis</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Manager</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7" w:name="page158"/>
    <w:bookmarkEnd w:id="157"/>
    <w:p>
      <w:pPr>
        <w:ind w:left="5640"/>
        <w:spacing w:after="0"/>
        <w:rPr>
          <w:sz w:val="20"/>
          <w:szCs w:val="20"/>
          <w:color w:val="auto"/>
        </w:rPr>
      </w:pPr>
      <w:r>
        <w:rPr>
          <w:rFonts w:ascii="Arial" w:cs="Arial" w:eastAsia="Arial" w:hAnsi="Arial"/>
          <w:sz w:val="16"/>
          <w:szCs w:val="16"/>
          <w:color w:val="auto"/>
        </w:rPr>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Richard Heyman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Charles M. Baum</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Jamie G. Christensen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Troy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Troy Wilson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Benjamin Cravatt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Benjamin Cravatt</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Jeff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Jeff Hager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Sheila Gujrathi</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NexTx Insights, LLC</w:t>
      </w:r>
    </w:p>
    <w:p>
      <w:pPr>
        <w:spacing w:after="0" w:line="222" w:lineRule="exact"/>
        <w:rPr>
          <w:sz w:val="20"/>
          <w:szCs w:val="20"/>
          <w:color w:val="auto"/>
        </w:rPr>
      </w:pPr>
    </w:p>
    <w:tbl>
      <w:tblPr>
        <w:tblLayout w:type="fixed"/>
        <w:tblInd w:w="564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Steven L. Bender</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Steven L. Bender</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Principal Consultant</w:t>
            </w:r>
          </w:p>
        </w:tc>
      </w:tr>
    </w:tbl>
    <w:p>
      <w:pPr>
        <w:spacing w:after="0" w:line="27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48" w:right="319" w:bottom="1440" w:gutter="0" w:footer="0" w:header="0"/>
        </w:sectPr>
      </w:pPr>
    </w:p>
    <w:bookmarkStart w:id="158" w:name="page159"/>
    <w:bookmarkEnd w:id="158"/>
    <w:p>
      <w:pPr>
        <w:ind w:left="5124"/>
        <w:spacing w:after="0"/>
        <w:rPr>
          <w:sz w:val="20"/>
          <w:szCs w:val="20"/>
          <w:color w:val="auto"/>
        </w:rPr>
      </w:pPr>
      <w:r>
        <w:rPr>
          <w:rFonts w:ascii="Arial" w:cs="Arial" w:eastAsia="Arial" w:hAnsi="Arial"/>
          <w:sz w:val="16"/>
          <w:szCs w:val="16"/>
          <w:b w:val="1"/>
          <w:bCs w:val="1"/>
          <w:u w:val="single" w:color="auto"/>
          <w:color w:val="auto"/>
        </w:rPr>
        <w:t>SCHEDULE 1</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Name &amp; Address of Investor</w:t>
      </w:r>
      <w:r>
        <w:rPr>
          <w:rFonts w:ascii="Arial" w:cs="Arial" w:eastAsia="Arial" w:hAnsi="Arial"/>
          <w:sz w:val="26"/>
          <w:szCs w:val="26"/>
          <w:color w:val="auto"/>
          <w:vertAlign w:val="superscript"/>
        </w:rPr>
        <w:t>1</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6"/>
          <w:szCs w:val="16"/>
          <w:color w:val="auto"/>
        </w:rPr>
        <w:t>BCTG Holdings, LLC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Richard Heyman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Charles M. Baum</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Jamie G. Christensen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Troy Wilson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Benjamin Cravatt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Jeff Hager</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Sheila Gujrathi</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NexTx Insights, LLC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[LIST OF TANGO INVESTORS TO BE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106997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424" w:right="199" w:hanging="5424"/>
        <w:spacing w:after="0" w:line="531" w:lineRule="auto"/>
        <w:tabs>
          <w:tab w:leader="none" w:pos="282" w:val="left"/>
        </w:tabs>
        <w:numPr>
          <w:ilvl w:val="0"/>
          <w:numId w:val="141"/>
        </w:numPr>
        <w:rPr>
          <w:rFonts w:ascii="Arial" w:cs="Arial" w:eastAsia="Arial" w:hAnsi="Arial"/>
          <w:sz w:val="27"/>
          <w:szCs w:val="27"/>
          <w:color w:val="auto"/>
          <w:vertAlign w:val="superscript"/>
        </w:rPr>
      </w:pPr>
      <w:r>
        <w:rPr>
          <w:rFonts w:ascii="Arial" w:cs="Arial" w:eastAsia="Arial" w:hAnsi="Arial"/>
          <w:sz w:val="16"/>
          <w:szCs w:val="16"/>
          <w:color w:val="auto"/>
        </w:rPr>
        <w:t>Except as stated above, the business address of each Investor is c/o BCTG Acquisition Corp., 12860 El Camino Real, Suite 300, San Diego, CA 92130. Sch.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720"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6"/>
          <w:szCs w:val="16"/>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 OF JOINDER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724"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TANGO THERAPEUTICS, INC.</w:t>
      </w:r>
    </w:p>
    <w:p>
      <w:pPr>
        <w:spacing w:after="0" w:line="198"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2021 STOCK OPTION AND INCENTIVE PLAN</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5"/>
          <w:szCs w:val="15"/>
          <w:u w:val="single" w:color="auto"/>
          <w:color w:val="auto"/>
        </w:rPr>
        <w:t>GENERAL PURPOSE OF THE PLAN; DEFINITIONS</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The name of the plan is the Tango Therapeutics, Inc. 2021 Stock Option and Incentive Plan (as amended from time to time, the “Plan”). The purpose of the Plan is to encourage and enable the officers, employees, Non-Employee Directors and Consultants of Tango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terms shall be defined as set forth below:</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“Act” </w:t>
      </w:r>
      <w:r>
        <w:rPr>
          <w:rFonts w:ascii="Arial" w:cs="Arial" w:eastAsia="Arial" w:hAnsi="Arial"/>
          <w:sz w:val="16"/>
          <w:szCs w:val="16"/>
          <w:color w:val="auto"/>
        </w:rPr>
        <w:t>means the Securities Act of 1933, as amended, and the rules and regulations thereunder.</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means either the Board or the compensation committee of the Board or a similar committee performing the functions of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which is comprised of not less than two Non-Employee Directors who are independent.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i w:val="1"/>
          <w:iCs w:val="1"/>
          <w:color w:val="auto"/>
        </w:rPr>
        <w:t xml:space="preserve">“Award” </w:t>
      </w:r>
      <w:r>
        <w:rPr>
          <w:rFonts w:ascii="Arial" w:cs="Arial" w:eastAsia="Arial" w:hAnsi="Arial"/>
          <w:sz w:val="15"/>
          <w:szCs w:val="15"/>
          <w:color w:val="auto"/>
        </w:rPr>
        <w:t>or</w:t>
      </w:r>
      <w:r>
        <w:rPr>
          <w:rFonts w:ascii="Arial" w:cs="Arial" w:eastAsia="Arial" w:hAnsi="Arial"/>
          <w:sz w:val="15"/>
          <w:szCs w:val="15"/>
          <w:i w:val="1"/>
          <w:iCs w:val="1"/>
          <w:color w:val="auto"/>
        </w:rPr>
        <w:t xml:space="preserve"> “Awards,” </w:t>
      </w:r>
      <w:r>
        <w:rPr>
          <w:rFonts w:ascii="Arial" w:cs="Arial" w:eastAsia="Arial" w:hAnsi="Arial"/>
          <w:sz w:val="15"/>
          <w:szCs w:val="15"/>
          <w:color w:val="auto"/>
        </w:rPr>
        <w:t>except where referring to a particular category of grant under the Plan, shall include Incentive Stock Options, Non-Qualified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Stock Appreciation Rights, Restricted Stock Awards, Restricted Stock Units, Unrestricted Stock Awards, Cash-Based Awards, and Dividend Equivalent Rights.</w:t>
      </w:r>
    </w:p>
    <w:p>
      <w:pPr>
        <w:spacing w:after="0" w:line="129"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 Each Award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is subject to the terms and conditions of the Plan.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“Board” </w:t>
      </w:r>
      <w:r>
        <w:rPr>
          <w:rFonts w:ascii="Arial" w:cs="Arial" w:eastAsia="Arial" w:hAnsi="Arial"/>
          <w:sz w:val="16"/>
          <w:szCs w:val="16"/>
          <w:color w:val="auto"/>
        </w:rPr>
        <w:t>means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“Cash-Based Award” </w:t>
      </w:r>
      <w:r>
        <w:rPr>
          <w:rFonts w:ascii="Arial" w:cs="Arial" w:eastAsia="Arial" w:hAnsi="Arial"/>
          <w:sz w:val="16"/>
          <w:szCs w:val="16"/>
          <w:color w:val="auto"/>
        </w:rPr>
        <w:t>means an Award entitling the recipient to receive a cash-denominated payment.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 and any successor Code, and related rules, regulations and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1" w:name="page162"/>
    <w:bookmarkEnd w:id="161"/>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“Consultant” </w:t>
      </w:r>
      <w:r>
        <w:rPr>
          <w:rFonts w:ascii="Arial" w:cs="Arial" w:eastAsia="Arial" w:hAnsi="Arial"/>
          <w:sz w:val="16"/>
          <w:szCs w:val="16"/>
          <w:color w:val="auto"/>
        </w:rPr>
        <w:t>means a consultant or adviser who provides</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services to the Company or an Affiliate as an independent contractor and who qualifies as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or advisor under Instruction A.1.(a)(1) of Form S-8 under the Act.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 shares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Dividend Equivalent Right (or other award to which it relates) if such shares had been issued to and held by the grantee.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means the date on which the Plan becomes effective as set forth in Section 19.</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as amended, and the rules and regulations thereunder.</w:t>
      </w:r>
    </w:p>
    <w:p>
      <w:pPr>
        <w:spacing w:after="0" w:line="19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of the Stock on any given date means the fair market value of the Stock determined in good faith by the Administrator; provided, however, that if</w:t>
      </w:r>
      <w:r>
        <w:rPr>
          <w:rFonts w:ascii="Arial" w:cs="Arial" w:eastAsia="Arial" w:hAnsi="Arial"/>
          <w:sz w:val="16"/>
          <w:szCs w:val="16"/>
          <w:i w:val="1"/>
          <w:iCs w:val="1"/>
          <w:color w:val="auto"/>
        </w:rPr>
        <w:t xml:space="preserve"> </w:t>
      </w:r>
      <w:r>
        <w:rPr>
          <w:rFonts w:ascii="Arial" w:cs="Arial" w:eastAsia="Arial" w:hAnsi="Arial"/>
          <w:sz w:val="16"/>
          <w:szCs w:val="16"/>
          <w:color w:val="auto"/>
        </w:rPr>
        <w:t>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“Non-Employee Director” </w:t>
      </w:r>
      <w:r>
        <w:rPr>
          <w:rFonts w:ascii="Arial" w:cs="Arial" w:eastAsia="Arial" w:hAnsi="Arial"/>
          <w:sz w:val="16"/>
          <w:szCs w:val="16"/>
          <w:color w:val="auto"/>
        </w:rPr>
        <w:t>means a member of the Board who is not also an employee of the Company or any Subsidiary.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“Non-Qualified Stock Option” </w:t>
      </w:r>
      <w:r>
        <w:rPr>
          <w:rFonts w:ascii="Arial" w:cs="Arial" w:eastAsia="Arial" w:hAnsi="Arial"/>
          <w:sz w:val="16"/>
          <w:szCs w:val="16"/>
          <w:color w:val="auto"/>
        </w:rPr>
        <w:t>means any Stock Option that is not an Incentive Stock Option.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i w:val="1"/>
          <w:iCs w:val="1"/>
          <w:color w:val="auto"/>
        </w:rPr>
        <w:t xml:space="preserve">“Registration Date” </w:t>
      </w:r>
      <w:r>
        <w:rPr>
          <w:rFonts w:ascii="Arial" w:cs="Arial" w:eastAsia="Arial" w:hAnsi="Arial"/>
          <w:sz w:val="16"/>
          <w:szCs w:val="16"/>
          <w:color w:val="auto"/>
        </w:rPr>
        <w:t>means the date upon which the registration statement on Form S-1 that is filed by the Company with respect to its initial public offering is</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effective by the Securities and Exchange Commission.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 xml:space="preserve">“Restricted Shares” </w:t>
      </w:r>
      <w:r>
        <w:rPr>
          <w:rFonts w:ascii="Arial" w:cs="Arial" w:eastAsia="Arial" w:hAnsi="Arial"/>
          <w:sz w:val="14"/>
          <w:szCs w:val="14"/>
          <w:color w:val="auto"/>
        </w:rPr>
        <w:t>means the shares of Stock underlying a Restricted Stock Award that remain subject to a risk of forfeiture or the Company’s right of repurchase.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 xml:space="preserve">“Restricted Stock Award” </w:t>
      </w:r>
      <w:r>
        <w:rPr>
          <w:rFonts w:ascii="Arial" w:cs="Arial" w:eastAsia="Arial" w:hAnsi="Arial"/>
          <w:sz w:val="14"/>
          <w:szCs w:val="14"/>
          <w:color w:val="auto"/>
        </w:rPr>
        <w:t>means an Award of Restricted Shares subject to such restrictions and conditions as the Administrator may determine at the time of grant.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2" w:name="page163"/>
    <w:bookmarkEnd w:id="162"/>
    <w:p>
      <w:pPr>
        <w:ind w:left="560"/>
        <w:spacing w:after="0"/>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means an Award of stock units subject to such restrictions and conditions as the Administrator may determine at the time of grant.</w:t>
      </w:r>
    </w:p>
    <w:p>
      <w:pPr>
        <w:spacing w:after="0" w:line="210"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i w:val="1"/>
          <w:iCs w:val="1"/>
          <w:color w:val="auto"/>
        </w:rPr>
        <w:t xml:space="preserve">“Sale Event” </w:t>
      </w:r>
      <w:r>
        <w:rPr>
          <w:rFonts w:ascii="Arial" w:cs="Arial" w:eastAsia="Arial" w:hAnsi="Arial"/>
          <w:sz w:val="14"/>
          <w:szCs w:val="14"/>
          <w:color w:val="auto"/>
        </w:rPr>
        <w:t>means (i) the sale of all or substantially all of the assets of the Company on a consolidated basis to an unrelated person or entity, (ii) a merger,</w:t>
      </w:r>
      <w:r>
        <w:rPr>
          <w:rFonts w:ascii="Arial" w:cs="Arial" w:eastAsia="Arial" w:hAnsi="Arial"/>
          <w:sz w:val="14"/>
          <w:szCs w:val="14"/>
          <w:i w:val="1"/>
          <w:iCs w:val="1"/>
          <w:color w:val="auto"/>
        </w:rPr>
        <w:t xml:space="preserve"> </w:t>
      </w:r>
      <w:r>
        <w:rPr>
          <w:rFonts w:ascii="Arial" w:cs="Arial" w:eastAsia="Arial" w:hAnsi="Arial"/>
          <w:sz w:val="14"/>
          <w:szCs w:val="14"/>
          <w:color w:val="auto"/>
        </w:rPr>
        <w:t>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43"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Price</w:t>
      </w:r>
      <w:r>
        <w:rPr>
          <w:rFonts w:ascii="Arial" w:cs="Arial" w:eastAsia="Arial" w:hAnsi="Arial"/>
          <w:sz w:val="16"/>
          <w:szCs w:val="16"/>
          <w:color w:val="auto"/>
        </w:rPr>
        <w:t>” means the value as determined by the Administrator of the consideration payable, or otherwise to be received by stockholders, per share of Stock pursuant to a Sale Event.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means Section 409A of the Code and the regulations and other guidance promulgated thereunder.</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“Service Relationship” </w:t>
      </w:r>
      <w:r>
        <w:rPr>
          <w:rFonts w:ascii="Arial" w:cs="Arial" w:eastAsia="Arial" w:hAnsi="Arial"/>
          <w:sz w:val="16"/>
          <w:szCs w:val="16"/>
          <w:color w:val="auto"/>
        </w:rPr>
        <w:t>means any relationship as an employee, director or Consultant of the Company or any Affiliate (e.g., a Service Relationship shall be deemed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without interruption in the event an individual’s status changes from full-time employee to part-time employee or Consultant).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“Stock” </w:t>
      </w:r>
      <w:r>
        <w:rPr>
          <w:rFonts w:ascii="Arial" w:cs="Arial" w:eastAsia="Arial" w:hAnsi="Arial"/>
          <w:sz w:val="16"/>
          <w:szCs w:val="16"/>
          <w:color w:val="auto"/>
        </w:rPr>
        <w:t>means the Common Stock, par value $0.001 per share, of the Company, subject to adjustments pursuant to Section 3.</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“Subsidiary” </w:t>
      </w:r>
      <w:r>
        <w:rPr>
          <w:rFonts w:ascii="Arial" w:cs="Arial" w:eastAsia="Arial" w:hAnsi="Arial"/>
          <w:sz w:val="15"/>
          <w:szCs w:val="15"/>
          <w:color w:val="auto"/>
        </w:rPr>
        <w:t>means any corporation or other entity (other than the Company) in which the Company has at least a 50 percent interest, either directly or indirectly.</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“Ten Percent Owner” </w:t>
      </w:r>
      <w:r>
        <w:rPr>
          <w:rFonts w:ascii="Arial" w:cs="Arial" w:eastAsia="Arial" w:hAnsi="Arial"/>
          <w:sz w:val="16"/>
          <w:szCs w:val="16"/>
          <w:color w:val="auto"/>
        </w:rPr>
        <w:t>means an employee who owns or is deemed to own (by reason of the attribution rules of Section 424(d) of the Code) more than 10 percent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voting power of all classes of stock of the Company or any parent or subsidiary corporation.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“Unrestricted Stock Award” </w:t>
      </w:r>
      <w:r>
        <w:rPr>
          <w:rFonts w:ascii="Arial" w:cs="Arial" w:eastAsia="Arial" w:hAnsi="Arial"/>
          <w:sz w:val="16"/>
          <w:szCs w:val="16"/>
          <w:color w:val="auto"/>
        </w:rPr>
        <w:t>means an Award of shares of Stock free of any restrictions.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3" w:name="page164"/>
    <w:bookmarkEnd w:id="163"/>
    <w:p>
      <w:pPr>
        <w:spacing w:after="0"/>
        <w:tabs>
          <w:tab w:leader="none" w:pos="112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5"/>
          <w:szCs w:val="15"/>
          <w:u w:val="single" w:color="auto"/>
          <w:color w:val="auto"/>
        </w:rPr>
        <w:t>ADMINISTRATION OF PLAN; ADMINISTRATOR AUTHORITY TO SELECT GRANTEES AND DETERMINE AWARDS</w:t>
      </w:r>
    </w:p>
    <w:p>
      <w:pPr>
        <w:spacing w:after="0" w:line="198" w:lineRule="exact"/>
        <w:rPr>
          <w:sz w:val="20"/>
          <w:szCs w:val="20"/>
          <w:color w:val="auto"/>
        </w:rPr>
      </w:pPr>
    </w:p>
    <w:p>
      <w:pPr>
        <w:ind w:left="780" w:hanging="211"/>
        <w:spacing w:after="0"/>
        <w:tabs>
          <w:tab w:leader="none" w:pos="78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Administration of Plan</w:t>
      </w:r>
      <w:r>
        <w:rPr>
          <w:rFonts w:ascii="Arial" w:cs="Arial" w:eastAsia="Arial" w:hAnsi="Arial"/>
          <w:sz w:val="16"/>
          <w:szCs w:val="16"/>
          <w:color w:val="auto"/>
        </w:rPr>
        <w:t>. The Plan shall be administered by the Administrator.</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Powers of Administrator</w:t>
      </w:r>
      <w:r>
        <w:rPr>
          <w:rFonts w:ascii="Arial" w:cs="Arial" w:eastAsia="Arial" w:hAnsi="Arial"/>
          <w:sz w:val="15"/>
          <w:szCs w:val="15"/>
          <w:color w:val="auto"/>
        </w:rPr>
        <w:t>. The Administrator shall have the power and authority to grant Awards consistent with the terms of the Plan, including the power and</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authority:</w:t>
      </w:r>
    </w:p>
    <w:p>
      <w:pPr>
        <w:spacing w:after="0" w:line="185" w:lineRule="exact"/>
        <w:rPr>
          <w:rFonts w:ascii="Arial" w:cs="Arial" w:eastAsia="Arial" w:hAnsi="Arial"/>
          <w:sz w:val="15"/>
          <w:szCs w:val="15"/>
          <w:color w:val="auto"/>
        </w:rPr>
      </w:pPr>
    </w:p>
    <w:p>
      <w:pPr>
        <w:ind w:left="1340" w:hanging="197"/>
        <w:spacing w:after="0"/>
        <w:tabs>
          <w:tab w:leader="none" w:pos="134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select the individuals to whom Awards may from time to time be granted;</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40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62" w:lineRule="exact"/>
        <w:rPr>
          <w:rFonts w:ascii="Arial" w:cs="Arial" w:eastAsia="Arial" w:hAnsi="Arial"/>
          <w:sz w:val="16"/>
          <w:szCs w:val="16"/>
          <w:color w:val="auto"/>
        </w:rPr>
      </w:pPr>
    </w:p>
    <w:p>
      <w:pPr>
        <w:ind w:left="1420" w:hanging="277"/>
        <w:spacing w:after="0"/>
        <w:tabs>
          <w:tab w:leader="none" w:pos="14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determine the number of shares of Stock to be covered by any Award;</w:t>
      </w:r>
    </w:p>
    <w:p>
      <w:pPr>
        <w:spacing w:after="0" w:line="198" w:lineRule="exact"/>
        <w:rPr>
          <w:rFonts w:ascii="Arial" w:cs="Arial" w:eastAsia="Arial" w:hAnsi="Arial"/>
          <w:sz w:val="16"/>
          <w:szCs w:val="16"/>
          <w:color w:val="auto"/>
        </w:rPr>
      </w:pPr>
    </w:p>
    <w:p>
      <w:pPr>
        <w:ind w:firstLine="1143"/>
        <w:spacing w:after="0" w:line="275" w:lineRule="auto"/>
        <w:tabs>
          <w:tab w:leader="none" w:pos="143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accelerate at any time the exercisability or vesting of all or any portion of any Award;</w:t>
      </w:r>
    </w:p>
    <w:p>
      <w:pPr>
        <w:spacing w:after="0" w:line="198" w:lineRule="exact"/>
        <w:rPr>
          <w:rFonts w:ascii="Arial" w:cs="Arial" w:eastAsia="Arial" w:hAnsi="Arial"/>
          <w:sz w:val="16"/>
          <w:szCs w:val="16"/>
          <w:color w:val="auto"/>
        </w:rPr>
      </w:pPr>
    </w:p>
    <w:p>
      <w:pPr>
        <w:ind w:right="20" w:firstLine="1143"/>
        <w:spacing w:after="0" w:line="275" w:lineRule="auto"/>
        <w:tabs>
          <w:tab w:leader="none" w:pos="142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subject to the provisions of Section 5(c) or Section 6(d), as applicable, to extend at any time the period in which Stock Options and Stock Appreciation Rights may be exercised; and</w:t>
      </w:r>
    </w:p>
    <w:p>
      <w:pPr>
        <w:spacing w:after="0" w:line="151" w:lineRule="exact"/>
        <w:rPr>
          <w:rFonts w:ascii="Arial" w:cs="Arial" w:eastAsia="Arial" w:hAnsi="Arial"/>
          <w:sz w:val="16"/>
          <w:szCs w:val="16"/>
          <w:color w:val="auto"/>
        </w:rPr>
      </w:pPr>
    </w:p>
    <w:p>
      <w:pPr>
        <w:jc w:val="both"/>
        <w:ind w:firstLine="1143"/>
        <w:spacing w:after="0" w:line="287" w:lineRule="auto"/>
        <w:tabs>
          <w:tab w:leader="none" w:pos="147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decisions and interpretations of the Administrator shall be binding on all persons, including the Company and Plan grantees.</w:t>
      </w:r>
    </w:p>
    <w:p>
      <w:pPr>
        <w:spacing w:after="0" w:line="198" w:lineRule="exact"/>
        <w:rPr>
          <w:sz w:val="20"/>
          <w:szCs w:val="20"/>
          <w:color w:val="auto"/>
        </w:rPr>
      </w:pPr>
    </w:p>
    <w:p>
      <w:pPr>
        <w:jc w:val="both"/>
        <w:ind w:firstLine="569"/>
        <w:spacing w:after="0" w:line="274" w:lineRule="auto"/>
        <w:tabs>
          <w:tab w:leader="none" w:pos="802"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Delegation of Authority to Grant Awards</w:t>
      </w:r>
      <w:r>
        <w:rPr>
          <w:rFonts w:ascii="Arial" w:cs="Arial" w:eastAsia="Arial" w:hAnsi="Arial"/>
          <w:sz w:val="15"/>
          <w:szCs w:val="15"/>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64" w:name="page165"/>
    <w:bookmarkEnd w:id="164"/>
    <w:p>
      <w:pPr>
        <w:ind w:firstLine="569"/>
        <w:spacing w:after="0" w:line="275" w:lineRule="auto"/>
        <w:tabs>
          <w:tab w:leader="none" w:pos="799"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51" w:lineRule="exact"/>
        <w:rPr>
          <w:rFonts w:ascii="Arial" w:cs="Arial" w:eastAsia="Arial" w:hAnsi="Arial"/>
          <w:sz w:val="16"/>
          <w:szCs w:val="16"/>
          <w:color w:val="auto"/>
        </w:rPr>
      </w:pPr>
    </w:p>
    <w:p>
      <w:pPr>
        <w:jc w:val="both"/>
        <w:ind w:firstLine="569"/>
        <w:spacing w:after="0" w:line="276" w:lineRule="auto"/>
        <w:tabs>
          <w:tab w:leader="none" w:pos="802"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5" w:lineRule="exact"/>
        <w:rPr>
          <w:rFonts w:ascii="Arial" w:cs="Arial" w:eastAsia="Arial" w:hAnsi="Arial"/>
          <w:sz w:val="15"/>
          <w:szCs w:val="15"/>
          <w:color w:val="auto"/>
        </w:rPr>
      </w:pPr>
    </w:p>
    <w:p>
      <w:pPr>
        <w:jc w:val="both"/>
        <w:ind w:right="20" w:firstLine="569"/>
        <w:spacing w:after="0" w:line="293" w:lineRule="auto"/>
        <w:tabs>
          <w:tab w:leader="none" w:pos="772"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Foreign Award Recipients</w:t>
      </w:r>
      <w:r>
        <w:rPr>
          <w:rFonts w:ascii="Arial" w:cs="Arial" w:eastAsia="Arial" w:hAnsi="Arial"/>
          <w:sz w:val="14"/>
          <w:szCs w:val="14"/>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65" w:name="page166"/>
    <w:bookmarkEnd w:id="165"/>
    <w:p>
      <w:pPr>
        <w:ind w:left="4"/>
        <w:spacing w:after="0"/>
        <w:tabs>
          <w:tab w:leader="none" w:pos="1124"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5"/>
          <w:szCs w:val="15"/>
          <w:u w:val="single" w:color="auto"/>
          <w:color w:val="auto"/>
        </w:rPr>
        <w:t>STOCK ISSUABLE UNDER THE PLAN; MERGERS; SUBSTITUTION</w:t>
      </w:r>
    </w:p>
    <w:p>
      <w:pPr>
        <w:spacing w:after="0" w:line="202" w:lineRule="exact"/>
        <w:rPr>
          <w:sz w:val="20"/>
          <w:szCs w:val="20"/>
          <w:color w:val="auto"/>
        </w:rPr>
      </w:pPr>
    </w:p>
    <w:p>
      <w:pPr>
        <w:jc w:val="both"/>
        <w:ind w:left="4" w:right="20" w:firstLine="569"/>
        <w:spacing w:after="0" w:line="264" w:lineRule="auto"/>
        <w:tabs>
          <w:tab w:leader="none" w:pos="794"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of Stock reserved and available for issuance under the Plan shall be [●]</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five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as cumulatively increased on January 1, 2022 and each January 1 thereafter by the lesser of</w:t>
      </w:r>
    </w:p>
    <w:p>
      <w:pPr>
        <w:spacing w:after="0" w:line="2" w:lineRule="exact"/>
        <w:rPr>
          <w:sz w:val="20"/>
          <w:szCs w:val="20"/>
          <w:color w:val="auto"/>
        </w:rPr>
      </w:pPr>
    </w:p>
    <w:p>
      <w:pPr>
        <w:jc w:val="both"/>
        <w:ind w:left="4"/>
        <w:spacing w:after="0" w:line="236" w:lineRule="auto"/>
        <w:rPr>
          <w:sz w:val="20"/>
          <w:szCs w:val="20"/>
          <w:color w:val="auto"/>
        </w:rPr>
      </w:pPr>
      <w:r>
        <w:rPr>
          <w:rFonts w:ascii="Arial" w:cs="Arial" w:eastAsia="Arial" w:hAnsi="Arial"/>
          <w:sz w:val="16"/>
          <w:szCs w:val="16"/>
          <w:color w:val="auto"/>
        </w:rPr>
        <w:t>the Annual Increase for such year or [●]</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shares of Stock, subject in all cases to adjustment as provided in Section 3(b). For purposes of this limitation, the shares of Stock underlying any awards under the Plan and under the Company’s 2016 Stock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83" w:lineRule="exact"/>
        <w:rPr>
          <w:sz w:val="20"/>
          <w:szCs w:val="20"/>
          <w:color w:val="auto"/>
        </w:rPr>
      </w:pPr>
    </w:p>
    <w:p>
      <w:pPr>
        <w:jc w:val="both"/>
        <w:ind w:left="4" w:firstLine="569"/>
        <w:spacing w:after="0" w:line="269" w:lineRule="auto"/>
        <w:tabs>
          <w:tab w:leader="none" w:pos="803"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Changes in Stock</w:t>
      </w:r>
      <w:r>
        <w:rPr>
          <w:rFonts w:ascii="Arial" w:cs="Arial" w:eastAsia="Arial" w:hAnsi="Arial"/>
          <w:sz w:val="15"/>
          <w:szCs w:val="15"/>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106997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58" w:lineRule="exact"/>
        <w:rPr>
          <w:sz w:val="20"/>
          <w:szCs w:val="20"/>
          <w:color w:val="auto"/>
        </w:rPr>
      </w:pPr>
    </w:p>
    <w:p>
      <w:pPr>
        <w:ind w:left="284" w:hanging="284"/>
        <w:spacing w:after="0"/>
        <w:tabs>
          <w:tab w:leader="none" w:pos="284" w:val="left"/>
        </w:tabs>
        <w:numPr>
          <w:ilvl w:val="0"/>
          <w:numId w:val="147"/>
        </w:numPr>
        <w:rPr>
          <w:rFonts w:ascii="Arial" w:cs="Arial" w:eastAsia="Arial" w:hAnsi="Arial"/>
          <w:sz w:val="27"/>
          <w:szCs w:val="27"/>
          <w:color w:val="auto"/>
          <w:vertAlign w:val="superscript"/>
        </w:rPr>
      </w:pPr>
      <w:r>
        <w:rPr>
          <w:rFonts w:ascii="Arial" w:cs="Arial" w:eastAsia="Arial" w:hAnsi="Arial"/>
          <w:sz w:val="16"/>
          <w:szCs w:val="16"/>
          <w:b w:val="1"/>
          <w:bCs w:val="1"/>
          <w:color w:val="auto"/>
        </w:rPr>
        <w:t>Note to Draft</w:t>
      </w:r>
      <w:r>
        <w:rPr>
          <w:rFonts w:ascii="Arial" w:cs="Arial" w:eastAsia="Arial" w:hAnsi="Arial"/>
          <w:sz w:val="16"/>
          <w:szCs w:val="16"/>
          <w:color w:val="auto"/>
        </w:rPr>
        <w:t>: To be a number equal to 10% of the post-IPO fully diluted shares.</w:t>
      </w:r>
    </w:p>
    <w:p>
      <w:pPr>
        <w:spacing w:after="0" w:line="1" w:lineRule="exact"/>
        <w:rPr>
          <w:sz w:val="20"/>
          <w:szCs w:val="20"/>
          <w:color w:val="auto"/>
        </w:rPr>
      </w:pPr>
    </w:p>
    <w:p>
      <w:pPr>
        <w:ind w:left="5584" w:right="5100" w:hanging="5584"/>
        <w:spacing w:after="0" w:line="319" w:lineRule="auto"/>
        <w:tabs>
          <w:tab w:leader="none" w:pos="283" w:val="left"/>
        </w:tabs>
        <w:numPr>
          <w:ilvl w:val="0"/>
          <w:numId w:val="148"/>
        </w:numPr>
        <w:rPr>
          <w:rFonts w:ascii="Arial" w:cs="Arial" w:eastAsia="Arial" w:hAnsi="Arial"/>
          <w:sz w:val="23"/>
          <w:szCs w:val="23"/>
          <w:color w:val="auto"/>
          <w:vertAlign w:val="superscript"/>
        </w:rPr>
      </w:pPr>
      <w:r>
        <w:rPr>
          <w:rFonts w:ascii="Arial" w:cs="Arial" w:eastAsia="Arial" w:hAnsi="Arial"/>
          <w:sz w:val="14"/>
          <w:szCs w:val="14"/>
          <w:b w:val="1"/>
          <w:bCs w:val="1"/>
          <w:color w:val="auto"/>
        </w:rPr>
        <w:t>Note to Draft</w:t>
      </w:r>
      <w:r>
        <w:rPr>
          <w:rFonts w:ascii="Arial" w:cs="Arial" w:eastAsia="Arial" w:hAnsi="Arial"/>
          <w:sz w:val="14"/>
          <w:szCs w:val="14"/>
          <w:color w:val="auto"/>
        </w:rPr>
        <w:t>: To a number equal to approximately 5% of the post-IPO fully diluted shares.</w:t>
      </w:r>
      <w:r>
        <w:rPr>
          <w:rFonts w:ascii="Arial" w:cs="Arial" w:eastAsia="Arial" w:hAnsi="Arial"/>
          <w:sz w:val="14"/>
          <w:szCs w:val="14"/>
          <w:b w:val="1"/>
          <w:bCs w:val="1"/>
          <w:color w:val="auto"/>
        </w:rPr>
        <w:t xml:space="preserve"> </w:t>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166" w:name="page167"/>
    <w:bookmarkEnd w:id="166"/>
    <w:p>
      <w:pPr>
        <w:jc w:val="both"/>
        <w:ind w:firstLine="569"/>
        <w:spacing w:after="0" w:line="289" w:lineRule="auto"/>
        <w:tabs>
          <w:tab w:leader="none" w:pos="790"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Mergers and Other Transactions</w:t>
      </w:r>
      <w:r>
        <w:rPr>
          <w:rFonts w:ascii="Arial" w:cs="Arial" w:eastAsia="Arial" w:hAnsi="Arial"/>
          <w:sz w:val="14"/>
          <w:szCs w:val="14"/>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51" w:lineRule="exact"/>
        <w:rPr>
          <w:rFonts w:ascii="Arial" w:cs="Arial" w:eastAsia="Arial" w:hAnsi="Arial"/>
          <w:sz w:val="14"/>
          <w:szCs w:val="14"/>
          <w:color w:val="auto"/>
        </w:rPr>
      </w:pPr>
    </w:p>
    <w:p>
      <w:pPr>
        <w:jc w:val="both"/>
        <w:ind w:firstLine="569"/>
        <w:spacing w:after="0" w:line="255" w:lineRule="auto"/>
        <w:tabs>
          <w:tab w:leader="none" w:pos="799"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Maximum Awards to Non-Employee Directors</w:t>
      </w:r>
      <w:r>
        <w:rPr>
          <w:rFonts w:ascii="Arial" w:cs="Arial" w:eastAsia="Arial" w:hAnsi="Arial"/>
          <w:sz w:val="16"/>
          <w:szCs w:val="16"/>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6"/>
          <w:szCs w:val="16"/>
          <w:u w:val="single" w:color="auto"/>
          <w:color w:val="auto"/>
        </w:rPr>
        <w:t>ELIGIBILITY</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7" w:name="page168"/>
    <w:bookmarkEnd w:id="167"/>
    <w:p>
      <w:pPr>
        <w:spacing w:after="0"/>
        <w:tabs>
          <w:tab w:leader="none" w:pos="112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5"/>
          <w:szCs w:val="15"/>
          <w:u w:val="single" w:color="auto"/>
          <w:color w:val="auto"/>
        </w:rPr>
        <w:t>STOCK OPTIONS</w:t>
      </w:r>
    </w:p>
    <w:p>
      <w:pPr>
        <w:spacing w:after="0" w:line="198" w:lineRule="exact"/>
        <w:rPr>
          <w:sz w:val="20"/>
          <w:szCs w:val="20"/>
          <w:color w:val="auto"/>
        </w:rPr>
      </w:pPr>
    </w:p>
    <w:p>
      <w:pPr>
        <w:ind w:right="20" w:firstLine="569"/>
        <w:spacing w:after="0" w:line="275" w:lineRule="auto"/>
        <w:tabs>
          <w:tab w:leader="none" w:pos="80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Award of Stock Options</w:t>
      </w:r>
      <w:r>
        <w:rPr>
          <w:rFonts w:ascii="Arial" w:cs="Arial" w:eastAsia="Arial" w:hAnsi="Arial"/>
          <w:sz w:val="16"/>
          <w:szCs w:val="16"/>
          <w:color w:val="auto"/>
        </w:rPr>
        <w:t>. The Administrator may grant Stock Options under the Plan. Any Stock Option granted under the Plan shall be in such form as the Administrator may from time to time approve.</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62" w:lineRule="exact"/>
        <w:rPr>
          <w:sz w:val="20"/>
          <w:szCs w:val="20"/>
          <w:color w:val="auto"/>
        </w:rPr>
      </w:pPr>
    </w:p>
    <w:p>
      <w:pPr>
        <w:jc w:val="both"/>
        <w:ind w:right="20" w:firstLine="569"/>
        <w:spacing w:after="0" w:line="254" w:lineRule="auto"/>
        <w:tabs>
          <w:tab w:leader="none" w:pos="79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70" w:lineRule="exact"/>
        <w:rPr>
          <w:rFonts w:ascii="Arial" w:cs="Arial" w:eastAsia="Arial" w:hAnsi="Arial"/>
          <w:sz w:val="16"/>
          <w:szCs w:val="16"/>
          <w:color w:val="auto"/>
        </w:rPr>
      </w:pPr>
    </w:p>
    <w:p>
      <w:pPr>
        <w:jc w:val="both"/>
        <w:ind w:firstLine="569"/>
        <w:spacing w:after="0" w:line="262" w:lineRule="auto"/>
        <w:tabs>
          <w:tab w:leader="none" w:pos="79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62" w:lineRule="exact"/>
        <w:rPr>
          <w:rFonts w:ascii="Arial" w:cs="Arial" w:eastAsia="Arial" w:hAnsi="Arial"/>
          <w:sz w:val="16"/>
          <w:szCs w:val="16"/>
          <w:color w:val="auto"/>
        </w:rPr>
      </w:pPr>
    </w:p>
    <w:p>
      <w:pPr>
        <w:jc w:val="both"/>
        <w:ind w:right="20" w:firstLine="569"/>
        <w:spacing w:after="0" w:line="287" w:lineRule="auto"/>
        <w:tabs>
          <w:tab w:leader="none" w:pos="799"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Exercisability; Rights of a Stockholder</w:t>
      </w:r>
      <w:r>
        <w:rPr>
          <w:rFonts w:ascii="Arial" w:cs="Arial" w:eastAsia="Arial" w:hAnsi="Arial"/>
          <w:sz w:val="15"/>
          <w:szCs w:val="15"/>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6" w:lineRule="exact"/>
        <w:rPr>
          <w:rFonts w:ascii="Arial" w:cs="Arial" w:eastAsia="Arial" w:hAnsi="Arial"/>
          <w:sz w:val="15"/>
          <w:szCs w:val="15"/>
          <w:color w:val="auto"/>
        </w:rPr>
      </w:pPr>
    </w:p>
    <w:p>
      <w:pPr>
        <w:jc w:val="both"/>
        <w:ind w:firstLine="569"/>
        <w:spacing w:after="0" w:line="262" w:lineRule="auto"/>
        <w:tabs>
          <w:tab w:leader="none" w:pos="79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62" w:lineRule="exact"/>
        <w:rPr>
          <w:rFonts w:ascii="Arial" w:cs="Arial" w:eastAsia="Arial" w:hAnsi="Arial"/>
          <w:sz w:val="16"/>
          <w:szCs w:val="16"/>
          <w:color w:val="auto"/>
        </w:rPr>
      </w:pPr>
    </w:p>
    <w:p>
      <w:pPr>
        <w:ind w:left="1340" w:hanging="197"/>
        <w:spacing w:after="0"/>
        <w:tabs>
          <w:tab w:leader="none" w:pos="13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In cash, by certified or bank check or other instrument acceptable to the Administrator;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68" w:name="page169"/>
    <w:bookmarkEnd w:id="168"/>
    <w:p>
      <w:pPr>
        <w:ind w:right="20" w:firstLine="1143"/>
        <w:spacing w:after="0" w:line="275" w:lineRule="auto"/>
        <w:tabs>
          <w:tab w:leader="none" w:pos="139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43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64" w:lineRule="exact"/>
        <w:rPr>
          <w:rFonts w:ascii="Arial" w:cs="Arial" w:eastAsia="Arial" w:hAnsi="Arial"/>
          <w:sz w:val="16"/>
          <w:szCs w:val="16"/>
          <w:color w:val="auto"/>
        </w:rPr>
      </w:pPr>
    </w:p>
    <w:p>
      <w:pPr>
        <w:ind w:right="20" w:firstLine="1143"/>
        <w:spacing w:after="0" w:line="309" w:lineRule="auto"/>
        <w:tabs>
          <w:tab w:leader="none" w:pos="1431"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69" w:lineRule="exact"/>
        <w:rPr>
          <w:sz w:val="20"/>
          <w:szCs w:val="20"/>
          <w:color w:val="auto"/>
        </w:rPr>
      </w:pPr>
    </w:p>
    <w:p>
      <w:pPr>
        <w:jc w:val="both"/>
        <w:ind w:right="20" w:firstLine="569"/>
        <w:spacing w:after="0" w:line="258" w:lineRule="auto"/>
        <w:tabs>
          <w:tab w:leader="none" w:pos="772"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5"/>
          <w:szCs w:val="15"/>
          <w:u w:val="single" w:color="auto"/>
          <w:color w:val="auto"/>
        </w:rPr>
        <w:t>STOCK APPRECIATION RIGHTS</w:t>
      </w:r>
    </w:p>
    <w:p>
      <w:pPr>
        <w:spacing w:after="0" w:line="198" w:lineRule="exact"/>
        <w:rPr>
          <w:sz w:val="20"/>
          <w:szCs w:val="20"/>
          <w:color w:val="auto"/>
        </w:rPr>
      </w:pPr>
    </w:p>
    <w:p>
      <w:pPr>
        <w:jc w:val="both"/>
        <w:ind w:firstLine="569"/>
        <w:spacing w:after="0" w:line="258" w:lineRule="auto"/>
        <w:tabs>
          <w:tab w:leader="none" w:pos="79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Award of Stock Appreciation Rights</w:t>
      </w:r>
      <w:r>
        <w:rPr>
          <w:rFonts w:ascii="Arial" w:cs="Arial" w:eastAsia="Arial" w:hAnsi="Arial"/>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9" w:name="page170"/>
    <w:bookmarkEnd w:id="169"/>
    <w:p>
      <w:pPr>
        <w:jc w:val="both"/>
        <w:ind w:firstLine="569"/>
        <w:spacing w:after="0" w:line="280" w:lineRule="auto"/>
        <w:tabs>
          <w:tab w:leader="none" w:pos="799"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Exercise Price of Stock Appreciation Rights</w:t>
      </w:r>
      <w:r>
        <w:rPr>
          <w:rFonts w:ascii="Arial" w:cs="Arial" w:eastAsia="Arial" w:hAnsi="Arial"/>
          <w:sz w:val="15"/>
          <w:szCs w:val="15"/>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51" w:lineRule="exact"/>
        <w:rPr>
          <w:rFonts w:ascii="Arial" w:cs="Arial" w:eastAsia="Arial" w:hAnsi="Arial"/>
          <w:sz w:val="15"/>
          <w:szCs w:val="15"/>
          <w:color w:val="auto"/>
        </w:rPr>
      </w:pPr>
    </w:p>
    <w:p>
      <w:pPr>
        <w:ind w:right="20" w:firstLine="569"/>
        <w:spacing w:after="0" w:line="275" w:lineRule="auto"/>
        <w:tabs>
          <w:tab w:leader="none" w:pos="802"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Grant and Exercise of Stock Appreciation Rights</w:t>
      </w:r>
      <w:r>
        <w:rPr>
          <w:rFonts w:ascii="Arial" w:cs="Arial" w:eastAsia="Arial" w:hAnsi="Arial"/>
          <w:sz w:val="16"/>
          <w:szCs w:val="16"/>
          <w:color w:val="auto"/>
        </w:rPr>
        <w:t>. Stock Appreciation Rights may be granted by the Administrator independently of any Stock Option granted pursuant to Section 5 of the Plan.</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799"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5"/>
          <w:szCs w:val="15"/>
          <w:u w:val="single" w:color="auto"/>
          <w:color w:val="auto"/>
        </w:rPr>
        <w:t>RESTRICTED STOCK AWARDS</w:t>
      </w:r>
    </w:p>
    <w:p>
      <w:pPr>
        <w:spacing w:after="0" w:line="198" w:lineRule="exact"/>
        <w:rPr>
          <w:sz w:val="20"/>
          <w:szCs w:val="20"/>
          <w:color w:val="auto"/>
        </w:rPr>
      </w:pPr>
    </w:p>
    <w:p>
      <w:pPr>
        <w:jc w:val="both"/>
        <w:ind w:firstLine="569"/>
        <w:spacing w:after="0" w:line="262" w:lineRule="auto"/>
        <w:tabs>
          <w:tab w:leader="none" w:pos="79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62" w:lineRule="exact"/>
        <w:rPr>
          <w:rFonts w:ascii="Arial" w:cs="Arial" w:eastAsia="Arial" w:hAnsi="Arial"/>
          <w:sz w:val="16"/>
          <w:szCs w:val="16"/>
          <w:color w:val="auto"/>
        </w:rPr>
      </w:pPr>
    </w:p>
    <w:p>
      <w:pPr>
        <w:jc w:val="both"/>
        <w:ind w:firstLine="569"/>
        <w:spacing w:after="0" w:line="295" w:lineRule="auto"/>
        <w:tabs>
          <w:tab w:leader="none" w:pos="799" w:val="left"/>
        </w:tabs>
        <w:numPr>
          <w:ilvl w:val="0"/>
          <w:numId w:val="156"/>
        </w:numPr>
        <w:rPr>
          <w:rFonts w:ascii="Arial" w:cs="Arial" w:eastAsia="Arial" w:hAnsi="Arial"/>
          <w:sz w:val="14"/>
          <w:szCs w:val="14"/>
          <w:color w:val="auto"/>
        </w:rPr>
      </w:pPr>
      <w:r>
        <w:rPr>
          <w:rFonts w:ascii="Arial" w:cs="Arial" w:eastAsia="Arial" w:hAnsi="Arial"/>
          <w:sz w:val="14"/>
          <w:szCs w:val="14"/>
          <w:u w:val="single" w:color="auto"/>
          <w:color w:val="auto"/>
        </w:rPr>
        <w:t>Rights as a Stockholder</w:t>
      </w:r>
      <w:r>
        <w:rPr>
          <w:rFonts w:ascii="Arial" w:cs="Arial" w:eastAsia="Arial" w:hAnsi="Arial"/>
          <w:sz w:val="14"/>
          <w:szCs w:val="14"/>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0" w:name="page171"/>
    <w:bookmarkEnd w:id="170"/>
    <w:p>
      <w:pPr>
        <w:jc w:val="both"/>
        <w:ind w:firstLine="569"/>
        <w:spacing w:after="0" w:line="272" w:lineRule="auto"/>
        <w:tabs>
          <w:tab w:leader="none" w:pos="790"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Restrictions</w:t>
      </w:r>
      <w:r>
        <w:rPr>
          <w:rFonts w:ascii="Arial" w:cs="Arial" w:eastAsia="Arial" w:hAnsi="Arial"/>
          <w:sz w:val="15"/>
          <w:szCs w:val="15"/>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56" w:lineRule="exact"/>
        <w:rPr>
          <w:rFonts w:ascii="Arial" w:cs="Arial" w:eastAsia="Arial" w:hAnsi="Arial"/>
          <w:sz w:val="15"/>
          <w:szCs w:val="15"/>
          <w:color w:val="auto"/>
        </w:rPr>
      </w:pPr>
    </w:p>
    <w:p>
      <w:pPr>
        <w:jc w:val="both"/>
        <w:ind w:firstLine="569"/>
        <w:spacing w:after="0" w:line="258" w:lineRule="auto"/>
        <w:tabs>
          <w:tab w:leader="none" w:pos="81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Vesting of Restricted Shares</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5"/>
          <w:szCs w:val="15"/>
          <w:u w:val="single" w:color="auto"/>
          <w:color w:val="auto"/>
        </w:rPr>
        <w:t>RESTRICTED STOCK UNITS</w:t>
      </w:r>
    </w:p>
    <w:p>
      <w:pPr>
        <w:spacing w:after="0" w:line="198" w:lineRule="exact"/>
        <w:rPr>
          <w:sz w:val="20"/>
          <w:szCs w:val="20"/>
          <w:color w:val="auto"/>
        </w:rPr>
      </w:pPr>
    </w:p>
    <w:p>
      <w:pPr>
        <w:jc w:val="both"/>
        <w:ind w:firstLine="569"/>
        <w:spacing w:after="0" w:line="253" w:lineRule="auto"/>
        <w:tabs>
          <w:tab w:leader="none" w:pos="79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69" w:lineRule="exact"/>
        <w:rPr>
          <w:rFonts w:ascii="Arial" w:cs="Arial" w:eastAsia="Arial" w:hAnsi="Arial"/>
          <w:sz w:val="16"/>
          <w:szCs w:val="16"/>
          <w:color w:val="auto"/>
        </w:rPr>
      </w:pPr>
    </w:p>
    <w:p>
      <w:pPr>
        <w:jc w:val="both"/>
        <w:ind w:right="20" w:firstLine="569"/>
        <w:spacing w:after="0" w:line="295" w:lineRule="auto"/>
        <w:tabs>
          <w:tab w:leader="none" w:pos="799"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Election to Receive Restricted Stock Units in Lieu of Compensation</w:t>
      </w:r>
      <w:r>
        <w:rPr>
          <w:rFonts w:ascii="Arial" w:cs="Arial" w:eastAsia="Arial" w:hAnsi="Arial"/>
          <w:sz w:val="14"/>
          <w:szCs w:val="14"/>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1" w:name="page172"/>
    <w:bookmarkEnd w:id="171"/>
    <w:p>
      <w:pPr>
        <w:jc w:val="both"/>
        <w:ind w:right="20" w:firstLine="569"/>
        <w:spacing w:after="0" w:line="262" w:lineRule="auto"/>
        <w:tabs>
          <w:tab w:leader="none" w:pos="80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799"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9.</w:t>
      </w:r>
      <w:r>
        <w:rPr>
          <w:sz w:val="20"/>
          <w:szCs w:val="20"/>
          <w:color w:val="auto"/>
        </w:rPr>
        <w:tab/>
      </w:r>
      <w:r>
        <w:rPr>
          <w:rFonts w:ascii="Arial" w:cs="Arial" w:eastAsia="Arial" w:hAnsi="Arial"/>
          <w:sz w:val="15"/>
          <w:szCs w:val="15"/>
          <w:u w:val="single" w:color="auto"/>
          <w:color w:val="auto"/>
        </w:rPr>
        <w:t>UNRESTRICTED STOCK AWARDS</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u w:val="single" w:color="auto"/>
          <w:color w:val="auto"/>
        </w:rPr>
        <w:t>Grant or Sale of Unrestricted Stock</w:t>
      </w:r>
      <w:r>
        <w:rPr>
          <w:rFonts w:ascii="Arial" w:cs="Arial" w:eastAsia="Arial" w:hAnsi="Arial"/>
          <w:sz w:val="15"/>
          <w:szCs w:val="15"/>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10.</w:t>
      </w:r>
      <w:r>
        <w:rPr>
          <w:sz w:val="20"/>
          <w:szCs w:val="20"/>
          <w:color w:val="auto"/>
        </w:rPr>
        <w:tab/>
      </w:r>
      <w:r>
        <w:rPr>
          <w:rFonts w:ascii="Arial" w:cs="Arial" w:eastAsia="Arial" w:hAnsi="Arial"/>
          <w:sz w:val="15"/>
          <w:szCs w:val="15"/>
          <w:u w:val="single" w:color="auto"/>
          <w:color w:val="auto"/>
        </w:rPr>
        <w:t>CASH-BASED AWARDS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u w:val="single" w:color="auto"/>
          <w:color w:val="auto"/>
        </w:rPr>
        <w:t>Grant of Cash-Based Awards</w:t>
      </w:r>
      <w:r>
        <w:rPr>
          <w:rFonts w:ascii="Arial" w:cs="Arial" w:eastAsia="Arial" w:hAnsi="Arial"/>
          <w:sz w:val="15"/>
          <w:szCs w:val="15"/>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w:t>
      </w:r>
      <w:r>
        <w:rPr>
          <w:sz w:val="20"/>
          <w:szCs w:val="20"/>
          <w:color w:val="auto"/>
        </w:rPr>
        <w:tab/>
      </w:r>
      <w:r>
        <w:rPr>
          <w:rFonts w:ascii="Arial" w:cs="Arial" w:eastAsia="Arial" w:hAnsi="Arial"/>
          <w:sz w:val="15"/>
          <w:szCs w:val="15"/>
          <w:u w:val="single" w:color="auto"/>
          <w:color w:val="auto"/>
        </w:rPr>
        <w:t>DIVIDEND EQUIVALENT RIGHTS</w:t>
      </w:r>
    </w:p>
    <w:p>
      <w:pPr>
        <w:spacing w:after="0" w:line="198" w:lineRule="exact"/>
        <w:rPr>
          <w:sz w:val="20"/>
          <w:szCs w:val="20"/>
          <w:color w:val="auto"/>
        </w:rPr>
      </w:pPr>
    </w:p>
    <w:p>
      <w:pPr>
        <w:jc w:val="both"/>
        <w:ind w:firstLine="569"/>
        <w:spacing w:after="0" w:line="252" w:lineRule="auto"/>
        <w:tabs>
          <w:tab w:leader="none" w:pos="80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Dividend Equivalent Rights</w:t>
      </w:r>
      <w:r>
        <w:rPr>
          <w:rFonts w:ascii="Arial" w:cs="Arial" w:eastAsia="Arial" w:hAnsi="Arial"/>
          <w:sz w:val="16"/>
          <w:szCs w:val="16"/>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72" w:name="page173"/>
    <w:bookmarkEnd w:id="172"/>
    <w:p>
      <w:pPr>
        <w:jc w:val="both"/>
        <w:ind w:right="20" w:firstLine="569"/>
        <w:spacing w:after="0" w:line="262" w:lineRule="auto"/>
        <w:tabs>
          <w:tab w:leader="none" w:pos="799"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w:t>
      </w:r>
      <w:r>
        <w:rPr>
          <w:sz w:val="20"/>
          <w:szCs w:val="20"/>
          <w:color w:val="auto"/>
        </w:rPr>
        <w:tab/>
      </w:r>
      <w:r>
        <w:rPr>
          <w:rFonts w:ascii="Arial" w:cs="Arial" w:eastAsia="Arial" w:hAnsi="Arial"/>
          <w:sz w:val="15"/>
          <w:szCs w:val="15"/>
          <w:u w:val="single" w:color="auto"/>
          <w:color w:val="auto"/>
        </w:rPr>
        <w:t>TRANSFERABILITY OF AWARDS</w:t>
      </w:r>
    </w:p>
    <w:p>
      <w:pPr>
        <w:spacing w:after="0" w:line="198" w:lineRule="exact"/>
        <w:rPr>
          <w:sz w:val="20"/>
          <w:szCs w:val="20"/>
          <w:color w:val="auto"/>
        </w:rPr>
      </w:pPr>
    </w:p>
    <w:p>
      <w:pPr>
        <w:jc w:val="both"/>
        <w:ind w:firstLine="569"/>
        <w:spacing w:after="0" w:line="258" w:lineRule="auto"/>
        <w:tabs>
          <w:tab w:leader="none" w:pos="80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64" w:lineRule="exact"/>
        <w:rPr>
          <w:rFonts w:ascii="Arial" w:cs="Arial" w:eastAsia="Arial" w:hAnsi="Arial"/>
          <w:sz w:val="16"/>
          <w:szCs w:val="16"/>
          <w:color w:val="auto"/>
        </w:rPr>
      </w:pPr>
    </w:p>
    <w:p>
      <w:pPr>
        <w:jc w:val="both"/>
        <w:ind w:firstLine="569"/>
        <w:spacing w:after="0" w:line="306" w:lineRule="auto"/>
        <w:tabs>
          <w:tab w:leader="none" w:pos="799"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Administrator Action</w:t>
      </w:r>
      <w:r>
        <w:rPr>
          <w:rFonts w:ascii="Arial" w:cs="Arial" w:eastAsia="Arial" w:hAnsi="Arial"/>
          <w:sz w:val="14"/>
          <w:szCs w:val="14"/>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34" w:lineRule="exact"/>
        <w:rPr>
          <w:rFonts w:ascii="Arial" w:cs="Arial" w:eastAsia="Arial" w:hAnsi="Arial"/>
          <w:sz w:val="14"/>
          <w:szCs w:val="14"/>
          <w:color w:val="auto"/>
        </w:rPr>
      </w:pPr>
    </w:p>
    <w:p>
      <w:pPr>
        <w:jc w:val="both"/>
        <w:ind w:right="20" w:firstLine="569"/>
        <w:spacing w:after="0" w:line="255" w:lineRule="auto"/>
        <w:tabs>
          <w:tab w:leader="none" w:pos="80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Family Member</w:t>
      </w:r>
      <w:r>
        <w:rPr>
          <w:rFonts w:ascii="Arial" w:cs="Arial" w:eastAsia="Arial" w:hAnsi="Arial"/>
          <w:sz w:val="16"/>
          <w:szCs w:val="16"/>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69" w:lineRule="exact"/>
        <w:rPr>
          <w:rFonts w:ascii="Arial" w:cs="Arial" w:eastAsia="Arial" w:hAnsi="Arial"/>
          <w:sz w:val="16"/>
          <w:szCs w:val="16"/>
          <w:color w:val="auto"/>
        </w:rPr>
      </w:pPr>
    </w:p>
    <w:p>
      <w:pPr>
        <w:jc w:val="both"/>
        <w:ind w:firstLine="569"/>
        <w:spacing w:after="0" w:line="258" w:lineRule="auto"/>
        <w:tabs>
          <w:tab w:leader="none" w:pos="799"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3" w:name="page174"/>
    <w:bookmarkEnd w:id="173"/>
    <w:p>
      <w:pPr>
        <w:spacing w:after="0"/>
        <w:tabs>
          <w:tab w:leader="none" w:pos="1120" w:val="left"/>
        </w:tabs>
        <w:rPr>
          <w:sz w:val="20"/>
          <w:szCs w:val="20"/>
          <w:color w:val="auto"/>
        </w:rPr>
      </w:pPr>
      <w:r>
        <w:rPr>
          <w:rFonts w:ascii="Arial" w:cs="Arial" w:eastAsia="Arial" w:hAnsi="Arial"/>
          <w:sz w:val="16"/>
          <w:szCs w:val="16"/>
          <w:color w:val="auto"/>
        </w:rPr>
        <w:t>SECTION 13.</w:t>
      </w:r>
      <w:r>
        <w:rPr>
          <w:sz w:val="20"/>
          <w:szCs w:val="20"/>
          <w:color w:val="auto"/>
        </w:rPr>
        <w:tab/>
      </w:r>
      <w:r>
        <w:rPr>
          <w:rFonts w:ascii="Arial" w:cs="Arial" w:eastAsia="Arial" w:hAnsi="Arial"/>
          <w:sz w:val="16"/>
          <w:szCs w:val="16"/>
          <w:u w:val="single" w:color="auto"/>
          <w:color w:val="auto"/>
        </w:rPr>
        <w:t>TAX WITHHOLDING</w:t>
      </w:r>
    </w:p>
    <w:p>
      <w:pPr>
        <w:spacing w:after="0" w:line="198" w:lineRule="exact"/>
        <w:rPr>
          <w:sz w:val="20"/>
          <w:szCs w:val="20"/>
          <w:color w:val="auto"/>
        </w:rPr>
      </w:pPr>
    </w:p>
    <w:p>
      <w:pPr>
        <w:jc w:val="both"/>
        <w:ind w:firstLine="569"/>
        <w:spacing w:after="0" w:line="276" w:lineRule="auto"/>
        <w:tabs>
          <w:tab w:leader="none" w:pos="790"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Payment by Grantee</w:t>
      </w:r>
      <w:r>
        <w:rPr>
          <w:rFonts w:ascii="Arial" w:cs="Arial" w:eastAsia="Arial" w:hAnsi="Arial"/>
          <w:sz w:val="15"/>
          <w:szCs w:val="15"/>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5" w:lineRule="exact"/>
        <w:rPr>
          <w:rFonts w:ascii="Arial" w:cs="Arial" w:eastAsia="Arial" w:hAnsi="Arial"/>
          <w:sz w:val="15"/>
          <w:szCs w:val="15"/>
          <w:color w:val="auto"/>
        </w:rPr>
      </w:pPr>
    </w:p>
    <w:p>
      <w:pPr>
        <w:jc w:val="both"/>
        <w:ind w:right="20" w:firstLine="569"/>
        <w:spacing w:after="0" w:line="253" w:lineRule="auto"/>
        <w:tabs>
          <w:tab w:leader="none" w:pos="79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14.</w:t>
      </w:r>
      <w:r>
        <w:rPr>
          <w:sz w:val="20"/>
          <w:szCs w:val="20"/>
          <w:color w:val="auto"/>
        </w:rPr>
        <w:tab/>
      </w:r>
      <w:r>
        <w:rPr>
          <w:rFonts w:ascii="Arial" w:cs="Arial" w:eastAsia="Arial" w:hAnsi="Arial"/>
          <w:sz w:val="15"/>
          <w:szCs w:val="15"/>
          <w:u w:val="single" w:color="auto"/>
          <w:color w:val="auto"/>
        </w:rPr>
        <w:t>SECTION 409A AWARDS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4" w:name="page175"/>
    <w:bookmarkEnd w:id="174"/>
    <w:p>
      <w:pPr>
        <w:spacing w:after="0"/>
        <w:tabs>
          <w:tab w:leader="none" w:pos="1120" w:val="left"/>
        </w:tabs>
        <w:rPr>
          <w:sz w:val="20"/>
          <w:szCs w:val="20"/>
          <w:color w:val="auto"/>
        </w:rPr>
      </w:pPr>
      <w:r>
        <w:rPr>
          <w:rFonts w:ascii="Arial" w:cs="Arial" w:eastAsia="Arial" w:hAnsi="Arial"/>
          <w:sz w:val="16"/>
          <w:szCs w:val="16"/>
          <w:color w:val="auto"/>
        </w:rPr>
        <w:t>SECTION 15.</w:t>
      </w:r>
      <w:r>
        <w:rPr>
          <w:sz w:val="20"/>
          <w:szCs w:val="20"/>
          <w:color w:val="auto"/>
        </w:rPr>
        <w:tab/>
      </w:r>
      <w:r>
        <w:rPr>
          <w:rFonts w:ascii="Arial" w:cs="Arial" w:eastAsia="Arial" w:hAnsi="Arial"/>
          <w:sz w:val="15"/>
          <w:szCs w:val="15"/>
          <w:u w:val="single" w:color="auto"/>
          <w:color w:val="auto"/>
        </w:rPr>
        <w:t>TERMINATION OF SERVICE RELATIONSHIP, TRANSFER, LEAVE OF ABSENCE, ETC.</w:t>
      </w:r>
    </w:p>
    <w:p>
      <w:pPr>
        <w:spacing w:after="0" w:line="198" w:lineRule="exact"/>
        <w:rPr>
          <w:sz w:val="20"/>
          <w:szCs w:val="20"/>
          <w:color w:val="auto"/>
        </w:rPr>
      </w:pPr>
    </w:p>
    <w:p>
      <w:pPr>
        <w:ind w:right="20" w:firstLine="569"/>
        <w:spacing w:after="0" w:line="275" w:lineRule="auto"/>
        <w:tabs>
          <w:tab w:leader="none" w:pos="802"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If the grantee’s Service Relationship is with an Affiliate and such Affiliate ceases to be an Affiliate, the grantee shall be deemed to have terminated his or her Service Relationship for purposes of the Plan.</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purposes of the Plan, the following events shall not be deemed a termination of a Service Relationship:</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an Affiliate or from the Company to an Affiliate, or from one Affiliate to another; or</w:t>
      </w:r>
    </w:p>
    <w:p>
      <w:pPr>
        <w:spacing w:after="0" w:line="198" w:lineRule="exact"/>
        <w:rPr>
          <w:rFonts w:ascii="Arial" w:cs="Arial" w:eastAsia="Arial" w:hAnsi="Arial"/>
          <w:sz w:val="16"/>
          <w:szCs w:val="16"/>
          <w:color w:val="auto"/>
        </w:rPr>
      </w:pPr>
    </w:p>
    <w:p>
      <w:pPr>
        <w:jc w:val="both"/>
        <w:ind w:firstLine="1143"/>
        <w:spacing w:after="0" w:line="262" w:lineRule="auto"/>
        <w:tabs>
          <w:tab w:leader="none" w:pos="141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w:t>
      </w:r>
      <w:r>
        <w:rPr>
          <w:sz w:val="20"/>
          <w:szCs w:val="20"/>
          <w:color w:val="auto"/>
        </w:rPr>
        <w:tab/>
      </w:r>
      <w:r>
        <w:rPr>
          <w:rFonts w:ascii="Arial" w:cs="Arial" w:eastAsia="Arial" w:hAnsi="Arial"/>
          <w:sz w:val="15"/>
          <w:szCs w:val="15"/>
          <w:u w:val="single" w:color="auto"/>
          <w:color w:val="auto"/>
        </w:rPr>
        <w:t>AMENDMENTS AND TERMINATION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17.</w:t>
      </w:r>
      <w:r>
        <w:rPr>
          <w:sz w:val="20"/>
          <w:szCs w:val="20"/>
          <w:color w:val="auto"/>
        </w:rPr>
        <w:tab/>
      </w:r>
      <w:r>
        <w:rPr>
          <w:rFonts w:ascii="Arial" w:cs="Arial" w:eastAsia="Arial" w:hAnsi="Arial"/>
          <w:sz w:val="15"/>
          <w:szCs w:val="15"/>
          <w:u w:val="single" w:color="auto"/>
          <w:color w:val="auto"/>
        </w:rPr>
        <w:t>STATUS OF PLAN</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5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18.</w:t>
      </w:r>
      <w:r>
        <w:rPr>
          <w:sz w:val="20"/>
          <w:szCs w:val="20"/>
          <w:color w:val="auto"/>
        </w:rPr>
        <w:tab/>
      </w:r>
      <w:r>
        <w:rPr>
          <w:rFonts w:ascii="Arial" w:cs="Arial" w:eastAsia="Arial" w:hAnsi="Arial"/>
          <w:sz w:val="15"/>
          <w:szCs w:val="15"/>
          <w:u w:val="single" w:color="auto"/>
          <w:color w:val="auto"/>
        </w:rPr>
        <w:t>GENERAL PROVISIONS</w:t>
      </w:r>
    </w:p>
    <w:p>
      <w:pPr>
        <w:spacing w:after="0" w:line="198" w:lineRule="exact"/>
        <w:rPr>
          <w:sz w:val="20"/>
          <w:szCs w:val="20"/>
          <w:color w:val="auto"/>
        </w:rPr>
      </w:pPr>
    </w:p>
    <w:p>
      <w:pPr>
        <w:ind w:firstLine="569"/>
        <w:spacing w:after="0" w:line="275" w:lineRule="auto"/>
        <w:tabs>
          <w:tab w:leader="none" w:pos="79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No Distribution</w:t>
      </w:r>
      <w:r>
        <w:rPr>
          <w:rFonts w:ascii="Arial" w:cs="Arial" w:eastAsia="Arial" w:hAnsi="Arial"/>
          <w:sz w:val="16"/>
          <w:szCs w:val="16"/>
          <w:color w:val="auto"/>
        </w:rPr>
        <w:t>. The Administrator may require each person acquiring Stock pursuant to an Award to represent to and agree with the Company in writing that such person is acquiring the shares without a view to distribution thereof.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5" w:name="page176"/>
    <w:bookmarkEnd w:id="175"/>
    <w:p>
      <w:pPr>
        <w:jc w:val="both"/>
        <w:ind w:firstLine="569"/>
        <w:spacing w:after="0" w:line="289" w:lineRule="auto"/>
        <w:tabs>
          <w:tab w:leader="none" w:pos="799"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Issuance of Stock</w:t>
      </w:r>
      <w:r>
        <w:rPr>
          <w:rFonts w:ascii="Arial" w:cs="Arial" w:eastAsia="Arial" w:hAnsi="Arial"/>
          <w:sz w:val="14"/>
          <w:szCs w:val="14"/>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53" w:lineRule="exact"/>
        <w:rPr>
          <w:rFonts w:ascii="Arial" w:cs="Arial" w:eastAsia="Arial" w:hAnsi="Arial"/>
          <w:sz w:val="14"/>
          <w:szCs w:val="14"/>
          <w:color w:val="auto"/>
        </w:rPr>
      </w:pPr>
    </w:p>
    <w:p>
      <w:pPr>
        <w:jc w:val="both"/>
        <w:ind w:firstLine="569"/>
        <w:spacing w:after="0" w:line="262" w:lineRule="auto"/>
        <w:tabs>
          <w:tab w:leader="none" w:pos="79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62" w:lineRule="exact"/>
        <w:rPr>
          <w:rFonts w:ascii="Arial" w:cs="Arial" w:eastAsia="Arial" w:hAnsi="Arial"/>
          <w:sz w:val="16"/>
          <w:szCs w:val="16"/>
          <w:color w:val="auto"/>
        </w:rPr>
      </w:pPr>
    </w:p>
    <w:p>
      <w:pPr>
        <w:jc w:val="both"/>
        <w:ind w:firstLine="569"/>
        <w:spacing w:after="0" w:line="262" w:lineRule="auto"/>
        <w:tabs>
          <w:tab w:leader="none" w:pos="799"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Stockholder Rights</w:t>
      </w:r>
      <w:r>
        <w:rPr>
          <w:rFonts w:ascii="Arial" w:cs="Arial" w:eastAsia="Arial" w:hAnsi="Arial"/>
          <w:sz w:val="16"/>
          <w:szCs w:val="16"/>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826"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Other Compensation Arrangements; No Employment Rights</w:t>
      </w:r>
      <w:r>
        <w:rPr>
          <w:rFonts w:ascii="Arial" w:cs="Arial" w:eastAsia="Arial" w:hAnsi="Arial"/>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62" w:lineRule="exact"/>
        <w:rPr>
          <w:rFonts w:ascii="Arial" w:cs="Arial" w:eastAsia="Arial" w:hAnsi="Arial"/>
          <w:sz w:val="16"/>
          <w:szCs w:val="16"/>
          <w:color w:val="auto"/>
        </w:rPr>
      </w:pPr>
    </w:p>
    <w:p>
      <w:pPr>
        <w:ind w:right="20" w:firstLine="569"/>
        <w:spacing w:after="0" w:line="275" w:lineRule="auto"/>
        <w:tabs>
          <w:tab w:leader="none" w:pos="772"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policies and procedures, as in effect from time to time.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76" w:name="page177"/>
    <w:bookmarkEnd w:id="176"/>
    <w:p>
      <w:pPr>
        <w:jc w:val="both"/>
        <w:ind w:right="20" w:firstLine="569"/>
        <w:spacing w:after="0" w:line="262" w:lineRule="auto"/>
        <w:tabs>
          <w:tab w:leader="none" w:pos="799"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19.</w:t>
      </w:r>
      <w:r>
        <w:rPr>
          <w:sz w:val="20"/>
          <w:szCs w:val="20"/>
          <w:color w:val="auto"/>
        </w:rPr>
        <w:tab/>
      </w:r>
      <w:r>
        <w:rPr>
          <w:rFonts w:ascii="Arial" w:cs="Arial" w:eastAsia="Arial" w:hAnsi="Arial"/>
          <w:sz w:val="15"/>
          <w:szCs w:val="15"/>
          <w:u w:val="single" w:color="auto"/>
          <w:color w:val="auto"/>
        </w:rPr>
        <w:t>EFFECTIVE DATE OF PLAN</w:t>
      </w:r>
    </w:p>
    <w:p>
      <w:pPr>
        <w:spacing w:after="0" w:line="198"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2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20.</w:t>
      </w:r>
      <w:r>
        <w:rPr>
          <w:sz w:val="20"/>
          <w:szCs w:val="20"/>
          <w:color w:val="auto"/>
        </w:rPr>
        <w:tab/>
      </w:r>
      <w:r>
        <w:rPr>
          <w:rFonts w:ascii="Arial" w:cs="Arial" w:eastAsia="Arial" w:hAnsi="Arial"/>
          <w:sz w:val="15"/>
          <w:szCs w:val="15"/>
          <w:u w:val="single" w:color="auto"/>
          <w:color w:val="auto"/>
        </w:rPr>
        <w:t>GOVERNING LAW</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DATE APPROVED BY BOARD OF DIRECTORS: _______________,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APPROVED BY STOCKHOLDERS: _______________, 2021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I</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2021 TANGO THERAPEUTICS, INC.</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2021 EMPLOYEE STOCK PURCHASE PLAN</w:t>
      </w:r>
    </w:p>
    <w:p>
      <w:pPr>
        <w:spacing w:after="0" w:line="202"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The purpose of the Tango Therapeutics, Inc. 2021 Employee Stock Purchase Plan (the “Plan”) is to provide eligible employees of Tango Therapeutics, Inc. (the “Company”) and each Designated Subsidiary (as defined in Section 11) with opportunities to purchase shares of the Company’s common stock, par value $0.001 per share (the</w:t>
      </w:r>
    </w:p>
    <w:p>
      <w:pPr>
        <w:ind w:left="4"/>
        <w:spacing w:after="0" w:line="191" w:lineRule="auto"/>
        <w:rPr>
          <w:sz w:val="20"/>
          <w:szCs w:val="20"/>
          <w:color w:val="auto"/>
        </w:rPr>
      </w:pPr>
      <w:r>
        <w:rPr>
          <w:rFonts w:ascii="Arial" w:cs="Arial" w:eastAsia="Arial" w:hAnsi="Arial"/>
          <w:sz w:val="15"/>
          <w:szCs w:val="15"/>
          <w:color w:val="auto"/>
        </w:rPr>
        <w:t>“Common Stock”). An aggregate of [_____]</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shares of Common Stock have been approved and reserved for this purpose, plus on January 1, 2022, and each January 1</w:t>
      </w:r>
    </w:p>
    <w:p>
      <w:pPr>
        <w:jc w:val="both"/>
        <w:ind w:left="4" w:right="20"/>
        <w:spacing w:after="0" w:line="238" w:lineRule="auto"/>
        <w:rPr>
          <w:sz w:val="20"/>
          <w:szCs w:val="20"/>
          <w:color w:val="auto"/>
        </w:rPr>
      </w:pPr>
      <w:r>
        <w:rPr>
          <w:rFonts w:ascii="Arial" w:cs="Arial" w:eastAsia="Arial" w:hAnsi="Arial"/>
          <w:sz w:val="15"/>
          <w:szCs w:val="15"/>
          <w:color w:val="auto"/>
        </w:rPr>
        <w:t>thereafter through January 1, 2031, the number of shares of Common Stock reserved and available for issuance under the Plan shall be cumulatively increased by the least of (i) one percent (1%) of the number of shares of Common Stock issued and outstanding on the immediately preceding December 31st, (ii) [●]</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shares of Common Stock or (iii) such number of shares of Common Stock as determined by the Administrator. The Plan is intended to constitute an “employee stock purchase plan” within the meaning of Section 423(b) of the Internal Revenue Code of 1986, as amended (the “Code”), and shall be interpreted in accordance with that intent.</w:t>
      </w:r>
    </w:p>
    <w:p>
      <w:pPr>
        <w:spacing w:after="0" w:line="180" w:lineRule="exact"/>
        <w:rPr>
          <w:sz w:val="20"/>
          <w:szCs w:val="20"/>
          <w:color w:val="auto"/>
        </w:rPr>
      </w:pPr>
    </w:p>
    <w:p>
      <w:pPr>
        <w:jc w:val="both"/>
        <w:ind w:left="4" w:firstLine="569"/>
        <w:spacing w:after="0" w:line="274" w:lineRule="auto"/>
        <w:tabs>
          <w:tab w:leader="none" w:pos="749"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56" w:lineRule="exact"/>
        <w:rPr>
          <w:rFonts w:ascii="Arial" w:cs="Arial" w:eastAsia="Arial" w:hAnsi="Arial"/>
          <w:sz w:val="15"/>
          <w:szCs w:val="15"/>
          <w:color w:val="auto"/>
        </w:rPr>
      </w:pPr>
    </w:p>
    <w:p>
      <w:pPr>
        <w:jc w:val="both"/>
        <w:ind w:left="4" w:right="20" w:firstLine="569"/>
        <w:spacing w:after="0" w:line="258" w:lineRule="auto"/>
        <w:tabs>
          <w:tab w:leader="none" w:pos="761"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Offerings</w:t>
      </w:r>
      <w:r>
        <w:rPr>
          <w:rFonts w:ascii="Arial" w:cs="Arial" w:eastAsia="Arial" w:hAnsi="Arial"/>
          <w:sz w:val="16"/>
          <w:szCs w:val="16"/>
          <w:color w:val="auto"/>
        </w:rPr>
        <w:t>. The Company may make one or more offerings to eligible employees to purchase Common Stock under the Plan (“Offerings”). Unless otherwise determined by the Administrator, an Offering will begin on the first business day occurring on or after each [May 1] and [November 1] and will end on the last business day occurring on or before the following [October 31] and [April 30] respectively. The Administrator may, in its discretion, designate a different period for any Offering, provided that no Offering shall exceed 27 months in duration.</w:t>
      </w:r>
    </w:p>
    <w:p>
      <w:pPr>
        <w:spacing w:after="0" w:line="164" w:lineRule="exact"/>
        <w:rPr>
          <w:rFonts w:ascii="Arial" w:cs="Arial" w:eastAsia="Arial" w:hAnsi="Arial"/>
          <w:sz w:val="16"/>
          <w:szCs w:val="16"/>
          <w:color w:val="auto"/>
        </w:rPr>
      </w:pPr>
    </w:p>
    <w:p>
      <w:pPr>
        <w:jc w:val="both"/>
        <w:ind w:left="4" w:right="20" w:firstLine="569"/>
        <w:spacing w:after="0" w:line="294" w:lineRule="auto"/>
        <w:tabs>
          <w:tab w:leader="none" w:pos="737"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Eligibility</w:t>
      </w:r>
      <w:r>
        <w:rPr>
          <w:rFonts w:ascii="Arial" w:cs="Arial" w:eastAsia="Arial" w:hAnsi="Arial"/>
          <w:sz w:val="14"/>
          <w:szCs w:val="14"/>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w:t>
      </w:r>
    </w:p>
    <w:p>
      <w:pPr>
        <w:spacing w:after="0" w:line="1" w:lineRule="exact"/>
        <w:rPr>
          <w:sz w:val="20"/>
          <w:szCs w:val="20"/>
          <w:color w:val="auto"/>
        </w:rPr>
      </w:pPr>
    </w:p>
    <w:p>
      <w:pPr>
        <w:jc w:val="both"/>
        <w:ind w:left="4" w:right="20"/>
        <w:spacing w:after="0" w:line="273" w:lineRule="auto"/>
        <w:rPr>
          <w:sz w:val="20"/>
          <w:szCs w:val="20"/>
          <w:color w:val="auto"/>
        </w:rPr>
      </w:pPr>
      <w:r>
        <w:rPr>
          <w:rFonts w:ascii="Arial" w:cs="Arial" w:eastAsia="Arial" w:hAnsi="Arial"/>
          <w:sz w:val="14"/>
          <w:szCs w:val="14"/>
          <w:color w:val="auto"/>
        </w:rPr>
        <w:t>Designated Subsidiary for [more than 20 hours a week and have completed at least (30) months] of employment]</w:t>
      </w:r>
      <w:r>
        <w:rPr>
          <w:rFonts w:ascii="Arial" w:cs="Arial" w:eastAsia="Arial" w:hAnsi="Arial"/>
          <w:sz w:val="23"/>
          <w:szCs w:val="23"/>
          <w:color w:val="auto"/>
          <w:vertAlign w:val="superscript"/>
        </w:rPr>
        <w:t>3</w:t>
      </w:r>
      <w:r>
        <w:rPr>
          <w:rFonts w:ascii="Arial" w:cs="Arial" w:eastAsia="Arial" w:hAnsi="Arial"/>
          <w:sz w:val="14"/>
          <w:szCs w:val="14"/>
          <w:color w:val="auto"/>
        </w:rPr>
        <w: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106997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57" w:lineRule="exact"/>
        <w:rPr>
          <w:sz w:val="20"/>
          <w:szCs w:val="20"/>
          <w:color w:val="auto"/>
        </w:rPr>
      </w:pPr>
    </w:p>
    <w:p>
      <w:pPr>
        <w:ind w:left="284" w:hanging="284"/>
        <w:spacing w:after="0"/>
        <w:tabs>
          <w:tab w:leader="none" w:pos="284" w:val="left"/>
        </w:tabs>
        <w:numPr>
          <w:ilvl w:val="0"/>
          <w:numId w:val="169"/>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Size of initial share to equal .85% to 1% of the post-IPO fully diluted shares.</w:t>
      </w:r>
    </w:p>
    <w:p>
      <w:pPr>
        <w:ind w:left="284" w:hanging="284"/>
        <w:spacing w:after="0" w:line="181" w:lineRule="auto"/>
        <w:tabs>
          <w:tab w:leader="none" w:pos="284" w:val="left"/>
        </w:tabs>
        <w:numPr>
          <w:ilvl w:val="0"/>
          <w:numId w:val="170"/>
        </w:numPr>
        <w:rPr>
          <w:rFonts w:ascii="Arial" w:cs="Arial" w:eastAsia="Arial" w:hAnsi="Arial"/>
          <w:sz w:val="22"/>
          <w:szCs w:val="22"/>
          <w:color w:val="auto"/>
          <w:vertAlign w:val="superscript"/>
        </w:rPr>
      </w:pPr>
      <w:r>
        <w:rPr>
          <w:rFonts w:ascii="Arial" w:cs="Arial" w:eastAsia="Arial" w:hAnsi="Arial"/>
          <w:sz w:val="14"/>
          <w:szCs w:val="14"/>
          <w:b w:val="1"/>
          <w:bCs w:val="1"/>
          <w:color w:val="auto"/>
        </w:rPr>
        <w:t>Note to Draft</w:t>
      </w:r>
      <w:r>
        <w:rPr>
          <w:rFonts w:ascii="Arial" w:cs="Arial" w:eastAsia="Arial" w:hAnsi="Arial"/>
          <w:sz w:val="14"/>
          <w:szCs w:val="14"/>
          <w:color w:val="auto"/>
        </w:rPr>
        <w:t>: 2x the initial share pool.</w:t>
      </w:r>
    </w:p>
    <w:p>
      <w:pPr>
        <w:spacing w:after="0" w:line="1" w:lineRule="exact"/>
        <w:rPr>
          <w:sz w:val="20"/>
          <w:szCs w:val="20"/>
          <w:color w:val="auto"/>
        </w:rPr>
      </w:pPr>
    </w:p>
    <w:p>
      <w:pPr>
        <w:ind w:left="284" w:right="20" w:hanging="284"/>
        <w:spacing w:after="0" w:line="185" w:lineRule="auto"/>
        <w:tabs>
          <w:tab w:leader="none" w:pos="284" w:val="left"/>
        </w:tabs>
        <w:numPr>
          <w:ilvl w:val="0"/>
          <w:numId w:val="171"/>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Eligibility criteria to be discussed. The Code places certain limits on the employees who may be excluded from participation and the trend has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been towards allowing broad participation with no requirement to have completed a minimum period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29" w:right="319" w:bottom="1440" w:gutter="0" w:footer="0" w:header="0"/>
        </w:sectPr>
      </w:pPr>
    </w:p>
    <w:bookmarkStart w:id="178" w:name="page179"/>
    <w:bookmarkEnd w:id="178"/>
    <w:p>
      <w:pPr>
        <w:ind w:left="724" w:hanging="151"/>
        <w:spacing w:after="0"/>
        <w:tabs>
          <w:tab w:leader="none" w:pos="724"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right="20" w:firstLine="1143"/>
        <w:spacing w:after="0" w:line="262" w:lineRule="auto"/>
        <w:tabs>
          <w:tab w:leader="none" w:pos="1380"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Participants</w:t>
      </w:r>
      <w:r>
        <w:rPr>
          <w:rFonts w:ascii="Arial" w:cs="Arial" w:eastAsia="Arial" w:hAnsi="Arial"/>
          <w:sz w:val="16"/>
          <w:szCs w:val="16"/>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62" w:lineRule="exact"/>
        <w:rPr>
          <w:rFonts w:ascii="Arial" w:cs="Arial" w:eastAsia="Arial" w:hAnsi="Arial"/>
          <w:sz w:val="16"/>
          <w:szCs w:val="16"/>
          <w:color w:val="auto"/>
        </w:rPr>
      </w:pPr>
    </w:p>
    <w:p>
      <w:pPr>
        <w:jc w:val="both"/>
        <w:ind w:left="4" w:right="20" w:firstLine="1143"/>
        <w:spacing w:after="0" w:line="276" w:lineRule="auto"/>
        <w:tabs>
          <w:tab w:leader="none" w:pos="1377" w:val="left"/>
        </w:tabs>
        <w:numPr>
          <w:ilvl w:val="1"/>
          <w:numId w:val="172"/>
        </w:numPr>
        <w:rPr>
          <w:rFonts w:ascii="Arial" w:cs="Arial" w:eastAsia="Arial" w:hAnsi="Arial"/>
          <w:sz w:val="15"/>
          <w:szCs w:val="15"/>
          <w:color w:val="auto"/>
        </w:rPr>
      </w:pPr>
      <w:r>
        <w:rPr>
          <w:rFonts w:ascii="Arial" w:cs="Arial" w:eastAsia="Arial" w:hAnsi="Arial"/>
          <w:sz w:val="15"/>
          <w:szCs w:val="15"/>
          <w:u w:val="single" w:color="auto"/>
          <w:color w:val="auto"/>
        </w:rPr>
        <w:t>Enrollment</w:t>
      </w:r>
      <w:r>
        <w:rPr>
          <w:rFonts w:ascii="Arial" w:cs="Arial" w:eastAsia="Arial" w:hAnsi="Arial"/>
          <w:sz w:val="15"/>
          <w:szCs w:val="15"/>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55" w:lineRule="exact"/>
        <w:rPr>
          <w:rFonts w:ascii="Arial" w:cs="Arial" w:eastAsia="Arial" w:hAnsi="Arial"/>
          <w:sz w:val="15"/>
          <w:szCs w:val="15"/>
          <w:color w:val="auto"/>
        </w:rPr>
      </w:pPr>
    </w:p>
    <w:p>
      <w:pPr>
        <w:ind w:left="1364" w:hanging="217"/>
        <w:spacing w:after="0"/>
        <w:tabs>
          <w:tab w:leader="none" w:pos="136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Notwithstanding the foregoing, participation in the Plan will neither be permitted nor be denied contrary to the requirements of the Code.</w:t>
      </w:r>
    </w:p>
    <w:p>
      <w:pPr>
        <w:spacing w:after="0" w:line="202" w:lineRule="exact"/>
        <w:rPr>
          <w:rFonts w:ascii="Arial" w:cs="Arial" w:eastAsia="Arial" w:hAnsi="Arial"/>
          <w:sz w:val="16"/>
          <w:szCs w:val="16"/>
          <w:color w:val="auto"/>
        </w:rPr>
      </w:pPr>
    </w:p>
    <w:p>
      <w:pPr>
        <w:jc w:val="both"/>
        <w:ind w:left="4" w:right="20" w:firstLine="569"/>
        <w:spacing w:after="0" w:line="222" w:lineRule="auto"/>
        <w:tabs>
          <w:tab w:leader="none" w:pos="73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Employee Contributions</w:t>
      </w:r>
      <w:r>
        <w:rPr>
          <w:rFonts w:ascii="Arial" w:cs="Arial" w:eastAsia="Arial" w:hAnsi="Arial"/>
          <w:sz w:val="16"/>
          <w:szCs w:val="16"/>
          <w:color w:val="auto"/>
        </w:rPr>
        <w:t>. Each eligible employee may authorize payroll deductions at a minimum of [one (1) percent] up to a maximum of [fifteen (15) percent]</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of such employee’s Compensation for each pay period. The Company will maintain book accounts showing the amount of payroll deductions made by each Participant for each Offering. No interest will accrue or be paid on payroll deductions.</w:t>
      </w:r>
    </w:p>
    <w:p>
      <w:pPr>
        <w:spacing w:after="0" w:line="179" w:lineRule="exact"/>
        <w:rPr>
          <w:rFonts w:ascii="Arial" w:cs="Arial" w:eastAsia="Arial" w:hAnsi="Arial"/>
          <w:sz w:val="16"/>
          <w:szCs w:val="16"/>
          <w:color w:val="auto"/>
        </w:rPr>
      </w:pPr>
    </w:p>
    <w:p>
      <w:pPr>
        <w:jc w:val="both"/>
        <w:ind w:left="4" w:right="20" w:firstLine="569"/>
        <w:spacing w:after="0" w:line="306" w:lineRule="auto"/>
        <w:tabs>
          <w:tab w:leader="none" w:pos="749"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Deduction Changes</w:t>
      </w:r>
      <w:r>
        <w:rPr>
          <w:rFonts w:ascii="Arial" w:cs="Arial" w:eastAsia="Arial" w:hAnsi="Arial"/>
          <w:sz w:val="14"/>
          <w:szCs w:val="14"/>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34" w:lineRule="exact"/>
        <w:rPr>
          <w:rFonts w:ascii="Arial" w:cs="Arial" w:eastAsia="Arial" w:hAnsi="Arial"/>
          <w:sz w:val="14"/>
          <w:szCs w:val="14"/>
          <w:color w:val="auto"/>
        </w:rPr>
      </w:pPr>
    </w:p>
    <w:p>
      <w:pPr>
        <w:jc w:val="both"/>
        <w:ind w:left="4" w:right="20" w:firstLine="569"/>
        <w:spacing w:after="0" w:line="306" w:lineRule="auto"/>
        <w:tabs>
          <w:tab w:leader="none" w:pos="737"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Withdrawal</w:t>
      </w:r>
      <w:r>
        <w:rPr>
          <w:rFonts w:ascii="Arial" w:cs="Arial" w:eastAsia="Arial" w:hAnsi="Arial"/>
          <w:sz w:val="14"/>
          <w:szCs w:val="14"/>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34" w:lineRule="exact"/>
        <w:rPr>
          <w:rFonts w:ascii="Arial" w:cs="Arial" w:eastAsia="Arial" w:hAnsi="Arial"/>
          <w:sz w:val="14"/>
          <w:szCs w:val="14"/>
          <w:color w:val="auto"/>
        </w:rPr>
      </w:pPr>
    </w:p>
    <w:p>
      <w:pPr>
        <w:jc w:val="both"/>
        <w:ind w:left="4" w:firstLine="569"/>
        <w:spacing w:after="0" w:line="253" w:lineRule="auto"/>
        <w:tabs>
          <w:tab w:leader="none" w:pos="73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at a maximum discount of 15 percent of the Fair Market Value of the Common Stock on the Offering Date or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106997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65" w:lineRule="exact"/>
        <w:rPr>
          <w:sz w:val="20"/>
          <w:szCs w:val="20"/>
          <w:color w:val="auto"/>
        </w:rPr>
      </w:pPr>
    </w:p>
    <w:p>
      <w:pPr>
        <w:ind w:left="284" w:hanging="284"/>
        <w:spacing w:after="0"/>
        <w:tabs>
          <w:tab w:leader="none" w:pos="284" w:val="left"/>
        </w:tabs>
        <w:numPr>
          <w:ilvl w:val="0"/>
          <w:numId w:val="173"/>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Minimum and maximum percentages to be confirmed.</w:t>
      </w:r>
    </w:p>
    <w:p>
      <w:pPr>
        <w:spacing w:after="0" w:line="2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179" w:name="page180"/>
    <w:bookmarkEnd w:id="179"/>
    <w:p>
      <w:pPr>
        <w:jc w:val="both"/>
        <w:ind w:firstLine="574"/>
        <w:spacing w:after="0" w:line="253"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stock possessing five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69" w:lineRule="exact"/>
        <w:rPr>
          <w:sz w:val="20"/>
          <w:szCs w:val="20"/>
          <w:color w:val="auto"/>
        </w:rPr>
      </w:pPr>
    </w:p>
    <w:p>
      <w:pPr>
        <w:jc w:val="both"/>
        <w:ind w:firstLine="569"/>
        <w:spacing w:after="0" w:line="255" w:lineRule="auto"/>
        <w:tabs>
          <w:tab w:leader="none" w:pos="733"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Exercise of Option and Purchase of Shares</w:t>
      </w:r>
      <w:r>
        <w:rPr>
          <w:rFonts w:ascii="Arial" w:cs="Arial" w:eastAsia="Arial" w:hAnsi="Arial"/>
          <w:sz w:val="16"/>
          <w:szCs w:val="16"/>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69" w:lineRule="exact"/>
        <w:rPr>
          <w:rFonts w:ascii="Arial" w:cs="Arial" w:eastAsia="Arial" w:hAnsi="Arial"/>
          <w:sz w:val="16"/>
          <w:szCs w:val="16"/>
          <w:color w:val="auto"/>
        </w:rPr>
      </w:pPr>
    </w:p>
    <w:p>
      <w:pPr>
        <w:jc w:val="both"/>
        <w:ind w:firstLine="569"/>
        <w:spacing w:after="0" w:line="262" w:lineRule="auto"/>
        <w:tabs>
          <w:tab w:leader="none" w:pos="81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162" w:lineRule="exact"/>
        <w:rPr>
          <w:rFonts w:ascii="Arial" w:cs="Arial" w:eastAsia="Arial" w:hAnsi="Arial"/>
          <w:sz w:val="16"/>
          <w:szCs w:val="16"/>
          <w:color w:val="auto"/>
        </w:rPr>
      </w:pPr>
    </w:p>
    <w:p>
      <w:pPr>
        <w:ind w:left="800" w:hanging="231"/>
        <w:spacing w:after="0"/>
        <w:tabs>
          <w:tab w:leader="none" w:pos="80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term “Closing Date” means the date of the closing of the transactions contemplated by that certain Merger Agreement, dated as of April 13, 2021, by and among the Company and the other parties thereto.</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term “Compensation” means the regular salary or basic hourly rate of compensation.</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The current list of Designated Subsidiaries is attached hereto as Appendix A.</w:t>
      </w:r>
    </w:p>
    <w:p>
      <w:pPr>
        <w:spacing w:after="0" w:line="162"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term “Parent” means a “parent corporation” with respect to the Company, as defined in Section 424(e) of the Code.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term “Participant” means an individual who is eligible as determined in Section 3 and who has complied with the provisions of Section 4.</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80" w:name="page181"/>
    <w:bookmarkEnd w:id="180"/>
    <w:p>
      <w:pPr>
        <w:ind w:left="560"/>
        <w:spacing w:after="0"/>
        <w:rPr>
          <w:sz w:val="20"/>
          <w:szCs w:val="20"/>
          <w:color w:val="auto"/>
        </w:rPr>
      </w:pPr>
      <w:r>
        <w:rPr>
          <w:rFonts w:ascii="Arial" w:cs="Arial" w:eastAsia="Arial" w:hAnsi="Arial"/>
          <w:sz w:val="16"/>
          <w:szCs w:val="16"/>
          <w:color w:val="auto"/>
        </w:rPr>
        <w:t>The term “Subsidiary” means a “subsidiary corporation” with respect to the Company, as defined in Section 424(f) of the Code.</w:t>
      </w:r>
    </w:p>
    <w:p>
      <w:pPr>
        <w:spacing w:after="0" w:line="198" w:lineRule="exact"/>
        <w:rPr>
          <w:sz w:val="20"/>
          <w:szCs w:val="20"/>
          <w:color w:val="auto"/>
        </w:rPr>
      </w:pPr>
    </w:p>
    <w:p>
      <w:pPr>
        <w:jc w:val="both"/>
        <w:ind w:firstLine="569"/>
        <w:spacing w:after="0" w:line="295" w:lineRule="auto"/>
        <w:tabs>
          <w:tab w:leader="none" w:pos="812"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Rights on Termination of Employment</w:t>
      </w:r>
      <w:r>
        <w:rPr>
          <w:rFonts w:ascii="Arial" w:cs="Arial" w:eastAsia="Arial" w:hAnsi="Arial"/>
          <w:sz w:val="14"/>
          <w:szCs w:val="14"/>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44" w:lineRule="exact"/>
        <w:rPr>
          <w:rFonts w:ascii="Arial" w:cs="Arial" w:eastAsia="Arial" w:hAnsi="Arial"/>
          <w:sz w:val="14"/>
          <w:szCs w:val="14"/>
          <w:color w:val="auto"/>
        </w:rPr>
      </w:pPr>
    </w:p>
    <w:p>
      <w:pPr>
        <w:jc w:val="both"/>
        <w:ind w:right="20" w:firstLine="569"/>
        <w:spacing w:after="0" w:line="306" w:lineRule="auto"/>
        <w:tabs>
          <w:tab w:leader="none" w:pos="812"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Special Rules</w:t>
      </w:r>
      <w:r>
        <w:rPr>
          <w:rFonts w:ascii="Arial" w:cs="Arial" w:eastAsia="Arial" w:hAnsi="Arial"/>
          <w:sz w:val="14"/>
          <w:szCs w:val="14"/>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34" w:lineRule="exact"/>
        <w:rPr>
          <w:rFonts w:ascii="Arial" w:cs="Arial" w:eastAsia="Arial" w:hAnsi="Arial"/>
          <w:sz w:val="14"/>
          <w:szCs w:val="14"/>
          <w:color w:val="auto"/>
        </w:rPr>
      </w:pPr>
    </w:p>
    <w:p>
      <w:pPr>
        <w:ind w:firstLine="569"/>
        <w:spacing w:after="0" w:line="275" w:lineRule="auto"/>
        <w:tabs>
          <w:tab w:leader="none" w:pos="81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51"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Rights Not Transferable</w:t>
      </w:r>
      <w:r>
        <w:rPr>
          <w:rFonts w:ascii="Arial" w:cs="Arial" w:eastAsia="Arial" w:hAnsi="Arial"/>
          <w:sz w:val="16"/>
          <w:szCs w:val="16"/>
          <w:color w:val="auto"/>
        </w:rPr>
        <w:t>. Rights under the Plan are not transferable by a Participant other than by will or the laws of descent and distribution, and are exercisable during the Participant’s lifetime only by the Participant.</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Application of Funds</w:t>
      </w:r>
      <w:r>
        <w:rPr>
          <w:rFonts w:ascii="Arial" w:cs="Arial" w:eastAsia="Arial" w:hAnsi="Arial"/>
          <w:sz w:val="14"/>
          <w:szCs w:val="14"/>
          <w:color w:val="auto"/>
        </w:rPr>
        <w:t>. All funds received or held by the Company under the Plan may be combined with other corporate funds and may be used for any corporate</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purpose.</w:t>
      </w:r>
    </w:p>
    <w:p>
      <w:pPr>
        <w:spacing w:after="0" w:line="185" w:lineRule="exact"/>
        <w:rPr>
          <w:rFonts w:ascii="Arial" w:cs="Arial" w:eastAsia="Arial" w:hAnsi="Arial"/>
          <w:sz w:val="14"/>
          <w:szCs w:val="14"/>
          <w:color w:val="auto"/>
        </w:rPr>
      </w:pPr>
    </w:p>
    <w:p>
      <w:pPr>
        <w:jc w:val="both"/>
        <w:ind w:firstLine="569"/>
        <w:spacing w:after="0" w:line="262" w:lineRule="auto"/>
        <w:tabs>
          <w:tab w:leader="none" w:pos="824"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Adjustment in Case of Changes Affecting Common Stock</w:t>
      </w:r>
      <w:r>
        <w:rPr>
          <w:rFonts w:ascii="Arial" w:cs="Arial" w:eastAsia="Arial" w:hAnsi="Arial"/>
          <w:sz w:val="16"/>
          <w:szCs w:val="16"/>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62" w:lineRule="exact"/>
        <w:rPr>
          <w:rFonts w:ascii="Arial" w:cs="Arial" w:eastAsia="Arial" w:hAnsi="Arial"/>
          <w:sz w:val="16"/>
          <w:szCs w:val="16"/>
          <w:color w:val="auto"/>
        </w:rPr>
      </w:pPr>
    </w:p>
    <w:p>
      <w:pPr>
        <w:jc w:val="both"/>
        <w:ind w:firstLine="569"/>
        <w:spacing w:after="0" w:line="287" w:lineRule="auto"/>
        <w:tabs>
          <w:tab w:leader="none" w:pos="812"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Amendment of the Plan</w:t>
      </w:r>
      <w:r>
        <w:rPr>
          <w:rFonts w:ascii="Arial" w:cs="Arial" w:eastAsia="Arial" w:hAnsi="Arial"/>
          <w:sz w:val="15"/>
          <w:szCs w:val="15"/>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46" w:lineRule="exact"/>
        <w:rPr>
          <w:rFonts w:ascii="Arial" w:cs="Arial" w:eastAsia="Arial" w:hAnsi="Arial"/>
          <w:sz w:val="15"/>
          <w:szCs w:val="15"/>
          <w:color w:val="auto"/>
        </w:rPr>
      </w:pPr>
    </w:p>
    <w:p>
      <w:pPr>
        <w:jc w:val="both"/>
        <w:ind w:right="20" w:firstLine="569"/>
        <w:spacing w:after="0" w:line="317" w:lineRule="auto"/>
        <w:tabs>
          <w:tab w:leader="none" w:pos="812"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Insufficient Shares</w:t>
      </w:r>
      <w:r>
        <w:rPr>
          <w:rFonts w:ascii="Arial" w:cs="Arial" w:eastAsia="Arial" w:hAnsi="Arial"/>
          <w:sz w:val="14"/>
          <w:szCs w:val="14"/>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81" w:name="page182"/>
    <w:bookmarkEnd w:id="181"/>
    <w:p>
      <w:pPr>
        <w:ind w:right="20" w:firstLine="569"/>
        <w:spacing w:after="0" w:line="275" w:lineRule="auto"/>
        <w:tabs>
          <w:tab w:leader="none" w:pos="81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Termination of the Plan</w:t>
      </w:r>
      <w:r>
        <w:rPr>
          <w:rFonts w:ascii="Arial" w:cs="Arial" w:eastAsia="Arial" w:hAnsi="Arial"/>
          <w:sz w:val="16"/>
          <w:szCs w:val="16"/>
          <w:color w:val="auto"/>
        </w:rPr>
        <w:t>. The Plan may be terminated at any time by the Board. Upon termination of the Plan, all amounts in the accounts of Participants shall be promptly refunded.</w:t>
      </w:r>
    </w:p>
    <w:p>
      <w:pPr>
        <w:spacing w:after="0" w:line="151" w:lineRule="exact"/>
        <w:rPr>
          <w:rFonts w:ascii="Arial" w:cs="Arial" w:eastAsia="Arial" w:hAnsi="Arial"/>
          <w:sz w:val="16"/>
          <w:szCs w:val="16"/>
          <w:color w:val="auto"/>
        </w:rPr>
      </w:pPr>
    </w:p>
    <w:p>
      <w:pPr>
        <w:ind w:right="20" w:firstLine="569"/>
        <w:spacing w:after="0" w:line="275" w:lineRule="auto"/>
        <w:tabs>
          <w:tab w:leader="none" w:pos="83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Governmental Regulations</w:t>
      </w:r>
      <w:r>
        <w:rPr>
          <w:rFonts w:ascii="Arial" w:cs="Arial" w:eastAsia="Arial" w:hAnsi="Arial"/>
          <w:sz w:val="16"/>
          <w:szCs w:val="16"/>
          <w:color w:val="auto"/>
        </w:rPr>
        <w:t>. The Company’s obligation to sell and deliver Common Stock under the Plan is subject to obtaining all governmental approvals required in connection with the authorization, issuance, or sale of such stock.</w:t>
      </w:r>
    </w:p>
    <w:p>
      <w:pPr>
        <w:spacing w:after="0" w:line="151" w:lineRule="exact"/>
        <w:rPr>
          <w:rFonts w:ascii="Arial" w:cs="Arial" w:eastAsia="Arial" w:hAnsi="Arial"/>
          <w:sz w:val="16"/>
          <w:szCs w:val="16"/>
          <w:color w:val="auto"/>
        </w:rPr>
      </w:pPr>
    </w:p>
    <w:p>
      <w:pPr>
        <w:jc w:val="both"/>
        <w:ind w:firstLine="569"/>
        <w:spacing w:after="0" w:line="262" w:lineRule="auto"/>
        <w:tabs>
          <w:tab w:leader="none" w:pos="81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2" w:lineRule="exact"/>
        <w:rPr>
          <w:rFonts w:ascii="Arial" w:cs="Arial" w:eastAsia="Arial" w:hAnsi="Arial"/>
          <w:sz w:val="16"/>
          <w:szCs w:val="16"/>
          <w:color w:val="auto"/>
        </w:rPr>
      </w:pPr>
    </w:p>
    <w:p>
      <w:pPr>
        <w:ind w:right="20" w:firstLine="569"/>
        <w:spacing w:after="0" w:line="275" w:lineRule="auto"/>
        <w:tabs>
          <w:tab w:leader="none" w:pos="824"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Shares may be issued upon exercise of an Option from authorized but unissued Common Stock, from shares held in the treasury of the Company, or from any other proper source.</w:t>
      </w:r>
    </w:p>
    <w:p>
      <w:pPr>
        <w:spacing w:after="0" w:line="151" w:lineRule="exact"/>
        <w:rPr>
          <w:rFonts w:ascii="Arial" w:cs="Arial" w:eastAsia="Arial" w:hAnsi="Arial"/>
          <w:sz w:val="16"/>
          <w:szCs w:val="16"/>
          <w:color w:val="auto"/>
        </w:rPr>
      </w:pPr>
    </w:p>
    <w:p>
      <w:pPr>
        <w:jc w:val="both"/>
        <w:ind w:firstLine="569"/>
        <w:spacing w:after="0" w:line="262" w:lineRule="auto"/>
        <w:tabs>
          <w:tab w:leader="none" w:pos="824"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162" w:lineRule="exact"/>
        <w:rPr>
          <w:rFonts w:ascii="Arial" w:cs="Arial" w:eastAsia="Arial" w:hAnsi="Arial"/>
          <w:sz w:val="16"/>
          <w:szCs w:val="16"/>
          <w:color w:val="auto"/>
        </w:rPr>
      </w:pPr>
    </w:p>
    <w:p>
      <w:pPr>
        <w:jc w:val="both"/>
        <w:ind w:firstLine="569"/>
        <w:spacing w:after="0" w:line="262" w:lineRule="auto"/>
        <w:tabs>
          <w:tab w:leader="none" w:pos="81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Notification Upon Sale of Shares</w:t>
      </w:r>
      <w:r>
        <w:rPr>
          <w:rFonts w:ascii="Arial" w:cs="Arial" w:eastAsia="Arial" w:hAnsi="Arial"/>
          <w:sz w:val="16"/>
          <w:szCs w:val="16"/>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62" w:lineRule="exact"/>
        <w:rPr>
          <w:rFonts w:ascii="Arial" w:cs="Arial" w:eastAsia="Arial" w:hAnsi="Arial"/>
          <w:sz w:val="16"/>
          <w:szCs w:val="16"/>
          <w:color w:val="auto"/>
        </w:rPr>
      </w:pPr>
    </w:p>
    <w:p>
      <w:pPr>
        <w:ind w:firstLine="569"/>
        <w:spacing w:after="0" w:line="275" w:lineRule="auto"/>
        <w:tabs>
          <w:tab w:leader="none" w:pos="83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Plan shall become effective upon the date immediately preceding the Closing Date following stockholder approval in accordance with applicable state law, the Company’s bylaws and articles of incorporation, each as amended, and applicable stock exchange rules.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82" w:name="page183"/>
    <w:bookmarkEnd w:id="182"/>
    <w:p>
      <w:pPr>
        <w:jc w:val="center"/>
        <w:ind w:right="-1120"/>
        <w:spacing w:after="0"/>
        <w:rPr>
          <w:sz w:val="20"/>
          <w:szCs w:val="20"/>
          <w:color w:val="auto"/>
        </w:rPr>
      </w:pPr>
      <w:r>
        <w:rPr>
          <w:rFonts w:ascii="Arial" w:cs="Arial" w:eastAsia="Arial" w:hAnsi="Arial"/>
          <w:sz w:val="16"/>
          <w:szCs w:val="16"/>
          <w:b w:val="1"/>
          <w:bCs w:val="1"/>
          <w:color w:val="auto"/>
        </w:rPr>
        <w:t>APPENDIX A</w:t>
      </w:r>
    </w:p>
    <w:p>
      <w:pPr>
        <w:spacing w:after="0" w:line="198" w:lineRule="exact"/>
        <w:rPr>
          <w:sz w:val="20"/>
          <w:szCs w:val="20"/>
          <w:color w:val="auto"/>
        </w:rPr>
      </w:pPr>
    </w:p>
    <w:p>
      <w:pPr>
        <w:jc w:val="right"/>
        <w:ind w:right="3699"/>
        <w:spacing w:after="0"/>
        <w:rPr>
          <w:sz w:val="20"/>
          <w:szCs w:val="20"/>
          <w:color w:val="auto"/>
        </w:rPr>
      </w:pPr>
      <w:r>
        <w:rPr>
          <w:rFonts w:ascii="Arial" w:cs="Arial" w:eastAsia="Arial" w:hAnsi="Arial"/>
          <w:sz w:val="16"/>
          <w:szCs w:val="16"/>
          <w:b w:val="1"/>
          <w:bCs w:val="1"/>
          <w:u w:val="single" w:color="auto"/>
          <w:color w:val="auto"/>
        </w:rPr>
        <w:t>Designated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720"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6"/>
          <w:szCs w:val="16"/>
          <w:b w:val="1"/>
          <w:bCs w:val="1"/>
          <w:color w:val="auto"/>
        </w:rPr>
        <w:t>Exhibit 10.1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w:t>
      </w:r>
      <w:r>
        <w:rPr>
          <w:rFonts w:ascii="Arial" w:cs="Arial" w:eastAsia="Arial" w:hAnsi="Arial"/>
          <w:sz w:val="10"/>
          <w:szCs w:val="10"/>
          <w:i w:val="1"/>
          <w:iCs w:val="1"/>
          <w:color w:val="auto"/>
        </w:rPr>
        <w:t>ONFIDENTIAL</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SUBSCRIPTION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BCTG Acquisition Corp.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12860 El Camino Real, Suite 300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San Diego, CA 92130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In connection with the proposed business combination (the “</w:t>
      </w:r>
      <w:r>
        <w:rPr>
          <w:rFonts w:ascii="Arial" w:cs="Arial" w:eastAsia="Arial" w:hAnsi="Arial"/>
          <w:sz w:val="14"/>
          <w:szCs w:val="14"/>
          <w:u w:val="single" w:color="auto"/>
          <w:color w:val="auto"/>
        </w:rPr>
        <w:t>Transaction</w:t>
      </w:r>
      <w:r>
        <w:rPr>
          <w:rFonts w:ascii="Arial" w:cs="Arial" w:eastAsia="Arial" w:hAnsi="Arial"/>
          <w:sz w:val="14"/>
          <w:szCs w:val="14"/>
          <w:color w:val="auto"/>
        </w:rPr>
        <w:t>”) between BCTG Acquisition Corp., a Delaware corporation (“</w:t>
      </w:r>
      <w:r>
        <w:rPr>
          <w:rFonts w:ascii="Arial" w:cs="Arial" w:eastAsia="Arial" w:hAnsi="Arial"/>
          <w:sz w:val="14"/>
          <w:szCs w:val="14"/>
          <w:u w:val="single" w:color="auto"/>
          <w:color w:val="auto"/>
        </w:rPr>
        <w:t>BCTG</w:t>
      </w:r>
      <w:r>
        <w:rPr>
          <w:rFonts w:ascii="Arial" w:cs="Arial" w:eastAsia="Arial" w:hAnsi="Arial"/>
          <w:sz w:val="14"/>
          <w:szCs w:val="14"/>
          <w:color w:val="auto"/>
        </w:rPr>
        <w:t>”), and Tango Therapeutics, Inc., a Delaware corporation (“</w:t>
      </w:r>
      <w:r>
        <w:rPr>
          <w:rFonts w:ascii="Arial" w:cs="Arial" w:eastAsia="Arial" w:hAnsi="Arial"/>
          <w:sz w:val="14"/>
          <w:szCs w:val="14"/>
          <w:u w:val="single" w:color="auto"/>
          <w:color w:val="auto"/>
        </w:rPr>
        <w:t>Tango</w:t>
      </w:r>
      <w:r>
        <w:rPr>
          <w:rFonts w:ascii="Arial" w:cs="Arial" w:eastAsia="Arial" w:hAnsi="Arial"/>
          <w:sz w:val="14"/>
          <w:szCs w:val="14"/>
          <w:color w:val="auto"/>
        </w:rPr>
        <w:t>”), pursuant to a merger agreement to be entered into among BCTG, Tango, and the other parties thereto (the “</w:t>
      </w:r>
      <w:r>
        <w:rPr>
          <w:rFonts w:ascii="Arial" w:cs="Arial" w:eastAsia="Arial" w:hAnsi="Arial"/>
          <w:sz w:val="14"/>
          <w:szCs w:val="14"/>
          <w:u w:val="single" w:color="auto"/>
          <w:color w:val="auto"/>
        </w:rPr>
        <w:t>Transaction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in substantially the form provided to the Investor prior to the date hereof, BCTG is seeking commitments from interested investors to purchase shares of common stock, par value $0.0001 per share (the “</w:t>
      </w:r>
      <w:r>
        <w:rPr>
          <w:rFonts w:ascii="Arial" w:cs="Arial" w:eastAsia="Arial" w:hAnsi="Arial"/>
          <w:sz w:val="14"/>
          <w:szCs w:val="14"/>
          <w:u w:val="single" w:color="auto"/>
          <w:color w:val="auto"/>
        </w:rPr>
        <w:t>Shares</w:t>
      </w:r>
      <w:r>
        <w:rPr>
          <w:rFonts w:ascii="Arial" w:cs="Arial" w:eastAsia="Arial" w:hAnsi="Arial"/>
          <w:sz w:val="14"/>
          <w:szCs w:val="14"/>
          <w:color w:val="auto"/>
        </w:rPr>
        <w:t>”), of BCTG, for a purchase price of $10.00 per share (the “</w:t>
      </w:r>
      <w:r>
        <w:rPr>
          <w:rFonts w:ascii="Arial" w:cs="Arial" w:eastAsia="Arial" w:hAnsi="Arial"/>
          <w:sz w:val="14"/>
          <w:szCs w:val="14"/>
          <w:u w:val="single" w:color="auto"/>
          <w:color w:val="auto"/>
        </w:rPr>
        <w:t>Per Share Purchase Price</w:t>
      </w:r>
      <w:r>
        <w:rPr>
          <w:rFonts w:ascii="Arial" w:cs="Arial" w:eastAsia="Arial" w:hAnsi="Arial"/>
          <w:sz w:val="14"/>
          <w:szCs w:val="14"/>
          <w:color w:val="auto"/>
        </w:rPr>
        <w:t>”). The aggregate purchase price to be paid by the undersigned (the “</w:t>
      </w:r>
      <w:r>
        <w:rPr>
          <w:rFonts w:ascii="Arial" w:cs="Arial" w:eastAsia="Arial" w:hAnsi="Arial"/>
          <w:sz w:val="14"/>
          <w:szCs w:val="14"/>
          <w:u w:val="single" w:color="auto"/>
          <w:color w:val="auto"/>
        </w:rPr>
        <w:t>Investor</w:t>
      </w:r>
      <w:r>
        <w:rPr>
          <w:rFonts w:ascii="Arial" w:cs="Arial" w:eastAsia="Arial" w:hAnsi="Arial"/>
          <w:sz w:val="14"/>
          <w:szCs w:val="14"/>
          <w:color w:val="auto"/>
        </w:rPr>
        <w:t>”) for the subscribed Shares (as set forth on the signature page hereto) is referred to herein as the “</w:t>
      </w:r>
      <w:r>
        <w:rPr>
          <w:rFonts w:ascii="Arial" w:cs="Arial" w:eastAsia="Arial" w:hAnsi="Arial"/>
          <w:sz w:val="14"/>
          <w:szCs w:val="14"/>
          <w:u w:val="single" w:color="auto"/>
          <w:color w:val="auto"/>
        </w:rPr>
        <w:t>Subscription Amount</w:t>
      </w:r>
      <w:r>
        <w:rPr>
          <w:rFonts w:ascii="Arial" w:cs="Arial" w:eastAsia="Arial" w:hAnsi="Arial"/>
          <w:sz w:val="14"/>
          <w:szCs w:val="14"/>
          <w:color w:val="auto"/>
        </w:rPr>
        <w:t>.” On or about the date of this agreement (this “</w:t>
      </w:r>
      <w:r>
        <w:rPr>
          <w:rFonts w:ascii="Arial" w:cs="Arial" w:eastAsia="Arial" w:hAnsi="Arial"/>
          <w:sz w:val="14"/>
          <w:szCs w:val="14"/>
          <w:u w:val="single" w:color="auto"/>
          <w:color w:val="auto"/>
        </w:rPr>
        <w:t>Subscription Agreement</w:t>
      </w:r>
      <w:r>
        <w:rPr>
          <w:rFonts w:ascii="Arial" w:cs="Arial" w:eastAsia="Arial" w:hAnsi="Arial"/>
          <w:sz w:val="14"/>
          <w:szCs w:val="14"/>
          <w:color w:val="auto"/>
        </w:rPr>
        <w:t>”), BCTG is entering into subscription agreements (the “</w:t>
      </w:r>
      <w:r>
        <w:rPr>
          <w:rFonts w:ascii="Arial" w:cs="Arial" w:eastAsia="Arial" w:hAnsi="Arial"/>
          <w:sz w:val="14"/>
          <w:szCs w:val="14"/>
          <w:u w:val="single" w:color="auto"/>
          <w:color w:val="auto"/>
        </w:rPr>
        <w:t>Other Subscription Agreements</w:t>
      </w:r>
      <w:r>
        <w:rPr>
          <w:rFonts w:ascii="Arial" w:cs="Arial" w:eastAsia="Arial" w:hAnsi="Arial"/>
          <w:sz w:val="14"/>
          <w:szCs w:val="14"/>
          <w:color w:val="auto"/>
        </w:rPr>
        <w:t>” and together with this Subscription Agreement, the “</w:t>
      </w:r>
      <w:r>
        <w:rPr>
          <w:rFonts w:ascii="Arial" w:cs="Arial" w:eastAsia="Arial" w:hAnsi="Arial"/>
          <w:sz w:val="14"/>
          <w:szCs w:val="14"/>
          <w:u w:val="single" w:color="auto"/>
          <w:color w:val="auto"/>
        </w:rPr>
        <w:t>Subscription Agreements</w:t>
      </w:r>
      <w:r>
        <w:rPr>
          <w:rFonts w:ascii="Arial" w:cs="Arial" w:eastAsia="Arial" w:hAnsi="Arial"/>
          <w:sz w:val="14"/>
          <w:szCs w:val="14"/>
          <w:color w:val="auto"/>
        </w:rPr>
        <w:t>”) substantially similar to this Subscription Agreement with certain other institutional “accredited investors” (within the meaning of Rule 501(a) of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“qualified institutional buyers” (within the meaning of Rule 144A under the Securities Act) (the “</w:t>
      </w:r>
      <w:r>
        <w:rPr>
          <w:rFonts w:ascii="Arial" w:cs="Arial" w:eastAsia="Arial" w:hAnsi="Arial"/>
          <w:sz w:val="14"/>
          <w:szCs w:val="14"/>
          <w:u w:val="single" w:color="auto"/>
          <w:color w:val="auto"/>
        </w:rPr>
        <w:t>Other Investors</w:t>
      </w:r>
      <w:r>
        <w:rPr>
          <w:rFonts w:ascii="Arial" w:cs="Arial" w:eastAsia="Arial" w:hAnsi="Arial"/>
          <w:sz w:val="14"/>
          <w:szCs w:val="14"/>
          <w:color w:val="auto"/>
        </w:rPr>
        <w:t>” and together with the Investor, the “</w:t>
      </w:r>
      <w:r>
        <w:rPr>
          <w:rFonts w:ascii="Arial" w:cs="Arial" w:eastAsia="Arial" w:hAnsi="Arial"/>
          <w:sz w:val="14"/>
          <w:szCs w:val="14"/>
          <w:u w:val="single" w:color="auto"/>
          <w:color w:val="auto"/>
        </w:rPr>
        <w:t>Investors</w:t>
      </w:r>
      <w:r>
        <w:rPr>
          <w:rFonts w:ascii="Arial" w:cs="Arial" w:eastAsia="Arial" w:hAnsi="Arial"/>
          <w:sz w:val="14"/>
          <w:szCs w:val="14"/>
          <w:color w:val="auto"/>
        </w:rPr>
        <w:t>”), severally and not jointly, pursuant to which the Investors, severally and not jointly, have agreed to purchase on the closing date of the Transaction, inclusive of the Shares subscribed for by the Investor, an aggregate amount of up to 18,610,000 Shares, including 2,500,000 Shares under BCTG Holdings, LLC’s forward purchase commitment, at a per share price equal to the Per Share Purchase Price.</w:t>
      </w:r>
    </w:p>
    <w:p>
      <w:pPr>
        <w:spacing w:after="0" w:line="14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connection therewith, and in consideration of the foregoing and the mutual representations, warranties and covenants, and subject to the conditions, set forth herein, and intending to be legally bound hereby, the Investor and BCTG agree as follows:</w:t>
      </w:r>
    </w:p>
    <w:p>
      <w:pPr>
        <w:spacing w:after="0" w:line="152" w:lineRule="exact"/>
        <w:rPr>
          <w:sz w:val="20"/>
          <w:szCs w:val="20"/>
          <w:color w:val="auto"/>
        </w:rPr>
      </w:pPr>
    </w:p>
    <w:p>
      <w:pPr>
        <w:jc w:val="both"/>
        <w:ind w:right="20" w:firstLine="569"/>
        <w:spacing w:after="0" w:line="262" w:lineRule="auto"/>
        <w:tabs>
          <w:tab w:leader="none" w:pos="733"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set forth in this Subscription Agreement, (i) the Investor hereby subscribes for and agrees to purchase from BCTG at the Closing (as defined herein), and (ii) BCTG hereby irrevocably agrees to issue and sell to the Investor, in each case, the number of Shares set forth on the signature page of this Subscription Agreement.</w:t>
      </w:r>
    </w:p>
    <w:p>
      <w:pPr>
        <w:spacing w:after="0" w:line="162" w:lineRule="exact"/>
        <w:rPr>
          <w:rFonts w:ascii="Arial" w:cs="Arial" w:eastAsia="Arial" w:hAnsi="Arial"/>
          <w:sz w:val="16"/>
          <w:szCs w:val="16"/>
          <w:color w:val="auto"/>
        </w:rPr>
      </w:pPr>
    </w:p>
    <w:p>
      <w:pPr>
        <w:jc w:val="both"/>
        <w:ind w:firstLine="569"/>
        <w:spacing w:after="0" w:line="269" w:lineRule="auto"/>
        <w:tabs>
          <w:tab w:leader="none" w:pos="733"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Closing</w:t>
      </w:r>
      <w:r>
        <w:rPr>
          <w:rFonts w:ascii="Arial" w:cs="Arial" w:eastAsia="Arial" w:hAnsi="Arial"/>
          <w:sz w:val="15"/>
          <w:szCs w:val="15"/>
          <w:color w:val="auto"/>
        </w:rPr>
        <w:t>. The closing of the sale of the Shares contemplated hereby (the “</w:t>
      </w:r>
      <w:r>
        <w:rPr>
          <w:rFonts w:ascii="Arial" w:cs="Arial" w:eastAsia="Arial" w:hAnsi="Arial"/>
          <w:sz w:val="15"/>
          <w:szCs w:val="15"/>
          <w:u w:val="single" w:color="auto"/>
          <w:color w:val="auto"/>
        </w:rPr>
        <w:t>Closing</w:t>
      </w:r>
      <w:r>
        <w:rPr>
          <w:rFonts w:ascii="Arial" w:cs="Arial" w:eastAsia="Arial" w:hAnsi="Arial"/>
          <w:sz w:val="15"/>
          <w:szCs w:val="15"/>
          <w:color w:val="auto"/>
        </w:rPr>
        <w:t xml:space="preserve">”) is contingent upon the substantially concurrent consummation of the Transaction, as provided in the Transaction Agreement. The Closing shall occur on the date of, and substantially concurrently with and conditioned upon the effectiveness of the Transaction. Upon (i) satisfaction or waiver in writing of the conditions set forth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(ii) delivery of written notice from (or on behalf of) BCTG to the Investor (the “</w:t>
      </w:r>
      <w:r>
        <w:rPr>
          <w:rFonts w:ascii="Arial" w:cs="Arial" w:eastAsia="Arial" w:hAnsi="Arial"/>
          <w:sz w:val="15"/>
          <w:szCs w:val="15"/>
          <w:u w:val="single" w:color="auto"/>
          <w:color w:val="auto"/>
        </w:rPr>
        <w:t>Closing Notice</w:t>
      </w:r>
      <w:r>
        <w:rPr>
          <w:rFonts w:ascii="Arial" w:cs="Arial" w:eastAsia="Arial" w:hAnsi="Arial"/>
          <w:sz w:val="15"/>
          <w:szCs w:val="15"/>
          <w:color w:val="auto"/>
        </w:rPr>
        <w:t>”) that BCTG reasonably expects all conditions to the closing of the Transaction to be satisfied or waived on a date that is not less than five (5) business days from the date on which the Closing Notice is delivered to the undersigned (the “</w:t>
      </w:r>
      <w:r>
        <w:rPr>
          <w:rFonts w:ascii="Arial" w:cs="Arial" w:eastAsia="Arial" w:hAnsi="Arial"/>
          <w:sz w:val="15"/>
          <w:szCs w:val="15"/>
          <w:u w:val="single" w:color="auto"/>
          <w:color w:val="auto"/>
        </w:rPr>
        <w:t>Closing Date</w:t>
      </w:r>
      <w:r>
        <w:rPr>
          <w:rFonts w:ascii="Arial" w:cs="Arial" w:eastAsia="Arial" w:hAnsi="Arial"/>
          <w:sz w:val="15"/>
          <w:szCs w:val="15"/>
          <w:color w:val="auto"/>
        </w:rPr>
        <w:t>”), the Investor shall commence delivery to BCTG on the Closing Date the Subscription Amount by wire transfer of United States dollars in immediately available funds to the account(s) specified by BCTG in the Closing Notice (which account shall not be an escrow account) against delivery by BCTG to the Investor on the Closing Date of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BCTG’s transfer agent evidencing the issuance to the Investor of such Shares on and as of the Closing Date. If the closing of the Transaction does not occur within two (2) business days after the Closing Date set forth in the Closing Notice, BCTG shall promptly (but not later than one (1) business day after the Closing Date set forth in the Closing Notice) return the funds so delivered by the Investor to BCTG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4" w:name="page185"/>
    <w:bookmarkEnd w:id="184"/>
    <w:p>
      <w:pPr>
        <w:ind w:left="720" w:hanging="151"/>
        <w:spacing w:after="0"/>
        <w:tabs>
          <w:tab w:leader="none" w:pos="720"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1300" w:hanging="157"/>
        <w:spacing w:after="0"/>
        <w:tabs>
          <w:tab w:leader="none" w:pos="1300" w:val="left"/>
        </w:tabs>
        <w:numPr>
          <w:ilvl w:val="1"/>
          <w:numId w:val="178"/>
        </w:numPr>
        <w:rPr>
          <w:rFonts w:ascii="Arial" w:cs="Arial" w:eastAsia="Arial" w:hAnsi="Arial"/>
          <w:sz w:val="14"/>
          <w:szCs w:val="14"/>
          <w:color w:val="auto"/>
        </w:rPr>
      </w:pPr>
      <w:r>
        <w:rPr>
          <w:rFonts w:ascii="Arial" w:cs="Arial" w:eastAsia="Arial" w:hAnsi="Arial"/>
          <w:sz w:val="14"/>
          <w:szCs w:val="14"/>
          <w:color w:val="auto"/>
        </w:rPr>
        <w:t>The obligation of the parties hereto to consummate the purchase and sale of the Shares pursuant to this Subscription Agreement is subject to the following</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conditions:</w:t>
      </w:r>
    </w:p>
    <w:p>
      <w:pPr>
        <w:spacing w:after="0" w:line="185" w:lineRule="exact"/>
        <w:rPr>
          <w:rFonts w:ascii="Arial" w:cs="Arial" w:eastAsia="Arial" w:hAnsi="Arial"/>
          <w:sz w:val="14"/>
          <w:szCs w:val="14"/>
          <w:color w:val="auto"/>
        </w:rPr>
      </w:pPr>
    </w:p>
    <w:p>
      <w:pPr>
        <w:jc w:val="both"/>
        <w:ind w:left="1140" w:right="20" w:firstLine="576"/>
        <w:spacing w:after="0" w:line="258" w:lineRule="auto"/>
        <w:tabs>
          <w:tab w:leader="none" w:pos="1918" w:val="left"/>
        </w:tabs>
        <w:numPr>
          <w:ilvl w:val="2"/>
          <w:numId w:val="178"/>
        </w:numPr>
        <w:rPr>
          <w:rFonts w:ascii="Arial" w:cs="Arial" w:eastAsia="Arial" w:hAnsi="Arial"/>
          <w:sz w:val="16"/>
          <w:szCs w:val="16"/>
          <w:color w:val="auto"/>
        </w:rPr>
      </w:pPr>
      <w:r>
        <w:rPr>
          <w:rFonts w:ascii="Arial" w:cs="Arial" w:eastAsia="Arial" w:hAnsi="Arial"/>
          <w:sz w:val="16"/>
          <w:szCs w:val="16"/>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threatened in writing a proceeding seeking to impose any such restraint or prohibition;</w:t>
      </w:r>
    </w:p>
    <w:p>
      <w:pPr>
        <w:spacing w:after="0" w:line="164" w:lineRule="exact"/>
        <w:rPr>
          <w:rFonts w:ascii="Arial" w:cs="Arial" w:eastAsia="Arial" w:hAnsi="Arial"/>
          <w:sz w:val="16"/>
          <w:szCs w:val="16"/>
          <w:color w:val="auto"/>
        </w:rPr>
      </w:pPr>
    </w:p>
    <w:p>
      <w:pPr>
        <w:ind w:left="1140" w:right="20" w:firstLine="576"/>
        <w:spacing w:after="0" w:line="275" w:lineRule="auto"/>
        <w:tabs>
          <w:tab w:leader="none" w:pos="1952" w:val="left"/>
        </w:tabs>
        <w:numPr>
          <w:ilvl w:val="2"/>
          <w:numId w:val="178"/>
        </w:numPr>
        <w:rPr>
          <w:rFonts w:ascii="Arial" w:cs="Arial" w:eastAsia="Arial" w:hAnsi="Arial"/>
          <w:sz w:val="16"/>
          <w:szCs w:val="16"/>
          <w:color w:val="auto"/>
        </w:rPr>
      </w:pPr>
      <w:r>
        <w:rPr>
          <w:rFonts w:ascii="Arial" w:cs="Arial" w:eastAsia="Arial" w:hAnsi="Arial"/>
          <w:sz w:val="16"/>
          <w:szCs w:val="16"/>
          <w:color w:val="auto"/>
        </w:rPr>
        <w:t>no suspension of the qualification of the Shares for the offering or sale or trading in any jurisdiction, including on the Nasdaq Capital Market, or initiation or threatening of any proceedings for any such purposes, shall have occurred; and</w:t>
      </w:r>
    </w:p>
    <w:p>
      <w:pPr>
        <w:spacing w:after="0" w:line="151" w:lineRule="exact"/>
        <w:rPr>
          <w:rFonts w:ascii="Arial" w:cs="Arial" w:eastAsia="Arial" w:hAnsi="Arial"/>
          <w:sz w:val="16"/>
          <w:szCs w:val="16"/>
          <w:color w:val="auto"/>
        </w:rPr>
      </w:pPr>
    </w:p>
    <w:p>
      <w:pPr>
        <w:jc w:val="both"/>
        <w:ind w:left="1140" w:right="20" w:firstLine="576"/>
        <w:spacing w:after="0" w:line="287" w:lineRule="auto"/>
        <w:tabs>
          <w:tab w:leader="none" w:pos="2025" w:val="left"/>
        </w:tabs>
        <w:numPr>
          <w:ilvl w:val="2"/>
          <w:numId w:val="178"/>
        </w:numPr>
        <w:rPr>
          <w:rFonts w:ascii="Arial" w:cs="Arial" w:eastAsia="Arial" w:hAnsi="Arial"/>
          <w:sz w:val="15"/>
          <w:szCs w:val="15"/>
          <w:color w:val="auto"/>
        </w:rPr>
      </w:pPr>
      <w:r>
        <w:rPr>
          <w:rFonts w:ascii="Arial" w:cs="Arial" w:eastAsia="Arial" w:hAnsi="Arial"/>
          <w:sz w:val="15"/>
          <w:szCs w:val="15"/>
          <w:color w:val="auto"/>
        </w:rPr>
        <w:t>(A) all conditions precedent to the closing of the Transaction shall have been satisfied (as determined by the parties to the Transaction Agreement) or, subject to the other terms of this Subscription Agreement, waived (other than those conditions which, by their nature, are to be satisfied at the closing of the Transaction) and (B) the closing of the Transaction shall be scheduled to occur substantially concurrently with the Closing.</w:t>
      </w:r>
    </w:p>
    <w:p>
      <w:pPr>
        <w:spacing w:after="0" w:line="146" w:lineRule="exact"/>
        <w:rPr>
          <w:rFonts w:ascii="Arial" w:cs="Arial" w:eastAsia="Arial" w:hAnsi="Arial"/>
          <w:sz w:val="15"/>
          <w:szCs w:val="15"/>
          <w:color w:val="auto"/>
        </w:rPr>
      </w:pPr>
    </w:p>
    <w:p>
      <w:pPr>
        <w:ind w:left="1320" w:hanging="177"/>
        <w:spacing w:after="0"/>
        <w:tabs>
          <w:tab w:leader="none" w:pos="1320" w:val="left"/>
        </w:tabs>
        <w:numPr>
          <w:ilvl w:val="1"/>
          <w:numId w:val="178"/>
        </w:numPr>
        <w:rPr>
          <w:rFonts w:ascii="Arial" w:cs="Arial" w:eastAsia="Arial" w:hAnsi="Arial"/>
          <w:sz w:val="15"/>
          <w:szCs w:val="15"/>
          <w:color w:val="auto"/>
        </w:rPr>
      </w:pPr>
      <w:r>
        <w:rPr>
          <w:rFonts w:ascii="Arial" w:cs="Arial" w:eastAsia="Arial" w:hAnsi="Arial"/>
          <w:sz w:val="15"/>
          <w:szCs w:val="15"/>
          <w:color w:val="auto"/>
        </w:rPr>
        <w:t>The obligation of BCTG to consummate the issuance and sale of the Shares pursuant to this Subscription Agreement shall be subject to the following</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conditions:</w:t>
      </w:r>
    </w:p>
    <w:p>
      <w:pPr>
        <w:spacing w:after="0" w:line="185" w:lineRule="exact"/>
        <w:rPr>
          <w:rFonts w:ascii="Arial" w:cs="Arial" w:eastAsia="Arial" w:hAnsi="Arial"/>
          <w:sz w:val="15"/>
          <w:szCs w:val="15"/>
          <w:color w:val="auto"/>
        </w:rPr>
      </w:pPr>
    </w:p>
    <w:p>
      <w:pPr>
        <w:jc w:val="both"/>
        <w:ind w:left="1140" w:firstLine="576"/>
        <w:spacing w:after="0" w:line="274" w:lineRule="auto"/>
        <w:tabs>
          <w:tab w:leader="none" w:pos="1907" w:val="left"/>
        </w:tabs>
        <w:numPr>
          <w:ilvl w:val="2"/>
          <w:numId w:val="178"/>
        </w:numPr>
        <w:rPr>
          <w:rFonts w:ascii="Arial" w:cs="Arial" w:eastAsia="Arial" w:hAnsi="Arial"/>
          <w:sz w:val="15"/>
          <w:szCs w:val="15"/>
          <w:color w:val="auto"/>
        </w:rPr>
      </w:pPr>
      <w:r>
        <w:rPr>
          <w:rFonts w:ascii="Arial" w:cs="Arial" w:eastAsia="Arial" w:hAnsi="Arial"/>
          <w:sz w:val="15"/>
          <w:szCs w:val="15"/>
          <w:color w:val="auto"/>
        </w:rPr>
        <w:t>all representations and warranties of the Investor contained in this Subscription Agreement are true and correct in all material respects (other than representations and warranties that are qualified as to materiality, which representations and warranties shall be true and correct in all respects), at and as of the Closing Date (except for these representations and warranties that speak as of a specified earlier date, which shall be so true and correct in all respects (other than representations and warranties that are qualified as to materiality, which representations and warranties shall be true and correct in all respects as of such specified earlier date), and consummation of the Closing shall constitute a reaffirmation by the Investor of each of the representations and warranties of the Investor contained in this Subscription Agreement as of the Closing Date or such earlier date, as applicable; and</w:t>
      </w:r>
    </w:p>
    <w:p>
      <w:pPr>
        <w:spacing w:after="0" w:line="156" w:lineRule="exact"/>
        <w:rPr>
          <w:rFonts w:ascii="Arial" w:cs="Arial" w:eastAsia="Arial" w:hAnsi="Arial"/>
          <w:sz w:val="15"/>
          <w:szCs w:val="15"/>
          <w:color w:val="auto"/>
        </w:rPr>
      </w:pPr>
    </w:p>
    <w:p>
      <w:pPr>
        <w:ind w:left="1140" w:firstLine="576"/>
        <w:spacing w:after="0" w:line="275" w:lineRule="auto"/>
        <w:tabs>
          <w:tab w:leader="none" w:pos="1955" w:val="left"/>
        </w:tabs>
        <w:numPr>
          <w:ilvl w:val="2"/>
          <w:numId w:val="178"/>
        </w:numPr>
        <w:rPr>
          <w:rFonts w:ascii="Arial" w:cs="Arial" w:eastAsia="Arial" w:hAnsi="Arial"/>
          <w:sz w:val="16"/>
          <w:szCs w:val="16"/>
          <w:color w:val="auto"/>
        </w:rPr>
      </w:pPr>
      <w:r>
        <w:rPr>
          <w:rFonts w:ascii="Arial" w:cs="Arial" w:eastAsia="Arial" w:hAnsi="Arial"/>
          <w:sz w:val="16"/>
          <w:szCs w:val="16"/>
          <w:color w:val="auto"/>
        </w:rPr>
        <w:t>the Investor shall have performed, satisfied and complied in all material respects with all covenants, agreements and conditions required by this Subscription Agreement to be performed, satisfied or complied with by it at or prior to the Closing.</w:t>
      </w:r>
    </w:p>
    <w:p>
      <w:pPr>
        <w:spacing w:after="0" w:line="151" w:lineRule="exact"/>
        <w:rPr>
          <w:rFonts w:ascii="Arial" w:cs="Arial" w:eastAsia="Arial" w:hAnsi="Arial"/>
          <w:sz w:val="16"/>
          <w:szCs w:val="16"/>
          <w:color w:val="auto"/>
        </w:rPr>
      </w:pPr>
    </w:p>
    <w:p>
      <w:pPr>
        <w:ind w:left="1320" w:hanging="177"/>
        <w:spacing w:after="0"/>
        <w:tabs>
          <w:tab w:leader="none" w:pos="1320" w:val="left"/>
        </w:tabs>
        <w:numPr>
          <w:ilvl w:val="1"/>
          <w:numId w:val="178"/>
        </w:numPr>
        <w:rPr>
          <w:rFonts w:ascii="Arial" w:cs="Arial" w:eastAsia="Arial" w:hAnsi="Arial"/>
          <w:sz w:val="15"/>
          <w:szCs w:val="15"/>
          <w:color w:val="auto"/>
        </w:rPr>
      </w:pPr>
      <w:r>
        <w:rPr>
          <w:rFonts w:ascii="Arial" w:cs="Arial" w:eastAsia="Arial" w:hAnsi="Arial"/>
          <w:sz w:val="15"/>
          <w:szCs w:val="15"/>
          <w:color w:val="auto"/>
        </w:rPr>
        <w:t>The obligation of the Investor to consummate the purchase of the Shares pursuant to this Subscription Agreement shall be subject to the following</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conditions:</w:t>
      </w:r>
    </w:p>
    <w:p>
      <w:pPr>
        <w:spacing w:after="0" w:line="185" w:lineRule="exact"/>
        <w:rPr>
          <w:rFonts w:ascii="Arial" w:cs="Arial" w:eastAsia="Arial" w:hAnsi="Arial"/>
          <w:sz w:val="15"/>
          <w:szCs w:val="15"/>
          <w:color w:val="auto"/>
        </w:rPr>
      </w:pPr>
    </w:p>
    <w:p>
      <w:pPr>
        <w:ind w:left="1920" w:hanging="204"/>
        <w:spacing w:after="0"/>
        <w:tabs>
          <w:tab w:leader="none" w:pos="1920" w:val="left"/>
        </w:tabs>
        <w:numPr>
          <w:ilvl w:val="2"/>
          <w:numId w:val="178"/>
        </w:numPr>
        <w:rPr>
          <w:rFonts w:ascii="Arial" w:cs="Arial" w:eastAsia="Arial" w:hAnsi="Arial"/>
          <w:sz w:val="14"/>
          <w:szCs w:val="14"/>
          <w:color w:val="auto"/>
        </w:rPr>
      </w:pPr>
      <w:r>
        <w:rPr>
          <w:rFonts w:ascii="Arial" w:cs="Arial" w:eastAsia="Arial" w:hAnsi="Arial"/>
          <w:sz w:val="14"/>
          <w:szCs w:val="14"/>
          <w:color w:val="auto"/>
        </w:rPr>
        <w:t>all representations and warranties of BCTG contained in this Subscription Agreement shall be true and correct in all material respects (other than</w:t>
      </w:r>
    </w:p>
    <w:p>
      <w:pPr>
        <w:spacing w:after="0" w:line="42" w:lineRule="exact"/>
        <w:rPr>
          <w:rFonts w:ascii="Arial" w:cs="Arial" w:eastAsia="Arial" w:hAnsi="Arial"/>
          <w:sz w:val="14"/>
          <w:szCs w:val="14"/>
          <w:color w:val="auto"/>
        </w:rPr>
      </w:pPr>
    </w:p>
    <w:p>
      <w:pPr>
        <w:jc w:val="both"/>
        <w:ind w:left="1140"/>
        <w:spacing w:after="0" w:line="279" w:lineRule="auto"/>
        <w:rPr>
          <w:rFonts w:ascii="Arial" w:cs="Arial" w:eastAsia="Arial" w:hAnsi="Arial"/>
          <w:sz w:val="14"/>
          <w:szCs w:val="14"/>
          <w:color w:val="auto"/>
        </w:rPr>
      </w:pPr>
      <w:r>
        <w:rPr>
          <w:rFonts w:ascii="Arial" w:cs="Arial" w:eastAsia="Arial" w:hAnsi="Arial"/>
          <w:sz w:val="15"/>
          <w:szCs w:val="15"/>
          <w:color w:val="auto"/>
        </w:rPr>
        <w:t>(x) representations and warranties that are qualified as to materiality or Material Adverse Effect (as defined herein) and (y) Section 5(p), which representations and warranties shall be true and correct in all respects) at and as of the Closing Date, and consummation of the Closing shall constitute a reaffirmation by BCTG of each of the representations and warranties of BCTG contained in this Subscription Agreement as of the Closing Date;</w:t>
      </w:r>
    </w:p>
    <w:p>
      <w:pPr>
        <w:spacing w:after="0" w:line="150" w:lineRule="exact"/>
        <w:rPr>
          <w:rFonts w:ascii="Arial" w:cs="Arial" w:eastAsia="Arial" w:hAnsi="Arial"/>
          <w:sz w:val="14"/>
          <w:szCs w:val="14"/>
          <w:color w:val="auto"/>
        </w:rPr>
      </w:pPr>
    </w:p>
    <w:p>
      <w:pPr>
        <w:ind w:left="1140" w:right="20" w:firstLine="576"/>
        <w:spacing w:after="0" w:line="275" w:lineRule="auto"/>
        <w:tabs>
          <w:tab w:leader="none" w:pos="1972" w:val="left"/>
        </w:tabs>
        <w:numPr>
          <w:ilvl w:val="2"/>
          <w:numId w:val="178"/>
        </w:numPr>
        <w:rPr>
          <w:rFonts w:ascii="Arial" w:cs="Arial" w:eastAsia="Arial" w:hAnsi="Arial"/>
          <w:sz w:val="16"/>
          <w:szCs w:val="16"/>
          <w:color w:val="auto"/>
        </w:rPr>
      </w:pPr>
      <w:r>
        <w:rPr>
          <w:rFonts w:ascii="Arial" w:cs="Arial" w:eastAsia="Arial" w:hAnsi="Arial"/>
          <w:sz w:val="16"/>
          <w:szCs w:val="16"/>
          <w:color w:val="auto"/>
        </w:rPr>
        <w:t>BCTG shall have performed, satisfied and complied in all material respects with all covenants, agreements and conditions required by this Subscription Agreement to be performed, satisfied or complied with by it at or prior to the Closing;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5" w:name="page186"/>
    <w:bookmarkEnd w:id="185"/>
    <w:p>
      <w:pPr>
        <w:jc w:val="both"/>
        <w:ind w:left="1140" w:firstLine="576"/>
        <w:spacing w:after="0" w:line="262" w:lineRule="auto"/>
        <w:tabs>
          <w:tab w:leader="none" w:pos="2005" w:val="left"/>
        </w:tabs>
        <w:numPr>
          <w:ilvl w:val="2"/>
          <w:numId w:val="179"/>
        </w:numPr>
        <w:rPr>
          <w:rFonts w:ascii="Arial" w:cs="Arial" w:eastAsia="Arial" w:hAnsi="Arial"/>
          <w:sz w:val="16"/>
          <w:szCs w:val="16"/>
          <w:color w:val="auto"/>
        </w:rPr>
      </w:pPr>
      <w:r>
        <w:rPr>
          <w:rFonts w:ascii="Arial" w:cs="Arial" w:eastAsia="Arial" w:hAnsi="Arial"/>
          <w:sz w:val="16"/>
          <w:szCs w:val="16"/>
          <w:color w:val="auto"/>
        </w:rPr>
        <w:t>the terms of the Transaction Agreement (as in effect on the date hereof) and the Organizational Documents (as defined below) shall not have been amended, modified or waived in a manner that would reasonably be expected to adversely affect the economic benefits that the Investor would reasonably expect to receive under this Subscription Agreement;</w:t>
      </w:r>
    </w:p>
    <w:p>
      <w:pPr>
        <w:spacing w:after="0" w:line="162" w:lineRule="exact"/>
        <w:rPr>
          <w:rFonts w:ascii="Arial" w:cs="Arial" w:eastAsia="Arial" w:hAnsi="Arial"/>
          <w:sz w:val="16"/>
          <w:szCs w:val="16"/>
          <w:color w:val="auto"/>
        </w:rPr>
      </w:pPr>
    </w:p>
    <w:p>
      <w:pPr>
        <w:ind w:left="1140" w:right="20" w:firstLine="576"/>
        <w:spacing w:after="0" w:line="275" w:lineRule="auto"/>
        <w:tabs>
          <w:tab w:leader="none" w:pos="2017" w:val="left"/>
        </w:tabs>
        <w:numPr>
          <w:ilvl w:val="2"/>
          <w:numId w:val="179"/>
        </w:numPr>
        <w:rPr>
          <w:rFonts w:ascii="Arial" w:cs="Arial" w:eastAsia="Arial" w:hAnsi="Arial"/>
          <w:sz w:val="16"/>
          <w:szCs w:val="16"/>
          <w:color w:val="auto"/>
        </w:rPr>
      </w:pPr>
      <w:r>
        <w:rPr>
          <w:rFonts w:ascii="Arial" w:cs="Arial" w:eastAsia="Arial" w:hAnsi="Arial"/>
          <w:sz w:val="16"/>
          <w:szCs w:val="16"/>
          <w:color w:val="auto"/>
        </w:rPr>
        <w:t>there shall have been no amendment, waiver or modification to the Other Subscription Agreements (including via a side letter or other agreement) that materially benefits the Other Investors thereunder unless the Investor has been offered the same benefits;</w:t>
      </w:r>
    </w:p>
    <w:p>
      <w:pPr>
        <w:spacing w:after="0" w:line="151" w:lineRule="exact"/>
        <w:rPr>
          <w:rFonts w:ascii="Arial" w:cs="Arial" w:eastAsia="Arial" w:hAnsi="Arial"/>
          <w:sz w:val="16"/>
          <w:szCs w:val="16"/>
          <w:color w:val="auto"/>
        </w:rPr>
      </w:pPr>
    </w:p>
    <w:p>
      <w:pPr>
        <w:ind w:left="1140" w:right="20" w:firstLine="576"/>
        <w:spacing w:after="0" w:line="275" w:lineRule="auto"/>
        <w:tabs>
          <w:tab w:leader="none" w:pos="193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BCTG shall have filed with the Nasdaq Capital Market an application or supplemental listing application for the listing of the Shares being issued and sold hereunder, and such Shares shall have been approved for listing, subject to official notice of issuance;</w:t>
      </w:r>
    </w:p>
    <w:p>
      <w:pPr>
        <w:spacing w:after="0" w:line="151" w:lineRule="exact"/>
        <w:rPr>
          <w:rFonts w:ascii="Arial" w:cs="Arial" w:eastAsia="Arial" w:hAnsi="Arial"/>
          <w:sz w:val="16"/>
          <w:szCs w:val="16"/>
          <w:color w:val="auto"/>
        </w:rPr>
      </w:pPr>
    </w:p>
    <w:p>
      <w:pPr>
        <w:ind w:left="1140" w:right="20" w:firstLine="576"/>
        <w:spacing w:after="0" w:line="255" w:lineRule="auto"/>
        <w:tabs>
          <w:tab w:leader="none" w:pos="1983" w:val="left"/>
        </w:tabs>
        <w:numPr>
          <w:ilvl w:val="2"/>
          <w:numId w:val="179"/>
        </w:numPr>
        <w:rPr>
          <w:rFonts w:ascii="Arial" w:cs="Arial" w:eastAsia="Arial" w:hAnsi="Arial"/>
          <w:sz w:val="16"/>
          <w:szCs w:val="16"/>
          <w:color w:val="auto"/>
        </w:rPr>
      </w:pPr>
      <w:r>
        <w:rPr>
          <w:rFonts w:ascii="Arial" w:cs="Arial" w:eastAsia="Arial" w:hAnsi="Arial"/>
          <w:sz w:val="16"/>
          <w:szCs w:val="16"/>
          <w:color w:val="auto"/>
        </w:rPr>
        <w:t>immediately prior to the Closing, the sum of (i) the Trust Amount (as defined in the Transaction Agreement) plus the PIPE Investment Amount (as defined in the Transaction Agreement) actually received by BCTG prior to or substantially concurrently with the Closing, minus any all fees, expenses and disbursements incurred by or on behalf of BCTG Merger Sub Inc. or BCTG for outside counsel, agents, advisors, consultants, experts, financial advisors and other service providers engaged by or on behalf of BCTG Merger Sub Inc. or BCTG in connection with the Transaction, shall be no less than $300,000,000.00.</w:t>
      </w:r>
    </w:p>
    <w:p>
      <w:pPr>
        <w:spacing w:after="0" w:line="169" w:lineRule="exact"/>
        <w:rPr>
          <w:rFonts w:ascii="Arial" w:cs="Arial" w:eastAsia="Arial" w:hAnsi="Arial"/>
          <w:sz w:val="16"/>
          <w:szCs w:val="16"/>
          <w:color w:val="auto"/>
        </w:rPr>
      </w:pPr>
    </w:p>
    <w:p>
      <w:pPr>
        <w:ind w:left="1140" w:right="60" w:firstLine="576"/>
        <w:spacing w:after="0" w:line="254" w:lineRule="auto"/>
        <w:tabs>
          <w:tab w:leader="none" w:pos="2028" w:val="left"/>
        </w:tabs>
        <w:numPr>
          <w:ilvl w:val="2"/>
          <w:numId w:val="179"/>
        </w:numPr>
        <w:rPr>
          <w:rFonts w:ascii="Arial" w:cs="Arial" w:eastAsia="Arial" w:hAnsi="Arial"/>
          <w:sz w:val="16"/>
          <w:szCs w:val="16"/>
          <w:color w:val="auto"/>
        </w:rPr>
      </w:pPr>
      <w:r>
        <w:rPr>
          <w:rFonts w:ascii="Arial" w:cs="Arial" w:eastAsia="Arial" w:hAnsi="Arial"/>
          <w:sz w:val="16"/>
          <w:szCs w:val="16"/>
          <w:color w:val="auto"/>
        </w:rPr>
        <w:t>all consents, waivers, authorizations or orders of, any notice required to be made to, and any filing or registration with, any court or other federal, state, local or other governmental authority, self-regulatory organization (including the Nasdaq Capital Market and any stockholder approval required by the rules and regulations of the Nasdaq Capital Market) or other person in connection with the execution, delivery and performance of this Subscription Agreement (including, without limitation, the issuance of the Shares) required to be made in connection with the issuance and sale of the Shares shall have been obtained or made, except where the failure to so obtain or make would not prevent BCTG from consummating the transactions contemplated hereby, including the issuance and sale of the Shares; and</w:t>
      </w:r>
    </w:p>
    <w:p>
      <w:pPr>
        <w:spacing w:after="0" w:line="170" w:lineRule="exact"/>
        <w:rPr>
          <w:rFonts w:ascii="Arial" w:cs="Arial" w:eastAsia="Arial" w:hAnsi="Arial"/>
          <w:sz w:val="16"/>
          <w:szCs w:val="16"/>
          <w:color w:val="auto"/>
        </w:rPr>
      </w:pPr>
    </w:p>
    <w:p>
      <w:pPr>
        <w:ind w:left="2080" w:hanging="364"/>
        <w:spacing w:after="0"/>
        <w:tabs>
          <w:tab w:leader="none" w:pos="2080" w:val="left"/>
        </w:tabs>
        <w:numPr>
          <w:ilvl w:val="2"/>
          <w:numId w:val="179"/>
        </w:numPr>
        <w:rPr>
          <w:rFonts w:ascii="Arial" w:cs="Arial" w:eastAsia="Arial" w:hAnsi="Arial"/>
          <w:sz w:val="16"/>
          <w:szCs w:val="16"/>
          <w:color w:val="auto"/>
        </w:rPr>
      </w:pPr>
      <w:r>
        <w:rPr>
          <w:rFonts w:ascii="Arial" w:cs="Arial" w:eastAsia="Arial" w:hAnsi="Arial"/>
          <w:sz w:val="16"/>
          <w:szCs w:val="16"/>
          <w:color w:val="auto"/>
        </w:rPr>
        <w:t>from and after the date hereof, there shall have not occurred any Material Adverse Effect.</w:t>
      </w:r>
    </w:p>
    <w:p>
      <w:pPr>
        <w:spacing w:after="0" w:line="198" w:lineRule="exact"/>
        <w:rPr>
          <w:rFonts w:ascii="Arial" w:cs="Arial" w:eastAsia="Arial" w:hAnsi="Arial"/>
          <w:sz w:val="16"/>
          <w:szCs w:val="16"/>
          <w:color w:val="auto"/>
        </w:rPr>
      </w:pPr>
    </w:p>
    <w:p>
      <w:pPr>
        <w:jc w:val="both"/>
        <w:ind w:right="20" w:firstLine="569"/>
        <w:spacing w:after="0" w:line="301" w:lineRule="auto"/>
        <w:tabs>
          <w:tab w:leader="none" w:pos="745"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Further Assurances</w:t>
      </w:r>
      <w:r>
        <w:rPr>
          <w:rFonts w:ascii="Arial" w:cs="Arial" w:eastAsia="Arial" w:hAnsi="Arial"/>
          <w:sz w:val="14"/>
          <w:szCs w:val="14"/>
          <w:color w:val="auto"/>
        </w:rPr>
        <w:t>. At the Closing, each of the parties hereto shall execute and deliver such additional documents and take such additional actions as the parties reasonably may deem to be practical and necessary in order to consummate the subscription as contemplated by this Subscription Agreement. Upon the terms and subject to the conditions set forth in this Subscription Agreement, at or prior to Closing, each of the parties hereto shall use commercially reasonable efforts to take, or cause to be taken, all actions, and to do, or cause to be done, and to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37" w:lineRule="exact"/>
        <w:rPr>
          <w:rFonts w:ascii="Arial" w:cs="Arial" w:eastAsia="Arial" w:hAnsi="Arial"/>
          <w:sz w:val="14"/>
          <w:szCs w:val="14"/>
          <w:color w:val="auto"/>
        </w:rPr>
      </w:pPr>
    </w:p>
    <w:p>
      <w:pPr>
        <w:ind w:left="720" w:hanging="151"/>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BCTG Representations and Warranties</w:t>
      </w:r>
      <w:r>
        <w:rPr>
          <w:rFonts w:ascii="Arial" w:cs="Arial" w:eastAsia="Arial" w:hAnsi="Arial"/>
          <w:sz w:val="16"/>
          <w:szCs w:val="16"/>
          <w:color w:val="auto"/>
        </w:rPr>
        <w:t>. BCTG represents and warrants to the Investor, as of the date hereof and as of the Closing Date that:</w:t>
      </w:r>
    </w:p>
    <w:p>
      <w:pPr>
        <w:spacing w:after="0" w:line="198" w:lineRule="exact"/>
        <w:rPr>
          <w:rFonts w:ascii="Arial" w:cs="Arial" w:eastAsia="Arial" w:hAnsi="Arial"/>
          <w:sz w:val="16"/>
          <w:szCs w:val="16"/>
          <w:color w:val="auto"/>
        </w:rPr>
      </w:pPr>
    </w:p>
    <w:p>
      <w:pPr>
        <w:jc w:val="both"/>
        <w:ind w:right="40" w:firstLine="1147"/>
        <w:spacing w:after="0" w:line="306" w:lineRule="auto"/>
        <w:rPr>
          <w:rFonts w:ascii="Arial" w:cs="Arial" w:eastAsia="Arial" w:hAnsi="Arial"/>
          <w:sz w:val="16"/>
          <w:szCs w:val="16"/>
          <w:color w:val="auto"/>
        </w:rPr>
      </w:pPr>
      <w:r>
        <w:rPr>
          <w:rFonts w:ascii="Arial" w:cs="Arial" w:eastAsia="Arial" w:hAnsi="Arial"/>
          <w:sz w:val="14"/>
          <w:szCs w:val="14"/>
          <w:color w:val="auto"/>
        </w:rPr>
        <w:t>a. BCTG has been duly incorporated and is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 Other than BCTG’s subsidiary, BCTG Merger Sub Inc., which was formed in connection with the Transaction, BCTG has no direct or indirect subsidiaries, and does not own or hold the right to acquire any stock, partnership interest to joint venture interest or other equity interest in any other partnership, corporation, organization or entity.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6" w:name="page187"/>
    <w:bookmarkEnd w:id="186"/>
    <w:p>
      <w:pPr>
        <w:jc w:val="both"/>
        <w:ind w:right="20" w:firstLine="1147"/>
        <w:spacing w:after="0" w:line="258" w:lineRule="auto"/>
        <w:rPr>
          <w:sz w:val="20"/>
          <w:szCs w:val="20"/>
          <w:color w:val="auto"/>
        </w:rPr>
      </w:pPr>
      <w:r>
        <w:rPr>
          <w:rFonts w:ascii="Arial" w:cs="Arial" w:eastAsia="Arial" w:hAnsi="Arial"/>
          <w:sz w:val="16"/>
          <w:szCs w:val="16"/>
          <w:color w:val="auto"/>
        </w:rPr>
        <w:t>b. As of the Closing Date, the Shares offered hereby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BCTG’s certificate of incorporation or bylaws (as amended to the Closing Date) or any other agreement to which BCTG is a party or under the laws of the State of Delaware.</w:t>
      </w:r>
    </w:p>
    <w:p>
      <w:pPr>
        <w:spacing w:after="0" w:line="165"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c. This Subscription Agreement and the Transaction Agreement have been duly authorized, executed and delivered by BCTG and, with respect to the Subscription Agreement, assuming that this Subscription Agreement constitutes the valid and binding agreement of the Investor, this Subscription Agreement constitutes the valid and binding agreement of BCTG and is enforceable against BCTG in accordance with its terms, except as may be limited or otherwise affected by bankruptcy, insolvency, fraudulent conveyance, reorganization, moratorium or other similar laws affecting the enforcement of creditors’ rights generally and by general principles of equity, whether considered at law or equity.</w:t>
      </w:r>
    </w:p>
    <w:p>
      <w:pPr>
        <w:spacing w:after="0" w:line="170"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d. The execution and delivery of this Subscription Agreement and the Transaction Agreement, the issuance and sale of the Shares contemplated hereby and the compliance by BCTG with all of the provisions of this Subscription Agreement and the Transaction Agreement and the consummation of the transactions contemplated herein and therein will not (i) conflict with or result in a breach or violation of any of the terms or provisions of, or constitute a default under, or result in the creation or imposition of any lien, charge or encumbrance upon any of the property or assets of BCTG or any of its subsidiaries or the Shares pursuant to the terms of any indenture, mortgage, deed of trust, loan agreement, lease, license or other agreement or instrument to which BCTG or any of its subsidiaries is a party or by which BCTG or any of its subsidiaries is bound or to which any of the property or assets of BCTG is subject that would, individually or in the aggregate, reasonably be expected to have a material adverse effect on the business, properties, prospects, general affairs, management, financial position, stockholders’ equity or results of operations of BCTG and its subsidiaries, taken as a whole or materially and adversely affect: (A) the ability of BCTG to timely consummate the Transaction; (B) the validity of the Shares; or (C) the legal authority or ability of BCTG to comply in all material respects with or timely perform the terms of this Subscription Agreement, including the issuance and sale of the Shares ((A)-(C) collectively, a “Material Adverse Effect”); (ii) result in any violation of the provisions of the organizational documents of BCTG (the “</w:t>
      </w:r>
      <w:r>
        <w:rPr>
          <w:rFonts w:ascii="Arial" w:cs="Arial" w:eastAsia="Arial" w:hAnsi="Arial"/>
          <w:sz w:val="15"/>
          <w:szCs w:val="15"/>
          <w:u w:val="single" w:color="auto"/>
          <w:color w:val="auto"/>
        </w:rPr>
        <w:t>Organizational Documents</w:t>
      </w:r>
      <w:r>
        <w:rPr>
          <w:rFonts w:ascii="Arial" w:cs="Arial" w:eastAsia="Arial" w:hAnsi="Arial"/>
          <w:sz w:val="15"/>
          <w:szCs w:val="15"/>
          <w:color w:val="auto"/>
        </w:rPr>
        <w:t>”); or (iii) result in any violation of any statute or any law, judgment, order, rule or regulation of any court or governmental agency or body, domestic or foreign, having jurisdiction over BCTG or any of their properties that would reasonably be expected to have a Material Adverse Effect.</w:t>
      </w:r>
    </w:p>
    <w:p>
      <w:pPr>
        <w:spacing w:after="0" w:line="157" w:lineRule="exact"/>
        <w:rPr>
          <w:sz w:val="20"/>
          <w:szCs w:val="20"/>
          <w:color w:val="auto"/>
        </w:rPr>
      </w:pPr>
    </w:p>
    <w:p>
      <w:pPr>
        <w:jc w:val="both"/>
        <w:ind w:firstLine="1147"/>
        <w:spacing w:after="0" w:line="291" w:lineRule="auto"/>
        <w:rPr>
          <w:sz w:val="20"/>
          <w:szCs w:val="20"/>
          <w:color w:val="auto"/>
        </w:rPr>
      </w:pPr>
      <w:r>
        <w:rPr>
          <w:rFonts w:ascii="Arial" w:cs="Arial" w:eastAsia="Arial" w:hAnsi="Arial"/>
          <w:sz w:val="14"/>
          <w:szCs w:val="14"/>
          <w:color w:val="auto"/>
        </w:rPr>
        <w:t>e. BCTG has timely made all filings required to be filed by it with the U.S.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since its initial registration of its common stock with the SEC. As of their respective dates, the Registration Statement of BCTG filed on Form S-1 dated July 30, 2020 (as amended), the prospectus of BCTG dated September 2, 2020, each other form, report, statement, schedules, prospectus, proxy statement, registration statement and other document required to be filed or actually filed by BCTG with the SEC (the “</w:t>
      </w:r>
      <w:r>
        <w:rPr>
          <w:rFonts w:ascii="Arial" w:cs="Arial" w:eastAsia="Arial" w:hAnsi="Arial"/>
          <w:sz w:val="14"/>
          <w:szCs w:val="14"/>
          <w:u w:val="single" w:color="auto"/>
          <w:color w:val="auto"/>
        </w:rPr>
        <w:t>SEC Reports</w:t>
      </w:r>
      <w:r>
        <w:rPr>
          <w:rFonts w:ascii="Arial" w:cs="Arial" w:eastAsia="Arial" w:hAnsi="Arial"/>
          <w:sz w:val="14"/>
          <w:szCs w:val="14"/>
          <w:color w:val="auto"/>
        </w:rPr>
        <w:t>”) complied in all material respects with the applicable requirements of the Securities Act and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As of the date of this Subscription Agreement, there are no outstanding or unresolved comments in comment letters received by BCTG from the staff of the Division of Corporation Finance of the SEC with respect to any of the SEC Reports. The financial statements of BCTG included in the SEC Reports comply in all material respects with applicable accounting requirements and the rules and regulations of the SEC with respect thereto as in effect at the time of filing and fairly present in all material respects the financial condition of BCTG as of and for the dates thereof and the results of operations and cash flows for the periods presented, subject, in the case of interim unaudited statements, to normal, year-end audit adjustments. A copy of each SEC Report is available to the Investor via the SEC’s EDGAR system.</w:t>
      </w:r>
    </w:p>
    <w:p>
      <w:pPr>
        <w:spacing w:after="0" w:line="147"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f. BCTG has not entered (and will not enter) into any side letter or similar agreement or understanding (written or oral) with any Other Investor or any other investor in connection with such Other Investor’s or other investor’s direct or indirect investment in BCTG other than the Other Subscription Agreements and the Transaction Agreement. No Other Subscription Agreement contains (or will contain) terms (economic or otherwise) more favorable to such Other Investor or other investor than as set forth in this Subscription Agreement. The Other Subscription Agreements have not been (and will not be) amended in any material respect following the date of this Subscription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7" w:name="page188"/>
    <w:bookmarkEnd w:id="187"/>
    <w:p>
      <w:pPr>
        <w:jc w:val="both"/>
        <w:ind w:firstLine="1147"/>
        <w:spacing w:after="0" w:line="274" w:lineRule="auto"/>
        <w:rPr>
          <w:sz w:val="20"/>
          <w:szCs w:val="20"/>
          <w:color w:val="auto"/>
        </w:rPr>
      </w:pPr>
      <w:r>
        <w:rPr>
          <w:rFonts w:ascii="Arial" w:cs="Arial" w:eastAsia="Arial" w:hAnsi="Arial"/>
          <w:sz w:val="15"/>
          <w:szCs w:val="15"/>
          <w:color w:val="auto"/>
        </w:rPr>
        <w:t>g. BCTG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BCTG of the Transaction Agreement or this Subscription Agreement (including, without limitation, the issuance of the Shares pursuant to this Subscription Agreement), other than (i) filing with the SEC of the Registration Statement (as defined below), (ii) filings required by The Nasdaq Capital Market, or such other applicable stock exchange on which BCTG’s common stock is then listed and (iii) those the failure of which to obtain would not be reasonably likely to have, individually or in the aggregate, a Material Adverse Effect. BCTG is in compliance with all applicable laws and rules of the Nasdaq Capital Market.</w:t>
      </w:r>
    </w:p>
    <w:p>
      <w:pPr>
        <w:spacing w:after="0" w:line="157" w:lineRule="exact"/>
        <w:rPr>
          <w:sz w:val="20"/>
          <w:szCs w:val="20"/>
          <w:color w:val="auto"/>
        </w:rPr>
      </w:pPr>
    </w:p>
    <w:p>
      <w:pPr>
        <w:jc w:val="both"/>
        <w:ind w:firstLine="1147"/>
        <w:spacing w:after="0" w:line="290" w:lineRule="auto"/>
        <w:rPr>
          <w:sz w:val="20"/>
          <w:szCs w:val="20"/>
          <w:color w:val="auto"/>
        </w:rPr>
      </w:pPr>
      <w:r>
        <w:rPr>
          <w:rFonts w:ascii="Arial" w:cs="Arial" w:eastAsia="Arial" w:hAnsi="Arial"/>
          <w:sz w:val="14"/>
          <w:szCs w:val="14"/>
          <w:color w:val="auto"/>
        </w:rPr>
        <w:t>h. The authorized capital stock of BCTG consists of 30,000,000 shares of common stock, par value $0.0001 per share, of which 5,641,029 shares are outstanding (excluding 15,736,221 shares of common stock subject to possible redemption), and 1,000,000 shares of preferred stock, par value $0.0001 per share, none of which are issued and outstanding. No other shares of capital stock or other voting securities of BCTG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BCTG’s organizational documents or any contract to which BCTG is a party or by which BCTG is bound. There are no outstanding contractual obligations of BCTG to repurchase, redeem or otherwise acquire any Shares or any capital equity of BCTG. There are no securities or instruments issued by or to which BCTG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BCTG to provide funds to or make any investment (in the form of a loan, capital contribution or otherwise) in, any other person or entity. Except pursuant to the Other Subscription Agreements, the Transaction Agreement and the other agreements and arrangements referred to therein, as of the date hereof, there are no outstanding options, warrants, or other rights to subscribe for, purchase or acquire from BCTG any equity interests in BCTG, or securities convertible into or exchangeable or exercisable for any such equity interests. There are no stockholder agreements, voting trusts or other agreements or understandings to which BCTG is a party or by which it is bound relating to the voting of any securities of BCTG, other than (1) as set forth in the SEC Reports and (2) as contemplated by the Transaction Agreement.</w:t>
      </w:r>
    </w:p>
    <w:p>
      <w:pPr>
        <w:spacing w:after="0" w:line="148" w:lineRule="exact"/>
        <w:rPr>
          <w:sz w:val="20"/>
          <w:szCs w:val="20"/>
          <w:color w:val="auto"/>
        </w:rPr>
      </w:pPr>
    </w:p>
    <w:p>
      <w:pPr>
        <w:jc w:val="both"/>
        <w:ind w:right="20" w:firstLine="1147"/>
        <w:spacing w:after="0" w:line="254" w:lineRule="auto"/>
        <w:rPr>
          <w:sz w:val="20"/>
          <w:szCs w:val="20"/>
          <w:color w:val="auto"/>
        </w:rPr>
      </w:pPr>
      <w:r>
        <w:rPr>
          <w:rFonts w:ascii="Arial" w:cs="Arial" w:eastAsia="Arial" w:hAnsi="Arial"/>
          <w:sz w:val="16"/>
          <w:szCs w:val="16"/>
          <w:color w:val="auto"/>
        </w:rPr>
        <w:t>i. The issued and outstanding shares of BCTG common stock are registered pursuant to Section 12(b) of the Exchange Act and are listed for trading on the Nasdaq Capital Market. There is no suit, action, proceeding or investigation pending or, to the knowledge of BCTG, threatened against BCTG by the Nasdaq Capital Market or the SEC to deregister the Shares under the Exchange Act or prohibit or terminate the listing of the Shares, or suspend the trading of the Shares, on the Nasdaq Capital Market. BCTG has taken no action that is designed to terminate the registration of the Shares under the Exchange Act or the listing of the Shares on Nasdaq. Upon consummation of the Transaction, the issued and outstanding shares of common stock of BCTG, will be registered pursuant to Section 12(b) of the Exchange Act and listed for trading on the Nasdaq Capital Market.</w:t>
      </w:r>
    </w:p>
    <w:p>
      <w:pPr>
        <w:spacing w:after="0" w:line="170" w:lineRule="exact"/>
        <w:rPr>
          <w:sz w:val="20"/>
          <w:szCs w:val="20"/>
          <w:color w:val="auto"/>
        </w:rPr>
      </w:pPr>
    </w:p>
    <w:p>
      <w:pPr>
        <w:jc w:val="both"/>
        <w:ind w:firstLine="1147"/>
        <w:spacing w:after="0" w:line="306" w:lineRule="auto"/>
        <w:rPr>
          <w:sz w:val="20"/>
          <w:szCs w:val="20"/>
          <w:color w:val="auto"/>
        </w:rPr>
      </w:pPr>
      <w:r>
        <w:rPr>
          <w:rFonts w:ascii="Arial" w:cs="Arial" w:eastAsia="Arial" w:hAnsi="Arial"/>
          <w:sz w:val="14"/>
          <w:szCs w:val="14"/>
          <w:color w:val="auto"/>
        </w:rPr>
        <w:t xml:space="preserve">j. Assuming the accuracy of the Investor’s representations and warranties set forth in </w:t>
      </w:r>
      <w:r>
        <w:rPr>
          <w:rFonts w:ascii="Arial" w:cs="Arial" w:eastAsia="Arial" w:hAnsi="Arial"/>
          <w:sz w:val="14"/>
          <w:szCs w:val="14"/>
          <w:u w:val="single" w:color="auto"/>
          <w:color w:val="auto"/>
        </w:rPr>
        <w:t>Section 6</w:t>
      </w:r>
      <w:r>
        <w:rPr>
          <w:rFonts w:ascii="Arial" w:cs="Arial" w:eastAsia="Arial" w:hAnsi="Arial"/>
          <w:sz w:val="14"/>
          <w:szCs w:val="14"/>
          <w:color w:val="auto"/>
        </w:rPr>
        <w:t>, no registration under the Securities Act is required for the offer and sale of the Shares by BCTG to the Investor hereunder or to any Other Investor pursuant to the Other Subscription Agreements. The Shares offered hereby and pursuant to each Other Subscription Agreement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spacing w:after="0" w:line="13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There is no (i) action, suit, claim or other proceeding, in each case by or before any governmental authority pending, or, to the knowledge of BCTG, threatened against BCTG or (ii) judgment, decree, injunction, ruling or order of any governmental entity or arbitrator outstanding against BCTG.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8" w:name="page189"/>
    <w:bookmarkEnd w:id="188"/>
    <w:p>
      <w:pPr>
        <w:jc w:val="both"/>
        <w:ind w:right="20" w:firstLine="1147"/>
        <w:spacing w:after="0" w:line="262" w:lineRule="auto"/>
        <w:rPr>
          <w:sz w:val="20"/>
          <w:szCs w:val="20"/>
          <w:color w:val="auto"/>
        </w:rPr>
      </w:pPr>
      <w:r>
        <w:rPr>
          <w:rFonts w:ascii="Arial" w:cs="Arial" w:eastAsia="Arial" w:hAnsi="Arial"/>
          <w:sz w:val="16"/>
          <w:szCs w:val="16"/>
          <w:color w:val="auto"/>
        </w:rPr>
        <w:t>l. BCTG is in compliance with all applicable law, except where such noncompliance would not reasonably be expected to have a Material Adverse Effect. BCTG has not received any written communication from a governmental authority that alleges that BCTG is not in compliance with or is in default or violation of any applicable law.</w:t>
      </w:r>
    </w:p>
    <w:p>
      <w:pPr>
        <w:spacing w:after="0" w:line="16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m. BCTG has not paid, and is not under any obligation to pay, any broker’s fee or commission in connection with the sale of the Shares hereunder other than to the Placement Agents (as defined herein). Other than the Placement Agents, BCTG is not aware of any person that has been paid (directly or indirectly) remuneration for solicitation of purchasers in connection with the sale of any Shares in connection with the Subscription Agreements. BCTG is solely responsible for the payment of any fees, costs, expenses and commission of the Placement Agents in connection with the sale of the Shares.</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n. BCTG is not, and immediately after receipt of payment for the Shares, will not be, an “investment company” within the meaning of the Investment Company Act of 1940, as amended.</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o. BCTG does not intend to, and will not, use any portion of the Subscription Amount for any purpose other than in connection with the Transaction.</w:t>
      </w:r>
    </w:p>
    <w:p>
      <w:pPr>
        <w:spacing w:after="0" w:line="210" w:lineRule="exact"/>
        <w:rPr>
          <w:sz w:val="20"/>
          <w:szCs w:val="20"/>
          <w:color w:val="auto"/>
        </w:rPr>
      </w:pPr>
    </w:p>
    <w:p>
      <w:pPr>
        <w:jc w:val="both"/>
        <w:ind w:right="160" w:firstLine="1147"/>
        <w:spacing w:after="0" w:line="258" w:lineRule="auto"/>
        <w:rPr>
          <w:sz w:val="20"/>
          <w:szCs w:val="20"/>
          <w:color w:val="auto"/>
        </w:rPr>
      </w:pPr>
      <w:r>
        <w:rPr>
          <w:rFonts w:ascii="Arial" w:cs="Arial" w:eastAsia="Arial" w:hAnsi="Arial"/>
          <w:sz w:val="16"/>
          <w:szCs w:val="16"/>
          <w:color w:val="auto"/>
        </w:rPr>
        <w:t>p. Neither BCTG nor Tango is a U.S. business that (i) produces, designs, tests, manufactures, fabricates, or develops one or more “critical technologies”; (ii) performs the functions as set forth in column 2 of Appendix A to 31 C.F.R. Part 800 with respect to “covered investment critical infrastructure”; or (iii) maintains or collects, directly or indirectly, “sensitive personal data” of U.S. citizens, in each case as such terms in quotation marks are defined in the Defense Production Act of 1950, as amended, including all implementing regulations thereof.</w:t>
      </w:r>
    </w:p>
    <w:p>
      <w:pPr>
        <w:spacing w:after="0" w:line="165" w:lineRule="exact"/>
        <w:rPr>
          <w:sz w:val="20"/>
          <w:szCs w:val="20"/>
          <w:color w:val="auto"/>
        </w:rPr>
      </w:pPr>
    </w:p>
    <w:p>
      <w:pPr>
        <w:jc w:val="both"/>
        <w:ind w:right="60" w:firstLine="1147"/>
        <w:spacing w:after="0" w:line="288" w:lineRule="auto"/>
        <w:rPr>
          <w:sz w:val="20"/>
          <w:szCs w:val="20"/>
          <w:color w:val="auto"/>
        </w:rPr>
      </w:pPr>
      <w:r>
        <w:rPr>
          <w:rFonts w:ascii="Arial" w:cs="Arial" w:eastAsia="Arial" w:hAnsi="Arial"/>
          <w:sz w:val="14"/>
          <w:szCs w:val="14"/>
          <w:color w:val="auto"/>
        </w:rPr>
        <w:t>q. BCTG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BCTG with any notice thereof; provided, however, that none of BCTG, Tango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BCTG in all respects.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 BCTG has furnished to the Investor a true and substantially complete copy of the Transaction Agreement as in effect as of the date hereof.</w:t>
      </w:r>
    </w:p>
    <w:p>
      <w:pPr>
        <w:spacing w:after="0" w:line="186" w:lineRule="exact"/>
        <w:rPr>
          <w:sz w:val="20"/>
          <w:szCs w:val="20"/>
          <w:color w:val="auto"/>
        </w:rPr>
      </w:pPr>
    </w:p>
    <w:p>
      <w:pPr>
        <w:ind w:right="60" w:firstLine="1147"/>
        <w:spacing w:after="0" w:line="295" w:lineRule="auto"/>
        <w:rPr>
          <w:sz w:val="20"/>
          <w:szCs w:val="20"/>
          <w:color w:val="auto"/>
        </w:rPr>
      </w:pPr>
      <w:r>
        <w:rPr>
          <w:rFonts w:ascii="Arial" w:cs="Arial" w:eastAsia="Arial" w:hAnsi="Arial"/>
          <w:sz w:val="14"/>
          <w:szCs w:val="14"/>
          <w:color w:val="auto"/>
        </w:rPr>
        <w:t>s. There has been no action taken by BCTG, or, to the knowledge of BCTG, any officer, director, equityholder, manager, employee, agent or representative of BCTG, in each case, acting on behalf of BCTG, in violation of any applicable Anti-Corruption Laws (as herein defined), (i) BCTG has not been convicted of violating any Anti-Corruption Laws or subjected to any investigation by a governmental authority for violation of any applicable Anti-Corruption Laws, (ii) BCTG has not conducted or initiated any internal investigation or made a voluntary, directed, or involuntary disclosure to any governmental authority regarding any alleged act or omission arising under or relating to any noncompliance with any Anti-Corruption Laws and (iii) BCTG has not received any written notice or citation from a governmental authority for any actual or potential noncompliance with any applicable Anti-Corruption Laws. As used herein, “Anti-Corruption Laws” means any applicable laws relating to corruption and bribery, including the U.S. Foreign Corrupt Practices Act of 1977 (as amended), the UK Bribery Act 2010, and any similar law that prohibits bribery or corruption.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9" w:name="page190"/>
    <w:bookmarkEnd w:id="189"/>
    <w:p>
      <w:pPr>
        <w:ind w:left="720" w:hanging="151"/>
        <w:spacing w:after="0"/>
        <w:tabs>
          <w:tab w:leader="none" w:pos="72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Investor Representations and Warranties</w:t>
      </w:r>
      <w:r>
        <w:rPr>
          <w:rFonts w:ascii="Arial" w:cs="Arial" w:eastAsia="Arial" w:hAnsi="Arial"/>
          <w:sz w:val="16"/>
          <w:szCs w:val="16"/>
          <w:color w:val="auto"/>
        </w:rPr>
        <w:t>. The Investor represents and warrants to BCTG that:</w:t>
      </w:r>
    </w:p>
    <w:p>
      <w:pPr>
        <w:spacing w:after="0" w:line="198" w:lineRule="exact"/>
        <w:rPr>
          <w:rFonts w:ascii="Arial" w:cs="Arial" w:eastAsia="Arial" w:hAnsi="Arial"/>
          <w:sz w:val="16"/>
          <w:szCs w:val="16"/>
          <w:color w:val="auto"/>
        </w:rPr>
      </w:pPr>
    </w:p>
    <w:p>
      <w:pPr>
        <w:jc w:val="both"/>
        <w:ind w:right="20" w:firstLine="1143"/>
        <w:spacing w:after="0" w:line="294" w:lineRule="auto"/>
        <w:tabs>
          <w:tab w:leader="none" w:pos="1303" w:val="left"/>
        </w:tabs>
        <w:numPr>
          <w:ilvl w:val="1"/>
          <w:numId w:val="181"/>
        </w:numPr>
        <w:rPr>
          <w:rFonts w:ascii="Arial" w:cs="Arial" w:eastAsia="Arial" w:hAnsi="Arial"/>
          <w:sz w:val="14"/>
          <w:szCs w:val="14"/>
          <w:color w:val="auto"/>
        </w:rPr>
      </w:pPr>
      <w:r>
        <w:rPr>
          <w:rFonts w:ascii="Arial" w:cs="Arial" w:eastAsia="Arial" w:hAnsi="Arial"/>
          <w:sz w:val="14"/>
          <w:szCs w:val="14"/>
          <w:color w:val="auto"/>
        </w:rPr>
        <w:t xml:space="preserve">The Investor (i) is a “qualified institutional buyer” (as defined in Rule 144A under the Securities Act) or an institutional “accredited investor” (within the meaning of Rule 501(a)(1), (2), (3) or (7) under the Securities Act), in each case, satisfying the applicable requirements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(ii) the investment adviser to which the Investor has delegated decision-making authority over investments is an “institutional account” (as defined in FINRA Rule 4512(c)), (iii) is acquiring the Shares only for his, her or its own account and not for the account of others, or if the undersigned is subscribing for the Shares as a fiduciary or agent for one or more investor accounts, the Investor or the investment adviser to which Investor has delegated decision-making authority over investments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following the signature page hereto). The Investor is not an entity formed for the specific purpose of acquiring the Shares.</w:t>
      </w:r>
    </w:p>
    <w:p>
      <w:pPr>
        <w:spacing w:after="0" w:line="143" w:lineRule="exact"/>
        <w:rPr>
          <w:rFonts w:ascii="Arial" w:cs="Arial" w:eastAsia="Arial" w:hAnsi="Arial"/>
          <w:sz w:val="14"/>
          <w:szCs w:val="14"/>
          <w:color w:val="auto"/>
        </w:rPr>
      </w:pPr>
    </w:p>
    <w:p>
      <w:pPr>
        <w:jc w:val="both"/>
        <w:ind w:firstLine="1143"/>
        <w:spacing w:after="0" w:line="289" w:lineRule="auto"/>
        <w:tabs>
          <w:tab w:leader="none" w:pos="1311" w:val="left"/>
        </w:tabs>
        <w:numPr>
          <w:ilvl w:val="1"/>
          <w:numId w:val="181"/>
        </w:numPr>
        <w:rPr>
          <w:rFonts w:ascii="Arial" w:cs="Arial" w:eastAsia="Arial" w:hAnsi="Arial"/>
          <w:sz w:val="14"/>
          <w:szCs w:val="14"/>
          <w:color w:val="auto"/>
        </w:rPr>
      </w:pPr>
      <w:r>
        <w:rPr>
          <w:rFonts w:ascii="Arial" w:cs="Arial" w:eastAsia="Arial" w:hAnsi="Arial"/>
          <w:sz w:val="14"/>
          <w:szCs w:val="14"/>
          <w:color w:val="auto"/>
        </w:rPr>
        <w:t>The Investor understands that (i) BCTG represents and warrants that the Shares offered hereby are being offered in a transaction not involving any public offering within the meaning of the Securities Act and (ii) that the Shares have not been registered under the Securities Act except as set forth in Section 7 of the Subscription Agreement. The Investor understands that the Shares may not be resold, transferred, pledged or otherwise disposed of by the Investor absent an effective registration statement under the Securities Act except (i) to BCTG or a subsidiary thereof, (ii) pursuant to offers and sales that qualify as “offshore transactions” within the meaning of Regulation S under the Securities Act, (iii) pursuant to Rule 144 under the Securities Act, provided that all of the applicable conditions thereof (including those set out in Rule 144(i) which are applicable to BCTG) have been met or (iv) pursuant to another applicable exemption from the registration requirements of the Securities Act, including pursuant to a private sale effected under Section 4(a)(7) of the Securities Act or applicable formal or informal SEC interpretation or guidance, such as a so-called “4(a)(1) and a half” sale, and in each of cases (ii) and (iii) in accordance with any applicable securities laws of the states and other jurisdictions of the United States, and that any certificates representing the Shares offered hereby shall contain a restrictive legend to such effect, which legend shall be subject to removal as set forth herein. The Investor understands and agrees that the Shares offered hereby will be subject to transfer restrictions described herein, and, as a result, the Investor may not be able to readily offer, resell, transfer, pledge or otherwise dispose of the Shares and may be required to bear the financial risk of an investment in the Shares for an indefinite period of time. The Investor acknowledges and agrees that the Shares offered hereby will not immediately be eligible for offer, resale, transfer, pledge or disposition pursuant to Rule 144 promulgated under the Securities Act until at least one year from the date that BCTG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 By making the representations herein, the Investor does not agree to hold any of the Shares offered hereby for any minimum or other specific term and reserves the right to assign, transfer or otherwise dispose of any of the Shares at any time in accordance with or pursuant to a registration statement or an exemption under the Securities Act.</w:t>
      </w:r>
    </w:p>
    <w:p>
      <w:pPr>
        <w:spacing w:after="0" w:line="148" w:lineRule="exact"/>
        <w:rPr>
          <w:rFonts w:ascii="Arial" w:cs="Arial" w:eastAsia="Arial" w:hAnsi="Arial"/>
          <w:sz w:val="14"/>
          <w:szCs w:val="14"/>
          <w:color w:val="auto"/>
        </w:rPr>
      </w:pPr>
    </w:p>
    <w:p>
      <w:pPr>
        <w:jc w:val="both"/>
        <w:ind w:right="20" w:firstLine="1143"/>
        <w:spacing w:after="0" w:line="258" w:lineRule="auto"/>
        <w:tabs>
          <w:tab w:leader="none" w:pos="129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Investor understands and agrees that the Investor is purchasing the Shares directly from BCTG. The Investor further acknowledges that there have been no representations, warranties, covenants and agreements made to the Investor by BCTG, Tango or their respective officers or directors, expressly or by implication, other than those representations, warranties, covenants and agreements included in this Subscription Agreement and any other documents delivered by BCTG to the Investor in accordance with the terms hereof.</w:t>
      </w:r>
    </w:p>
    <w:p>
      <w:pPr>
        <w:spacing w:after="0" w:line="164" w:lineRule="exact"/>
        <w:rPr>
          <w:rFonts w:ascii="Arial" w:cs="Arial" w:eastAsia="Arial" w:hAnsi="Arial"/>
          <w:sz w:val="16"/>
          <w:szCs w:val="16"/>
          <w:color w:val="auto"/>
        </w:rPr>
      </w:pPr>
    </w:p>
    <w:p>
      <w:pPr>
        <w:jc w:val="both"/>
        <w:ind w:firstLine="1143"/>
        <w:spacing w:after="0" w:line="270" w:lineRule="auto"/>
        <w:tabs>
          <w:tab w:leader="none" w:pos="1319"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Investor acknowledges and agrees that the Investor has received such information as the Investor deems necessary in order to make an investment decision with respect to the Shares offered hereby, including with respect to BCTG, Tango or the Transaction. Without limiting the generality of the foregoing, the Investor acknowledges that he, she or it has had the opportunity to review the SEC Reports. The Investor represents and agrees that the Investor and the Investor’s professional advisor(s), if any (i) have had the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BCTG. However, neither any such inquiries, nor any due diligence investigation conducted by the Investor or any of the Investor’s professional advisors nor anything else contained herein, shall modify, limit or otherwise affect the Investor’s right to rely on BCTG’s warranties, covenants and agreements contained in this Subscription Agreement. The Investor further acknowledges that any such information consisting of financial estimates, projected financial information and other forward-looking information provided by BCTG or its affiliates or representatives is based on a number of assumptions and estimates that are inherently subject to significant business, economic and competitive risks, uncertainties and contingencies which are beyond the control of BCTG, and that it is understood that such projections, as to future events, are not to be viewed as facts, that actual results during the period or periods covered by any such projections may differ significantly from the projected results and that such difference may be material and that such projections are not a guarantee of financial performance.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0" w:name="page191"/>
    <w:bookmarkEnd w:id="190"/>
    <w:p>
      <w:pPr>
        <w:jc w:val="both"/>
        <w:ind w:firstLine="1147"/>
        <w:spacing w:after="0" w:line="252" w:lineRule="auto"/>
        <w:rPr>
          <w:sz w:val="20"/>
          <w:szCs w:val="20"/>
          <w:color w:val="auto"/>
        </w:rPr>
      </w:pPr>
      <w:r>
        <w:rPr>
          <w:rFonts w:ascii="Arial" w:cs="Arial" w:eastAsia="Arial" w:hAnsi="Arial"/>
          <w:sz w:val="16"/>
          <w:szCs w:val="16"/>
          <w:color w:val="auto"/>
        </w:rPr>
        <w:t>e. The Investor became aware of this offering of the Shares offered hereby solely by means of direct contact between the Investor and BCTG, Tango, or a representative of BCTG or Tango, and the Shares were offered to the Investor solely by direct contact between the Investor and BCTG, Tango, or a representative of BCTG or Tango. The Investor did not become aware of this offering of the Shares, nor were the Shares offered to the Investor, by any other means. The Investor acknowledges BCTG’s representation that the Shares offered hereby were not offered to the Investor by any form of general solicitation or general advertising. Other than in the event of fraud, Investor acknowledges that it is not relying upon, and has not relied upon, any statement, representation or warranty made by any person, firm or corporation (including, without limitation, Tango, BCTG, or any of Goldman Sachs &amp; Co LLC, SVB Leerink LLC or Guggenheim Securities, LLC (each, other than Tango and BCTG, a “</w:t>
      </w:r>
      <w:r>
        <w:rPr>
          <w:rFonts w:ascii="Arial" w:cs="Arial" w:eastAsia="Arial" w:hAnsi="Arial"/>
          <w:sz w:val="16"/>
          <w:szCs w:val="16"/>
          <w:u w:val="single" w:color="auto"/>
          <w:color w:val="auto"/>
        </w:rPr>
        <w:t>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together,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or any of their respective affiliates or any of their or their respective affiliates’ control persons, officers, directors, employees or representatives), other than (i) the SEC Reports and (ii) the representations and warranties of BCTG contained in this Subscription Agreement, in making its investment or decision to invest in BCTG.</w:t>
      </w:r>
    </w:p>
    <w:p>
      <w:pPr>
        <w:spacing w:after="0" w:line="173" w:lineRule="exact"/>
        <w:rPr>
          <w:sz w:val="20"/>
          <w:szCs w:val="20"/>
          <w:color w:val="auto"/>
        </w:rPr>
      </w:pPr>
    </w:p>
    <w:p>
      <w:pPr>
        <w:jc w:val="both"/>
        <w:ind w:right="20" w:firstLine="1147"/>
        <w:spacing w:after="0" w:line="317" w:lineRule="auto"/>
        <w:rPr>
          <w:sz w:val="20"/>
          <w:szCs w:val="20"/>
          <w:color w:val="auto"/>
        </w:rPr>
      </w:pPr>
      <w:r>
        <w:rPr>
          <w:rFonts w:ascii="Arial" w:cs="Arial" w:eastAsia="Arial" w:hAnsi="Arial"/>
          <w:sz w:val="14"/>
          <w:szCs w:val="14"/>
          <w:color w:val="auto"/>
        </w:rPr>
        <w:t>f. The Investor acknowledges that it is aware that there are substantial risks incident to the purchase and ownership of the Shares, including those set forth in BCTG’s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27"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g. Alone, or together with any professional advisor(s), the Investor has adequately analyzed and fully considered the risks of an investment in the Shares and that the Investor is able at this time and in the foreseeable future to bear the economic risk of a total loss of the Investor’s investment in BCTG. The Investor acknowledges specifically that a possibility of total loss of investment exists.</w:t>
      </w:r>
    </w:p>
    <w:p>
      <w:pPr>
        <w:spacing w:after="0" w:line="162" w:lineRule="exact"/>
        <w:rPr>
          <w:sz w:val="20"/>
          <w:szCs w:val="20"/>
          <w:color w:val="auto"/>
        </w:rPr>
      </w:pPr>
    </w:p>
    <w:p>
      <w:pPr>
        <w:ind w:left="1300" w:hanging="157"/>
        <w:spacing w:after="0"/>
        <w:tabs>
          <w:tab w:leader="none" w:pos="13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[Reserved].</w:t>
      </w:r>
    </w:p>
    <w:p>
      <w:pPr>
        <w:spacing w:after="0" w:line="198" w:lineRule="exact"/>
        <w:rPr>
          <w:rFonts w:ascii="Arial" w:cs="Arial" w:eastAsia="Arial" w:hAnsi="Arial"/>
          <w:sz w:val="16"/>
          <w:szCs w:val="16"/>
          <w:color w:val="auto"/>
        </w:rPr>
      </w:pPr>
    </w:p>
    <w:p>
      <w:pPr>
        <w:ind w:right="20" w:firstLine="1143"/>
        <w:spacing w:after="0" w:line="255" w:lineRule="auto"/>
        <w:tabs>
          <w:tab w:leader="none" w:pos="126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Assuming the accuracy of BCTG’s representations and warranties set forth in Section 5, no foreign person (as defined in 31 C.F.R. Part 800.224) in which the national or subnational governments of a single foreign state have a substantial interest (as defined in 31 C.F.R. Part 800.244) will acquire a substantial interest in BCTG as a result of the Investor’s purchase of Shares hereunder such that a declaration to the Committee on Foreign Investment in the United States would be mandatory under 31 C.F.R. Part 800.401, and no foreign person will have control (as defined in 31 C.F.R. Part 800.208) over BCTG from and after the Closing as a result of the Investor’s purchase of the Shares hereunder.</w:t>
      </w:r>
    </w:p>
    <w:p>
      <w:pPr>
        <w:spacing w:after="0" w:line="169" w:lineRule="exact"/>
        <w:rPr>
          <w:rFonts w:ascii="Arial" w:cs="Arial" w:eastAsia="Arial" w:hAnsi="Arial"/>
          <w:sz w:val="16"/>
          <w:szCs w:val="16"/>
          <w:color w:val="auto"/>
        </w:rPr>
      </w:pPr>
    </w:p>
    <w:p>
      <w:pPr>
        <w:ind w:right="20" w:firstLine="1143"/>
        <w:spacing w:after="0" w:line="280" w:lineRule="auto"/>
        <w:tabs>
          <w:tab w:leader="none" w:pos="1271"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Except as expressly disclosed in a Schedule 13D or Schedule 13G (or amendments thereto) filed by the Investor with the SEC with respect to the beneficial ownership of BCTG’s common stock prior to the date hereof, the Investor is not currently a member of a “group” (within the meaning of Section 13(d)(3) or Section 14(d)(2) of the Exchange Act, or any successor provision) other than with those persons or entities of the Investor who may be deemed affiliates or control persons acting for the purpose of acquiring, holding or disposing of equity securities of BCTG (within the meaning of Rule 13d-5(b)(1) under the Exchange Act).</w:t>
      </w:r>
    </w:p>
    <w:p>
      <w:pPr>
        <w:spacing w:after="0" w:line="151" w:lineRule="exact"/>
        <w:rPr>
          <w:rFonts w:ascii="Arial" w:cs="Arial" w:eastAsia="Arial" w:hAnsi="Arial"/>
          <w:sz w:val="15"/>
          <w:szCs w:val="15"/>
          <w:color w:val="auto"/>
        </w:rPr>
      </w:pPr>
    </w:p>
    <w:p>
      <w:pPr>
        <w:jc w:val="both"/>
        <w:ind w:right="20" w:firstLine="1143"/>
        <w:spacing w:after="0" w:line="254" w:lineRule="auto"/>
        <w:tabs>
          <w:tab w:leader="none" w:pos="132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making its decision to purchase the Shares, the Investor has relied solely upon (i) the SEC Reports, (ii) the representations and warranties of BCTG contained in this Subscription Agreement and (iii) independent investigation made by the Investor or the investment adviser to which Investor has delegated decision-making authority over investments.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BCTG, Tango, the Transaction, the Transaction Agreement, this Subscription Agreement or the transactions contemplated hereby or thereby, the Shares or the offer and sale of the Shares.</w:t>
      </w:r>
    </w:p>
    <w:p>
      <w:pPr>
        <w:spacing w:after="0" w:line="170" w:lineRule="exact"/>
        <w:rPr>
          <w:rFonts w:ascii="Arial" w:cs="Arial" w:eastAsia="Arial" w:hAnsi="Arial"/>
          <w:sz w:val="16"/>
          <w:szCs w:val="16"/>
          <w:color w:val="auto"/>
        </w:rPr>
      </w:pPr>
    </w:p>
    <w:p>
      <w:pPr>
        <w:ind w:right="20" w:firstLine="1143"/>
        <w:spacing w:after="0" w:line="275" w:lineRule="auto"/>
        <w:tabs>
          <w:tab w:leader="none" w:pos="128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Investor understands that no federal or state agency has passed upon or endorsed the merits of the offering of the Shares or made any findings or determination as to the fairness of this investment.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1" w:name="page192"/>
    <w:bookmarkEnd w:id="191"/>
    <w:p>
      <w:pPr>
        <w:jc w:val="both"/>
        <w:ind w:right="20" w:firstLine="1147"/>
        <w:spacing w:after="0" w:line="275" w:lineRule="auto"/>
        <w:rPr>
          <w:sz w:val="20"/>
          <w:szCs w:val="20"/>
          <w:color w:val="auto"/>
        </w:rPr>
      </w:pPr>
      <w:r>
        <w:rPr>
          <w:rFonts w:ascii="Arial" w:cs="Arial" w:eastAsia="Arial" w:hAnsi="Arial"/>
          <w:sz w:val="16"/>
          <w:szCs w:val="16"/>
          <w:color w:val="auto"/>
        </w:rPr>
        <w:t>m. 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52" w:lineRule="exact"/>
        <w:rPr>
          <w:sz w:val="20"/>
          <w:szCs w:val="20"/>
          <w:color w:val="auto"/>
        </w:rPr>
      </w:pPr>
    </w:p>
    <w:p>
      <w:pPr>
        <w:jc w:val="both"/>
        <w:ind w:firstLine="1147"/>
        <w:spacing w:after="0" w:line="291" w:lineRule="auto"/>
        <w:rPr>
          <w:sz w:val="20"/>
          <w:szCs w:val="20"/>
          <w:color w:val="auto"/>
        </w:rPr>
      </w:pPr>
      <w:r>
        <w:rPr>
          <w:rFonts w:ascii="Arial" w:cs="Arial" w:eastAsia="Arial" w:hAnsi="Arial"/>
          <w:sz w:val="14"/>
          <w:szCs w:val="14"/>
          <w:color w:val="auto"/>
        </w:rPr>
        <w:t>n. The execution, delivery and performance by the Investor of this Subscription Agreement are within the powers of the Investor or the investment adviser to which Investor has delegated decision-making authority over investments,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which would reasonably be expected to have a material adverse effect on the legal authority of the Investor to enter into and perform its obligations under this Subscription Agreement, and, if the Investor is not an individual, will not violate any provisions of the Investor’s charter documents, including, without limitation, its incorporation or formation papers, bylaws, indenture of trust or partnership or operating agreement, as may be applicable. The signature of the Investor or the investment adviser to which Investor has delegated decision-making authority over investments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BCTG, this Subscription Agreement constitutes a legal, valid and binding obligation of the Investor, enforceable against the Investor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47" w:lineRule="exact"/>
        <w:rPr>
          <w:sz w:val="20"/>
          <w:szCs w:val="20"/>
          <w:color w:val="auto"/>
        </w:rPr>
      </w:pPr>
    </w:p>
    <w:p>
      <w:pPr>
        <w:jc w:val="both"/>
        <w:ind w:right="20" w:firstLine="1147"/>
        <w:spacing w:after="0" w:line="270" w:lineRule="auto"/>
        <w:rPr>
          <w:sz w:val="20"/>
          <w:szCs w:val="20"/>
          <w:color w:val="auto"/>
        </w:rPr>
      </w:pPr>
      <w:r>
        <w:rPr>
          <w:rFonts w:ascii="Arial" w:cs="Arial" w:eastAsia="Arial" w:hAnsi="Arial"/>
          <w:sz w:val="15"/>
          <w:szCs w:val="15"/>
          <w:color w:val="auto"/>
        </w:rPr>
        <w:t>o. The Investor is not (i) a person or entity named on the List of Specially Designated Nationals and Blocked Persons administered by the U.S. Treasury Department’s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u w:val="single" w:color="auto"/>
          <w:color w:val="auto"/>
        </w:rPr>
        <w:t>OFAC List</w:t>
      </w:r>
      <w:r>
        <w:rPr>
          <w:rFonts w:ascii="Arial" w:cs="Arial" w:eastAsia="Arial" w:hAnsi="Arial"/>
          <w:sz w:val="15"/>
          <w:szCs w:val="15"/>
          <w:color w:val="auto"/>
        </w:rPr>
        <w:t>”), or a person or entity prohibited by any OFAC sanctions program, (ii) a Designated National as defined in the Cuban Assets Control Regulations, 31 C.F.R. Part 515, or (iii) a non-U.S. shell bank or providing banking services indirectly to a non-U.S. shell bank. The Investor agrees to use commercially reasonable efforts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Arial" w:cs="Arial" w:eastAsia="Arial" w:hAnsi="Arial"/>
          <w:sz w:val="15"/>
          <w:szCs w:val="15"/>
          <w:u w:val="single" w:color="auto"/>
          <w:color w:val="auto"/>
        </w:rPr>
        <w:t>BSA</w:t>
      </w:r>
      <w:r>
        <w:rPr>
          <w:rFonts w:ascii="Arial" w:cs="Arial" w:eastAsia="Arial" w:hAnsi="Arial"/>
          <w:sz w:val="15"/>
          <w:szCs w:val="15"/>
          <w:color w:val="auto"/>
        </w:rPr>
        <w:t>”), as amended by the USA PATRIOT Act of 2001 (the “</w:t>
      </w:r>
      <w:r>
        <w:rPr>
          <w:rFonts w:ascii="Arial" w:cs="Arial" w:eastAsia="Arial" w:hAnsi="Arial"/>
          <w:sz w:val="15"/>
          <w:szCs w:val="15"/>
          <w:u w:val="single" w:color="auto"/>
          <w:color w:val="auto"/>
        </w:rPr>
        <w:t>PATRIOT Act</w:t>
      </w:r>
      <w:r>
        <w:rPr>
          <w:rFonts w:ascii="Arial" w:cs="Arial" w:eastAsia="Arial" w:hAnsi="Arial"/>
          <w:sz w:val="15"/>
          <w:szCs w:val="15"/>
          <w:color w:val="auto"/>
        </w:rPr>
        <w:t>”), and its implementing regulations (collectively, the “</w:t>
      </w:r>
      <w:r>
        <w:rPr>
          <w:rFonts w:ascii="Arial" w:cs="Arial" w:eastAsia="Arial" w:hAnsi="Arial"/>
          <w:sz w:val="15"/>
          <w:szCs w:val="15"/>
          <w:u w:val="single" w:color="auto"/>
          <w:color w:val="auto"/>
        </w:rPr>
        <w:t>BSA/PATRIOT Act</w:t>
      </w:r>
      <w:r>
        <w:rPr>
          <w:rFonts w:ascii="Arial" w:cs="Arial" w:eastAsia="Arial" w:hAnsi="Arial"/>
          <w:sz w:val="15"/>
          <w:szCs w:val="15"/>
          <w:color w:val="auto"/>
        </w:rPr>
        <w:t>”), the Investor, directly or indirectly through a third-party administrator, maintains policies and procedures reasonably designed to comply with applicable obligations under the BSA/PATRIOT Act. To the extent required by applicable law, it, directly or indirectly administrator, maintains policies and procedures reasonably designed for the screening of its investors against the OFAC sanctions programs, including the OFAC List. To the extent required by applicable law, the Investor, directly or indirectly through a third-party administrator, maintains policies and procedures reasonably designed to ensure that the funds held by the Investor and used to purchase the Shares were legally derived.</w:t>
      </w:r>
    </w:p>
    <w:p>
      <w:pPr>
        <w:spacing w:after="0" w:line="160"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p. The Investor acknowledges that no disclosure or offering document has been provided to the Investor by any of the Placement Agents or any of their respective affiliates in connection with the offer and sale of the Shares.</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q. The Investor acknowledges that none of the Placement Agents nor any of their respective directors, officers, employees, representatives and controlling persons have made any independent investigation with respect to BCTG or the Shares or the accuracy, completeness or adequacy of any information supplied to the Investor by BCTG.</w:t>
      </w:r>
    </w:p>
    <w:p>
      <w:pPr>
        <w:spacing w:after="0" w:line="16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r. The Investor acknowledges that in connection with the issue and purchase of the Shares, the Placement Agents have not acted as the Investor’s financial advisor, fiduciary, agent or in any other capacity.</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s. When required to deliver payment to BCTG pursuant to Section 2 above, the Investor will have sufficient funds to pay the Subscription Amount and consummate the purchase and sale of the Shares pursuant to this Subscription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2" w:name="page193"/>
    <w:bookmarkEnd w:id="192"/>
    <w:p>
      <w:pPr>
        <w:jc w:val="both"/>
        <w:ind w:firstLine="1147"/>
        <w:spacing w:after="0" w:line="254" w:lineRule="auto"/>
        <w:rPr>
          <w:sz w:val="20"/>
          <w:szCs w:val="20"/>
          <w:color w:val="auto"/>
        </w:rPr>
      </w:pPr>
      <w:r>
        <w:rPr>
          <w:rFonts w:ascii="Arial" w:cs="Arial" w:eastAsia="Arial" w:hAnsi="Arial"/>
          <w:sz w:val="16"/>
          <w:szCs w:val="16"/>
          <w:color w:val="auto"/>
        </w:rPr>
        <w:t>t. The Investor acknowledges that it is aware that the Placement Agents are acting as BCTG’s placement agents or financial advisors and certain of the Placement Agents are acting as financial advisor to Tango in connection with the Transaction. The Investor further acknowledges that the Placement Agents, their affiliates and their representatives shall be entitled to (1) rely on, and shall be protected in acting upon, any certificate, instrument, notice, letter or any other document or security delivered to any of them by or on behalf of BCTG, including the representations made by BCTG and the Investor herein, and (2) any payments or fees required to be made to them, including pursuant to an indemnification and upon the successful consummation of the purchase and sale of the Shares pursuant to this Subscription Agreement, by BCTG for acting as the placement agents.</w:t>
      </w:r>
    </w:p>
    <w:p>
      <w:pPr>
        <w:spacing w:after="0" w:line="170" w:lineRule="exact"/>
        <w:rPr>
          <w:sz w:val="20"/>
          <w:szCs w:val="20"/>
          <w:color w:val="auto"/>
        </w:rPr>
      </w:pPr>
    </w:p>
    <w:p>
      <w:pPr>
        <w:jc w:val="both"/>
        <w:ind w:firstLine="1147"/>
        <w:spacing w:after="0" w:line="294" w:lineRule="auto"/>
        <w:rPr>
          <w:sz w:val="20"/>
          <w:szCs w:val="20"/>
          <w:color w:val="auto"/>
        </w:rPr>
      </w:pPr>
      <w:r>
        <w:rPr>
          <w:rFonts w:ascii="Arial" w:cs="Arial" w:eastAsia="Arial" w:hAnsi="Arial"/>
          <w:sz w:val="14"/>
          <w:szCs w:val="14"/>
          <w:color w:val="auto"/>
        </w:rPr>
        <w:t>u. The Investor hereby acknowledges and agrees that (a) no Placement Agent shall be construed as a fiduciary for the undersigned Investor in connection herewith, (b) the Placement Agents have not made and will not make any representation or warranty, whether express or implied, of any kind or character and have not provided any advice or recommendation in connection with this Subscription Agreement, (c) the Placement Agents will have no responsibility with respect to (i) any representations, warranties or agreements made by any person or entity under or in connection with the Subscription Agreement or any of the documents furnished pursuant thereto or in connection therewith, or the execution, legality, validity or enforceability (with respect to any person) of any thereof, or (ii) the business, affairs, financial condition, operations, properties or prospects of, or any other matter concerning BCTG or the Transaction, and (d) the Placement Agents shall have no liability or obligation (including without limitation, for or with respect to any losses, claims, damages, obligations, penalties, judgments, awards, liabilities, costs, expenses or disbursements incurred by the Investor, BCTG or any other person or entity), whether in contract, tort or otherwise, to the Investor in respect of this Subscription Agreement.</w:t>
      </w:r>
    </w:p>
    <w:p>
      <w:pPr>
        <w:spacing w:after="0" w:line="143"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v. No broker, finder or other financial consultant has acted on behalf of the Investor in connection with this Subscription Agreement or the transactions contemplated hereby in such a way as to create any liability on BCTG.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93" w:name="page194"/>
    <w:bookmarkEnd w:id="193"/>
    <w:p>
      <w:pPr>
        <w:ind w:left="724" w:hanging="151"/>
        <w:spacing w:after="0"/>
        <w:tabs>
          <w:tab w:leader="none" w:pos="724"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firstLine="1147"/>
        <w:spacing w:after="0" w:line="288" w:lineRule="auto"/>
        <w:rPr>
          <w:rFonts w:ascii="Arial" w:cs="Arial" w:eastAsia="Arial" w:hAnsi="Arial"/>
          <w:sz w:val="16"/>
          <w:szCs w:val="16"/>
          <w:color w:val="auto"/>
        </w:rPr>
      </w:pPr>
      <w:r>
        <w:rPr>
          <w:rFonts w:ascii="Arial" w:cs="Arial" w:eastAsia="Arial" w:hAnsi="Arial"/>
          <w:sz w:val="14"/>
          <w:szCs w:val="14"/>
          <w:color w:val="auto"/>
        </w:rPr>
        <w:t>a. BCTG agrees that, within thirty (30) calendar days after the consummation of the Transaction (the “</w:t>
      </w:r>
      <w:r>
        <w:rPr>
          <w:rFonts w:ascii="Arial" w:cs="Arial" w:eastAsia="Arial" w:hAnsi="Arial"/>
          <w:sz w:val="14"/>
          <w:szCs w:val="14"/>
          <w:u w:val="single" w:color="auto"/>
          <w:color w:val="auto"/>
        </w:rPr>
        <w:t>Filing Deadline</w:t>
      </w:r>
      <w:r>
        <w:rPr>
          <w:rFonts w:ascii="Arial" w:cs="Arial" w:eastAsia="Arial" w:hAnsi="Arial"/>
          <w:sz w:val="14"/>
          <w:szCs w:val="14"/>
          <w:color w:val="auto"/>
        </w:rPr>
        <w:t>”), it will file with the SEC (at its sole cost and expense) a registration statement to register under and in accordance with the provisions of the Securities Act, the resale of all Registrable Securities (as defined below) on Form S-3 or Form S-1 (which in either case shall be filed pursuant to Rule 415 under the Securities Act as a secondary-only registration statement), which shall be on Form S-3 if BCTG is then eligible for such short form, or any similar or successor short form registration or, if BCTG is not then eligible for such short form registration or would not be able to register for resale all of the Registrable Securities on Form S-3, on Form S-1 or any similar or successor long form registration registering the resale of such Shares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and it shall use its commercially reasonable efforts to have the Registration Statement declared effective as soon as practicable after the filing</w:t>
      </w:r>
    </w:p>
    <w:p>
      <w:pPr>
        <w:spacing w:after="0" w:line="1" w:lineRule="exact"/>
        <w:rPr>
          <w:sz w:val="20"/>
          <w:szCs w:val="20"/>
          <w:color w:val="auto"/>
        </w:rPr>
      </w:pPr>
    </w:p>
    <w:p>
      <w:pPr>
        <w:jc w:val="both"/>
        <w:ind w:left="4"/>
        <w:spacing w:after="0" w:line="279" w:lineRule="auto"/>
        <w:rPr>
          <w:sz w:val="20"/>
          <w:szCs w:val="20"/>
          <w:color w:val="auto"/>
        </w:rPr>
      </w:pPr>
      <w:r>
        <w:rPr>
          <w:rFonts w:ascii="Arial" w:cs="Arial" w:eastAsia="Arial" w:hAnsi="Arial"/>
          <w:sz w:val="14"/>
          <w:szCs w:val="14"/>
          <w:color w:val="auto"/>
        </w:rPr>
        <w:t>thereof, but no later than the earlier of (1) the 60th calendar day after the consummation of the Transaction (or 90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calendar day if the SEC notifies BCTG that it will “review” the Registration Statement) and (2) the fifth business day after the date BCTG is notified (orally or in writing, whichever is earlier) by the SEC that the Registration Statement will not be “reviewed” or will not be subject to further review (the “</w:t>
      </w:r>
      <w:r>
        <w:rPr>
          <w:rFonts w:ascii="Arial" w:cs="Arial" w:eastAsia="Arial" w:hAnsi="Arial"/>
          <w:sz w:val="14"/>
          <w:szCs w:val="14"/>
          <w:u w:val="single" w:color="auto"/>
          <w:color w:val="auto"/>
        </w:rPr>
        <w:t>Effectiveness Date</w:t>
      </w:r>
      <w:r>
        <w:rPr>
          <w:rFonts w:ascii="Arial" w:cs="Arial" w:eastAsia="Arial" w:hAnsi="Arial"/>
          <w:sz w:val="14"/>
          <w:szCs w:val="14"/>
          <w:color w:val="auto"/>
        </w:rPr>
        <w:t>”). BCTG will use its commercially reasonable efforts to provide a draft of the Registration Statement to the Investor for review at least two (2) business days in advance of the filing of the Registration Statement; provided that, for the avoidance of doubt, in no event shall BCTG be required to delay or postpone the filing of such Registration Statement as a result of or in connection with the Investor’s review. Any failure by BCTG to file the Registration Statement by the Filing Deadline or to effect such Registration Statement by the Effectiveness Date shall not otherwise relieve BCTG of its obligations to file a Registration Statement as set forth above in Section 7. BCTG shall promptly notify the Investor of the effectiveness of the Registration Statement. BCTG shall file with the SEC a final form of prospectus pursuant to Rule 424 (or successor thereto) under the Securities Act no later than the second business day after the Registration Statement becomes effective. The Registration Statement shall include a “plan of distribution” that permits all lawful means of disposition of the Registrable Securities by the Investor, including block sales, agented transactions, sales directly into the market and other customary provisions (but, excluding for the avoidance of doubt, underwritten offerings). BCTG agrees to cause such Registration Statement, or another shelf registration statement that includes the Registrable Securities, to remain effective, except for such times as BCTG is expressly permitted hereunder to suspend the use of the prospectus forming part of the Registration Statement, until the earliest of (i) the fourth anniversary of the Closing, (ii) the date on which the Investor ceases to hold any Registrable Securities, or (iii) on the first date on which the Investor can sell all of its Registrable Securities under Rule 144 of the Securities Act without volume or manner of sale limitations and without the requirement for BCTG to be in compliance with the current public information required under Rule 144(c)(2) (or Rule 144(i)(2), if applicable). In no event shall the Investor be identified as a statutory underwriter in the Registration Statement; provided, that if the SEC requires that the Investor be identified as a statutory underwriter in the Registration Statement, the Investor will have the option, in its sole and absolute discretion, to either (i) have the opportunity to withdraw from the Registration Statement upon its prompt written request to BCTG, in which case BCTG’s obligation to register the Registrable Securities will be deemed satisfied or (ii) be included as such in the Registration Statement. Notwithstanding the foregoing, if the SEC prevents BCTG from including any or all of the Shares proposed to be registered under the Registration Statement due to limitations on the use of Rule 415 of the Securities Act for the resale of the Shares by the applicable shareholders or otherwise, BCTG shall use its best efforts to ensure that the SEC determines that (1) the offering contemplated by the Registration Statement is a bona fide secondary offering and not an offering “by or on behalf of the issuer” as defined in Rule 415 of the Securities Act and</w:t>
      </w:r>
    </w:p>
    <w:p>
      <w:pPr>
        <w:jc w:val="both"/>
        <w:ind w:left="4" w:hanging="4"/>
        <w:spacing w:after="0" w:line="286" w:lineRule="auto"/>
        <w:tabs>
          <w:tab w:leader="none" w:pos="233"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Investor is not a statutory underwriter. If BCTG is unsuccessful in the efforts described in the preceding sentence then BCTG shall cause such Registration Statement to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and as promptly as practicable after being permitted to register additional Shares under Rule 415 under the Securities Act, BCTG shall amend the Registration Statement or file a new Registration Statement (such amendment or new Registration Statement shall also be deemed to be a “Registration Statement” hereunder) to register such additional Shares and cause such Registration Statement to become effective as promptly as practicable after the filing thereof, but in any event no later than thirty (30) calendar days after the filing of such Registration Statement (the “</w:t>
      </w:r>
      <w:r>
        <w:rPr>
          <w:rFonts w:ascii="Arial" w:cs="Arial" w:eastAsia="Arial" w:hAnsi="Arial"/>
          <w:sz w:val="14"/>
          <w:szCs w:val="14"/>
          <w:u w:val="single" w:color="auto"/>
          <w:color w:val="auto"/>
        </w:rPr>
        <w:t>Additional Effectiveness Date</w:t>
      </w:r>
      <w:r>
        <w:rPr>
          <w:rFonts w:ascii="Arial" w:cs="Arial" w:eastAsia="Arial" w:hAnsi="Arial"/>
          <w:sz w:val="14"/>
          <w:szCs w:val="14"/>
          <w:color w:val="auto"/>
        </w:rPr>
        <w:t>”); provided, that the Additional Effectiveness Date shall be extended to sixty (60) calendar days after the filing of such Registration Statement if such Registration Statement is reviewed by, and comments thereto are provided from, the SEC; provided, further BCTG shall have such Registration Statement declared effective within five (5) business days after the date BCTG is notified in writing by the SEC that such Registration Statement will not be “reviewed” or will not be subject to further review. BCTG’s obligations to include the Registrable Securities for resale in the Registration Statement are contingent upon the Investor furnishing in writing to BCTG such information regarding the Investor, the securities of BCTG held by the Investor and the intended method of disposition of such Registrable Securities as shall be reasonably requested by BCTG to effect the registration of such Registrable Securities, and shall execute such documents in connection with such registration as BCTG may reasonably request that are customary of a selling stockholder in similar situations. Investor shall not be entitled to use the Registration Statement for an underwritten offering. For as long as the Registration Statement is required to remain effective pursuant to this Section 7(a), BCTG will use commercially reasonable efforts to (1) qualify the Registrable Securities for listing on the Nasdaq Capital Market or such other national securities exchange upon which the Shares are then listed, and (2) update or amend the Registration Statement as necessary to include all of the Shares offered hereby. For as long as the Investor holds the Registrable Securities being offered hereby, BCTG will use commercially reasonable efforts to (A) make and keep public information available, as those terms are understood and defined in Rule 144, (B) file in a timely manner all reports and other documents with the SEC required under the Exchange Act, as long as BCTG remains subject to such requirements, and (C) provide all customary and reasonable cooperation necessary, in each case, to enable the undersigned to resell Registrable Securities pursuant to the Registration Statement or Rule 144 of the Securities Act (when Rule 144 of the Securities Act becomes available to the Investor), as applicable, including providing any legal opinions to BCTG’s transfer agent. BCTG shall cause any restrictive legends related to the book-entry account holding the Shares acquired pursuant to this Agreement (or certificates related thereto) to be removed (and such Shares shall not be subject to any stop-transfer instructions) if (i) such Shares are registered for resale under the Securities Act (provided that, if the Investor is selling pursuant to an effective registration statement registering the Shares for resale, the Investor agrees to only sell such Shares during such time that such registration statement is effective and not withdrawn or suspended, and only as permitted by such registration statement), (ii) in connection with a sale, assignment or other transfer, to the extent such legend is no longer required, the Investor provides BCTG with an opinion of counsel, in customary form, to the effect that the sale, assignment or transfer of the Shares may be made without registration under the applicable requirements of the Securities Act, or (iii) the Investor provides BCTG with reasonable assurance that the Shares can be sold, assigned or transferred pursuant to Rule 144 of the Securities Act without volume or manner-of-sale restrictions (which shall be satisfied, at any time after Rule 144 first becomes available for the resale of the Shares, if the Investor certifies that it is not an “affiliate” of BCTG (as such term is used under Rule 144) and that the Investor’s holding period for purposes of Rule 144 with respect to such Shares is at least six (6) months) or have been or are being sold pursuant to Rule 144. BCTG agrees that, following such time as any of the foregoing conditions is met, it will, no later than the earlier of (x) two (2) Trading Days and (y) the number of Trading Days comprising the Standard Settlement Period following the delivery by the Investor to BCTG or the transfer agent for the Shares (the “</w:t>
      </w:r>
      <w:r>
        <w:rPr>
          <w:rFonts w:ascii="Arial" w:cs="Arial" w:eastAsia="Arial" w:hAnsi="Arial"/>
          <w:sz w:val="14"/>
          <w:szCs w:val="14"/>
          <w:u w:val="single" w:color="auto"/>
          <w:color w:val="auto"/>
        </w:rPr>
        <w:t>Transfer Agent</w:t>
      </w:r>
      <w:r>
        <w:rPr>
          <w:rFonts w:ascii="Arial" w:cs="Arial" w:eastAsia="Arial" w:hAnsi="Arial"/>
          <w:sz w:val="14"/>
          <w:szCs w:val="14"/>
          <w:color w:val="auto"/>
        </w:rPr>
        <w:t>”) of a book-entry account or certificate representing Shares issued with a restrictive legend, deliver or cause the Transfer Agent to deliver to the Investor a book-entry account or certificate representing such Shares or, at the request of the Investor, deliver or cause to be delivered the Shares to the Investor by crediting the account of the Investor’s prime broker with DTC through its Deposit/Withdrawal at Custodian (DWAC) system, in each case, free from all restrictive and other legends and stop transfer instructions (or similar notations). For purposes hereof, “</w:t>
      </w:r>
      <w:r>
        <w:rPr>
          <w:rFonts w:ascii="Arial" w:cs="Arial" w:eastAsia="Arial" w:hAnsi="Arial"/>
          <w:sz w:val="14"/>
          <w:szCs w:val="14"/>
          <w:u w:val="single" w:color="auto"/>
          <w:color w:val="auto"/>
        </w:rPr>
        <w:t>Trading Day</w:t>
      </w:r>
      <w:r>
        <w:rPr>
          <w:rFonts w:ascii="Arial" w:cs="Arial" w:eastAsia="Arial" w:hAnsi="Arial"/>
          <w:sz w:val="14"/>
          <w:szCs w:val="14"/>
          <w:color w:val="auto"/>
        </w:rPr>
        <w:t>” means any day on which the Shares are traded for any period on Nasdaq or, if Nasdaq is not the principal trading market for the Shares, on the principal trading market or other securities exchange or market on which the Share then being traded; provided, however, that during any period in which the Shares are not listed or quoted on Nasdaq or any other securities exchange or market, the term “</w:t>
      </w:r>
      <w:r>
        <w:rPr>
          <w:rFonts w:ascii="Arial" w:cs="Arial" w:eastAsia="Arial" w:hAnsi="Arial"/>
          <w:sz w:val="14"/>
          <w:szCs w:val="14"/>
          <w:u w:val="single" w:color="auto"/>
          <w:color w:val="auto"/>
        </w:rPr>
        <w:t>Trading Day</w:t>
      </w:r>
      <w:r>
        <w:rPr>
          <w:rFonts w:ascii="Arial" w:cs="Arial" w:eastAsia="Arial" w:hAnsi="Arial"/>
          <w:sz w:val="14"/>
          <w:szCs w:val="14"/>
          <w:color w:val="auto"/>
        </w:rPr>
        <w:t>” shall mean a business day, and “</w:t>
      </w:r>
      <w:r>
        <w:rPr>
          <w:rFonts w:ascii="Arial" w:cs="Arial" w:eastAsia="Arial" w:hAnsi="Arial"/>
          <w:sz w:val="14"/>
          <w:szCs w:val="14"/>
          <w:u w:val="single" w:color="auto"/>
          <w:color w:val="auto"/>
        </w:rPr>
        <w:t>Standard Settlement Period</w:t>
      </w:r>
      <w:r>
        <w:rPr>
          <w:rFonts w:ascii="Arial" w:cs="Arial" w:eastAsia="Arial" w:hAnsi="Arial"/>
          <w:sz w:val="14"/>
          <w:szCs w:val="14"/>
          <w:color w:val="auto"/>
        </w:rPr>
        <w:t>” means, as of any date, the standard settlement period for equity trades effected on securities exchanges in the United States, expressed in a number of Trading Days, as in effect on such date. Notwithstanding any of the foregoing, assuming the Investor does not hold any shares of capital stock of Tango as of the date hereof, the Investor shall not be required to sign any form of lock-up agreement. “</w:t>
      </w:r>
      <w:r>
        <w:rPr>
          <w:rFonts w:ascii="Arial" w:cs="Arial" w:eastAsia="Arial" w:hAnsi="Arial"/>
          <w:sz w:val="14"/>
          <w:szCs w:val="14"/>
          <w:u w:val="single" w:color="auto"/>
          <w:color w:val="auto"/>
        </w:rPr>
        <w:t>Registrable Securities</w:t>
      </w:r>
      <w:r>
        <w:rPr>
          <w:rFonts w:ascii="Arial" w:cs="Arial" w:eastAsia="Arial" w:hAnsi="Arial"/>
          <w:sz w:val="14"/>
          <w:szCs w:val="14"/>
          <w:color w:val="auto"/>
        </w:rPr>
        <w:t>” shall mean, as of any date of determination, the Shares and any other equity security issued or issuable with respect to the Shares by way of share split, dividend, distribution, recapitalization, merger, exchange, replacement or similar event. For purposes of this Section 7, an “Investor” shall include any person to whom the Investor has assigned its rights under Section 11(a).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94" w:name="page195"/>
    <w:bookmarkEnd w:id="194"/>
    <w:p>
      <w:pPr>
        <w:jc w:val="both"/>
        <w:ind w:firstLine="1147"/>
        <w:spacing w:after="0" w:line="269" w:lineRule="auto"/>
        <w:rPr>
          <w:sz w:val="20"/>
          <w:szCs w:val="20"/>
          <w:color w:val="auto"/>
        </w:rPr>
      </w:pPr>
      <w:r>
        <w:rPr>
          <w:rFonts w:ascii="Arial" w:cs="Arial" w:eastAsia="Arial" w:hAnsi="Arial"/>
          <w:sz w:val="15"/>
          <w:szCs w:val="15"/>
          <w:color w:val="auto"/>
        </w:rPr>
        <w:t>b. Notwithstanding anything to the contrary contained herein, BCTG may delay or postpone filing an acceleration request in respect of such Registration Statement, and from time to time require the Investor not to sell under the Registration Statement or suspend the use or effectiveness of any such Registration Statement, if the board of directors of BCTG reasonably determines in good faith upon the advice of counsel that in order for the Registration Statement to not contain a material misstatement or omission, an amendment thereto would be needed to include information that would at that time not otherwise be required in a current, quarterly, or annual report under the Exchange Act, or if such filing or use would materially adversely affect a significant bona fide financing, acquisition or similar transaction of BCTG or would require premature disclosure of material information that could materially adversely affect BCTG and BCTG has a bona fide business purpose for preserving as confidential (each such circumstance, a “</w:t>
      </w:r>
      <w:r>
        <w:rPr>
          <w:rFonts w:ascii="Arial" w:cs="Arial" w:eastAsia="Arial" w:hAnsi="Arial"/>
          <w:sz w:val="15"/>
          <w:szCs w:val="15"/>
          <w:u w:val="single" w:color="auto"/>
          <w:color w:val="auto"/>
        </w:rPr>
        <w:t>Suspension Event</w:t>
      </w:r>
      <w:r>
        <w:rPr>
          <w:rFonts w:ascii="Arial" w:cs="Arial" w:eastAsia="Arial" w:hAnsi="Arial"/>
          <w:sz w:val="15"/>
          <w:szCs w:val="15"/>
          <w:color w:val="auto"/>
        </w:rPr>
        <w:t xml:space="preserve">”); provided, that, (I) BCTG shall not so delay filing or so suspend the use of the Registration Statement for a period of more than thirty (30) consecutive days, not more than twice or more than a total of sixty (60) calendar days, in each case in any three hundred sixty (360) day period and (II) BCTG shall use commercially reasonable efforts to make such Registration Statement available for the sale by the Investor of such securities as soon as practicable thereafter. If so directed by BCTG, the Investor will destroy all copies of the prospectus covering the Shares in the Investor’s possession;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 Notwithstanding anything to the contrary, BCTG shall cause its transfer agent to deliver unlegended Shares to a transferee of an Investor in connection with any sale of Shares with respect to which an Investor has entered into a contract for sale, prior to such Investor’s receipt of the notice of a Suspension Event and for which such Investor has not yet settled.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5" w:name="page196"/>
    <w:bookmarkEnd w:id="195"/>
    <w:p>
      <w:pPr>
        <w:jc w:val="both"/>
        <w:ind w:firstLine="1147"/>
        <w:spacing w:after="0" w:line="287" w:lineRule="auto"/>
        <w:rPr>
          <w:sz w:val="20"/>
          <w:szCs w:val="20"/>
          <w:color w:val="auto"/>
        </w:rPr>
      </w:pPr>
      <w:r>
        <w:rPr>
          <w:rFonts w:ascii="Arial" w:cs="Arial" w:eastAsia="Arial" w:hAnsi="Arial"/>
          <w:sz w:val="14"/>
          <w:szCs w:val="14"/>
          <w:color w:val="auto"/>
        </w:rPr>
        <w:t>c. At its expense BCTG shall advise the Investor within five (5) business days: (i) when a Registration Statement or any post-effective amendment thereto has been filed with the SEC and when such Registration Statement or post-effective amendment thereto has become effective; (ii) after it shall receive notice or obtain knowledge thereof, of any request by the SEC for amendments or supplements to any Registration Statement or the prospectus included therein or for additional information; (iii) after it shall have received notice or obtained knowledge thereof, of the issuance by the SEC of any stop order suspending the effectiveness of any Registration Statement or the initiation of any proceedings for such purpose; (iv) of the receipt by BCTG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Upon receipt of any written notice from BCTG (which notice shall not contain any material non-public information and which notice shall not be subject to any duty of confidentiality)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it will promptly discontinue offers and sales of the Shares under the Registration Statement (excluding, for the avoidance of doubt, sales conducted pursuant to Rule 144 or the consummation of any sale pursuant to a contract entered into, or order placed, by the Investor prior to receipt of notice described in this sentence) until the Investor receives copies of a supplemental or amended prospectus (which BCTG agrees to promptly prepare) that corrects the misstatement(s) or omission(s) referred to above and receives notice that any post-effective amendment has become effective or unless otherwise notified by BCTG that it may resume such offers and sales (which notice shall not contain any material non-public information and which notice shall not be subject to any duty of confidentiality). Upon the occurrence of any event contemplated in clauses (i) through (v) above, except for such times as BCTG is permitted hereunder to suspend, and has suspended, the use of a prospectus forming part of a Registration Statement, BCTG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 The Investor may deliver written notice (an “</w:t>
      </w:r>
      <w:r>
        <w:rPr>
          <w:rFonts w:ascii="Arial" w:cs="Arial" w:eastAsia="Arial" w:hAnsi="Arial"/>
          <w:sz w:val="14"/>
          <w:szCs w:val="14"/>
          <w:u w:val="single" w:color="auto"/>
          <w:color w:val="auto"/>
        </w:rPr>
        <w:t>Opt-Out Notice</w:t>
      </w:r>
      <w:r>
        <w:rPr>
          <w:rFonts w:ascii="Arial" w:cs="Arial" w:eastAsia="Arial" w:hAnsi="Arial"/>
          <w:sz w:val="14"/>
          <w:szCs w:val="14"/>
          <w:color w:val="auto"/>
        </w:rPr>
        <w:t>”) to BCTG requesting that the Investor not receive notices from BCTG otherwise required by this Section 7(c); provided, however, that the Investor may later revoke any such Opt-Out Notice in writing. Following receipt of an Opt-Out Notice from the Investor (unless subsequently revoked), (i) BCTG shall not deliver any such notices to the Investor and the Investor shall no longer be entitled to the rights associated with any such notice and (ii) the Investor will notify BCTG in writing at least two (2) business days in advance of each intended use of an effective Registration Statement, and if a notice of a Suspension Event (as defined below) was previously delivered (or would have been delivered but for the provisions of this Section 7(a)) and the related suspension period remains in effect, BCTG will so notify Investor, within one (1) business day of the Investor’s notification to BCTG, by delivering to the Investor a copy of such previous notice of Suspension Event, and thereafter will provide the Investor with the related notice of the conclusion of such Suspension Event promptly following its availability.</w:t>
      </w:r>
    </w:p>
    <w:p>
      <w:pPr>
        <w:spacing w:after="0" w:line="345"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d. For purposes of this Section 7, “Shares” shall mean, as of any date of determination, the Shares beneficially owned by the Investor and any other equity security issued or issuable with respect to such Shares by way of share split, dividend, distribution, recapitalization, merger, exchange, replacement or similar event, and “Investor” shall include person to whom the Investor has duly assigned its rights pursuant to the terms of this Subscription Agreement.</w:t>
      </w:r>
    </w:p>
    <w:p>
      <w:pPr>
        <w:spacing w:after="0" w:line="146" w:lineRule="exact"/>
        <w:rPr>
          <w:sz w:val="20"/>
          <w:szCs w:val="20"/>
          <w:color w:val="auto"/>
        </w:rPr>
      </w:pPr>
    </w:p>
    <w:p>
      <w:pPr>
        <w:ind w:left="1300" w:hanging="157"/>
        <w:spacing w:after="0"/>
        <w:tabs>
          <w:tab w:leader="none" w:pos="13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[Reserved].</w:t>
      </w:r>
    </w:p>
    <w:p>
      <w:pPr>
        <w:spacing w:after="0" w:line="198" w:lineRule="exact"/>
        <w:rPr>
          <w:rFonts w:ascii="Arial" w:cs="Arial" w:eastAsia="Arial" w:hAnsi="Arial"/>
          <w:sz w:val="16"/>
          <w:szCs w:val="16"/>
          <w:color w:val="auto"/>
        </w:rPr>
      </w:pPr>
    </w:p>
    <w:p>
      <w:pPr>
        <w:ind w:right="20" w:firstLine="1143"/>
        <w:spacing w:after="0" w:line="288" w:lineRule="auto"/>
        <w:tabs>
          <w:tab w:leader="none" w:pos="132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BCTG shall, notwithstanding any termination of this Subscription Agreement, indemnify, defend and hold harmless the Investor (to the extent a seller under the Registration Statement) and its officers, directors, agents, partners, members, stockholders, affiliates, managers, investment advisers and employees, and each person who controls the Investor (within the meaning of Section 15 of the Securities Act or Section 20 of the Exchange Act), to the fullest extent permitted by applicable law, from and against any and all losses, claims, damages, liabilities, costs (including, without limitation, reasonable external attorneys’ fees and expenses incurred in connection with defending or investigating any such action or claim) and expenses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or (ii) any violation or alleged violation by BCTG of the Securities Act, Exchange Act or any state securities law or any rule or regulation thereunder, in connection with the performance of its obligations under this Section 7, except insofar as and to the extent, but only to the extent, that such untrue statements, alleged untrue statements, omissions or alleged omissions are based solely upon information regarding the Investor furnished in writing to BCTG by such Investor expressly for use therein; provided, however, that the indemnification contained in this Section 7 shall not apply to amounts paid in settlement of any Losses if such settlement is effected without the consent of BCTG (which consent shall not be unreasonably withheld, conditioned or delayed), nor shall BCTG be liable for any Losses to the extent they arise out of or are based upon a violation which occurs (A) in connection with any failure of the Investor to deliver or cause to be delivered a prospectus made available by BCTG in a timely manner, (B) as a result of offers or sales effected by or on behalf of the Investor by means of a “free writing prospectus” (as defined in Rule 405 under the Securities Act) that was not authorized in writing by BCTG, or (C) in connection with any offers or sales effected by or on behalf of such Investor in violation of Section 7(b) hereof after having received notice as set forth in Section 7(c). BCTG shall notify the Investor promptly of the institution, threat or assertion of any proceeding arising from or in connection with the transactions contemplated by this Section 7 of which BCTG is aware. Such indemnity shall remain in full force and effect regardless of any investigation made by or on behalf of an indemnified party and shall survive the transfer of the Shares by the Investor.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6" w:name="page197"/>
    <w:bookmarkEnd w:id="196"/>
    <w:p>
      <w:pPr>
        <w:jc w:val="both"/>
        <w:ind w:firstLine="1147"/>
        <w:spacing w:after="0" w:line="269" w:lineRule="auto"/>
        <w:rPr>
          <w:sz w:val="20"/>
          <w:szCs w:val="20"/>
          <w:color w:val="auto"/>
        </w:rPr>
      </w:pPr>
      <w:r>
        <w:rPr>
          <w:rFonts w:ascii="Arial" w:cs="Arial" w:eastAsia="Arial" w:hAnsi="Arial"/>
          <w:sz w:val="15"/>
          <w:szCs w:val="15"/>
          <w:color w:val="auto"/>
        </w:rPr>
        <w:t>g. The Investor shall, severally and not jointly with any Other Investor, indemnify and hold harmless BCTG, its directors, officers, agents and employees, and each person who controls BCTG (within the meaning of Section 15 of the Securities Act and Section 20 of the Exchange Act), to the fullest extent permitted by applicable law, from and against all Losses, as incurred, arising out of or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 omissions or alleged omissions are based solely upon information regarding such Investor furnished in writing to BCTG by such Investor expressly for use therein; provided, however, that the indemnification contained in this Section 7(g) shall not apply to amounts paid in settlement of any Losses if such settlement is effected without the consent of such Investor (which consent shall not be unreasonably withheld, conditioned or delayed). In no event shall the liability of such Investor be greater in amount than the dollar amount of the net proceeds received by such Investor upon the sale of the Shares giving rise to such indemnification obligation. Investor shall notify BCTG promptly of the institution, threat or assertion of any proceeding arising from or in connection with the transactions contemplated by this Section 7 of which such Investor is aware, provided that a failure by Investor to provide such notice shall not impact Investor’s right to be indemnified hereunder unless BCTG is actually and materially prejudiced thereby. Such indemnity shall remain in full force and effect regardless of any investigation made by or on behalf of an indemnified party and shall survive the transfer of the Shares by Investor.</w:t>
      </w:r>
    </w:p>
    <w:p>
      <w:pPr>
        <w:spacing w:after="0" w:line="161"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h. If the indemnification provided under this Section 7 from the indemnifying party is unavailable or insufficient to hold harmless an indemnified party in respect of any Losses,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7,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7(h) shall be several, and not joint with any Other Investor, and in no event shall the liability of Investor hereunder be greater in amount than the dollar amount of the net proceeds received by such Investor upon the sale of the Shares giving rise to such indemnification obligation.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7" w:name="page198"/>
    <w:bookmarkEnd w:id="197"/>
    <w:p>
      <w:pPr>
        <w:jc w:val="both"/>
        <w:ind w:firstLine="569"/>
        <w:spacing w:after="0" w:line="270" w:lineRule="auto"/>
        <w:tabs>
          <w:tab w:leader="none" w:pos="733"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September 30, 2021; or (d) if any of the conditions to Closing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herein will relieve any party from liability for any willful breach hereof prior to the time of termination, and each party will be entitled to any remedies at law or in equity to recover reasonable and documented losses, liabilities or damages arising from any such breach. BCTG shall notify the Investor of the termination of the Transaction Agreement promptly after the termination of the Transaction Agreement. Upon the occurrence of any event described in any clauses (a) through (d) above, except for the proviso in the first sentence of this Section 8, this Subscription Agreement shall be void and of no further effect and any monies paid by the Investor to BCTG in connection herewith shall promptly (and in any event within one business day) following such termination event be returned to the Investor by wire transfer of U.S. dollars in immediately available funds to the account specified by Investor, without any deduction for or on account of any tax withholding, charges or set-off.</w:t>
      </w:r>
    </w:p>
    <w:p>
      <w:pPr>
        <w:spacing w:after="0" w:line="157" w:lineRule="exact"/>
        <w:rPr>
          <w:rFonts w:ascii="Arial" w:cs="Arial" w:eastAsia="Arial" w:hAnsi="Arial"/>
          <w:sz w:val="15"/>
          <w:szCs w:val="15"/>
          <w:color w:val="auto"/>
        </w:rPr>
      </w:pPr>
    </w:p>
    <w:p>
      <w:pPr>
        <w:jc w:val="both"/>
        <w:ind w:firstLine="569"/>
        <w:spacing w:after="0" w:line="289" w:lineRule="auto"/>
        <w:tabs>
          <w:tab w:leader="none" w:pos="733"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The Investor hereby acknowledges that, as described in BCTG’s prospectus dated September 2, 2020 relating to its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 available at www.sec.gov, BCTG has established a trust account (the “</w:t>
      </w:r>
      <w:r>
        <w:rPr>
          <w:rFonts w:ascii="Arial" w:cs="Arial" w:eastAsia="Arial" w:hAnsi="Arial"/>
          <w:sz w:val="14"/>
          <w:szCs w:val="14"/>
          <w:u w:val="single" w:color="auto"/>
          <w:color w:val="auto"/>
        </w:rPr>
        <w:t>Trust Account</w:t>
      </w:r>
      <w:r>
        <w:rPr>
          <w:rFonts w:ascii="Arial" w:cs="Arial" w:eastAsia="Arial" w:hAnsi="Arial"/>
          <w:sz w:val="14"/>
          <w:szCs w:val="14"/>
          <w:color w:val="auto"/>
        </w:rPr>
        <w:t>”) containing the proceeds of the IPO and certain private placements occurring simultaneously with the IPO (including interest accrued from time to time thereon) for the benefit of BCTG’s public stockholders and certain other parties (including the underwriters of the IPO). For and in consideration of BCTG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as a result of, in connection with or relating in any way to this Subscription Agreement, and regardless of whether such claim arises based on contract, tort, equity or any other theory of legal liability; provided, however, that nothing in this Section 9 shall (x) serve to limit or prohibit the Investor’s right to pursue a claim against BCTG for legal relief against assets held outside the Trust Account, for specific performance or other equitable relief, (y) serve to limit or prohibit any claims that the Investor may have in the future against BCTG’s assets or funds that are not held in the Trust Account (including any funds that have been released from the Trust Account and any assets that have been purchased or acquired with any such funds), or (z) be deemed to limit or prohibit (i) the Investor’s right to pursue a claim against BCTG for legal relief against assets held outside the Trust Account, for specific performance or other equitable relief, (ii) any claims that the Investor may have in the future against BCTG’s assets or funds that are not held in the Trust Account (including any funds that have been released from the Trust Account and any assets that have been purchased or acquired with any such funds), (iii) the Investor’s right to distributions from the Trust Account in respect of Shares held by the Investor acquired by any means other than pursuant to this Subscription Agreement or (iv) the Investor’s right, title, interest or claim to any monies held in the Trust Account by virtue of its record or beneficial ownership of Shares currently outstanding on the date hereof or hereinafter acquired (other than Shares to be acquired pursuant to this Subscription Agreement), pursuant to a validly exercised redemption right with respect to any such Shares, except to the extent that the Investor has otherwise agreed in writing with BCTG to not exercise such redemption right.</w:t>
      </w:r>
    </w:p>
    <w:p>
      <w:pPr>
        <w:spacing w:after="0" w:line="339" w:lineRule="exact"/>
        <w:rPr>
          <w:rFonts w:ascii="Arial" w:cs="Arial" w:eastAsia="Arial" w:hAnsi="Arial"/>
          <w:sz w:val="14"/>
          <w:szCs w:val="14"/>
          <w:color w:val="auto"/>
        </w:rPr>
      </w:pPr>
    </w:p>
    <w:p>
      <w:pPr>
        <w:ind w:left="800" w:hanging="231"/>
        <w:spacing w:after="0"/>
        <w:tabs>
          <w:tab w:leader="none" w:pos="80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Neither this Subscription Agreement nor any rights that may accrue to the Investor hereunder (other than the Shares acquired hereunder, if any, and the rights set forth in Section 7) or BCTG may be transferred or assigned without the prior written consent of each of the other parties hereto other than an assignment by the Investor to any fund or account managed or advised by the same general partner, managing member or investment manager as the Investor or an affiliate thereof.</w:t>
      </w:r>
    </w:p>
    <w:p>
      <w:pPr>
        <w:spacing w:after="0" w:line="146" w:lineRule="exact"/>
        <w:rPr>
          <w:rFonts w:ascii="Arial" w:cs="Arial" w:eastAsia="Arial" w:hAnsi="Arial"/>
          <w:sz w:val="15"/>
          <w:szCs w:val="15"/>
          <w:color w:val="auto"/>
        </w:rPr>
      </w:pPr>
    </w:p>
    <w:p>
      <w:pPr>
        <w:jc w:val="both"/>
        <w:ind w:right="20" w:firstLine="1143"/>
        <w:spacing w:after="0" w:line="255" w:lineRule="auto"/>
        <w:tabs>
          <w:tab w:leader="none" w:pos="131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BCTG may request from the Investor such additional information as BCTG may deem in good faith reasonably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BCTG agrees to keep any such information provided by the Investor confidential. The Investor acknowledges that BCTG may file a copy of the form of this Subscription Agreement with the SEC as an exhibit to a periodic report of BCTG or a registration statement of BCTG.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8" w:name="page199"/>
    <w:bookmarkEnd w:id="198"/>
    <w:p>
      <w:pPr>
        <w:jc w:val="both"/>
        <w:ind w:firstLine="1147"/>
        <w:spacing w:after="0" w:line="273" w:lineRule="auto"/>
        <w:rPr>
          <w:sz w:val="20"/>
          <w:szCs w:val="20"/>
          <w:color w:val="auto"/>
        </w:rPr>
      </w:pPr>
      <w:r>
        <w:rPr>
          <w:rFonts w:ascii="Arial" w:cs="Arial" w:eastAsia="Arial" w:hAnsi="Arial"/>
          <w:sz w:val="15"/>
          <w:szCs w:val="15"/>
          <w:color w:val="auto"/>
        </w:rPr>
        <w:t>c. The Investor acknowledges that (i) BCTG will rely on the acknowledgments, understandings, agreements, representations and warranties contained in this Subscription Agreement that are made by the Investor (ii) the Placement Agents will rely on the acknowledgements, understandings, agreements, representations and warranties contained in Section 6, this Section 11 (to the extent applicable to them) and Section 12. Prior to the Closing, the Investor agrees to promptly notify BCTG if any of the Investor’s acknowledgments, understandings, agreements, representations and warranties of the Investor set forth herein are no longer accurate in any material respect. BCTG acknowledges that the Investor and others will rely on the acknowledgments, understandings, agreements, representations and warranties contained in this Subscription Agreement that are made by BCTG. Prior to the Closing, BCTG agrees to promptly notify the Investor if any of the acknowledgments, understandings, agreements, representations and warranties of BCTG set forth herein are no longer accurate in any material respect.</w:t>
      </w:r>
    </w:p>
    <w:p>
      <w:pPr>
        <w:spacing w:after="0" w:line="156"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d. Each of BCTG, Tango, the Investor and the Placement Agents is irrevocably authorized to produce this Subscription Agreement or a copy hereof to any interested party in any administrative or legal proceeding or official inquiry with respect to the matters covered hereby; provided, however, that the foregoing clause of this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shall not give the Placement Agents any rights other than those expressly set forth herein.</w:t>
      </w:r>
    </w:p>
    <w:p>
      <w:pPr>
        <w:spacing w:after="0" w:line="16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e. All of the agreements, representations and warranties made by each party hereto in this Subscription Agreement shall survive the Closing, in each case, until the expiration any statute of limitations under applicable law.</w:t>
      </w:r>
    </w:p>
    <w:p>
      <w:pPr>
        <w:spacing w:after="0" w:line="152"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 xml:space="preserve">f. This Subscription Agreement may not be modified, waived or terminated (other than pursuant to the terms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hereto)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70" w:lineRule="exact"/>
        <w:rPr>
          <w:sz w:val="20"/>
          <w:szCs w:val="20"/>
          <w:color w:val="auto"/>
        </w:rPr>
      </w:pPr>
    </w:p>
    <w:p>
      <w:pPr>
        <w:jc w:val="both"/>
        <w:ind w:firstLine="1147"/>
        <w:spacing w:after="0" w:line="306" w:lineRule="auto"/>
        <w:rPr>
          <w:sz w:val="20"/>
          <w:szCs w:val="20"/>
          <w:color w:val="auto"/>
        </w:rPr>
      </w:pPr>
      <w:r>
        <w:rPr>
          <w:rFonts w:ascii="Arial" w:cs="Arial" w:eastAsia="Arial" w:hAnsi="Arial"/>
          <w:sz w:val="14"/>
          <w:szCs w:val="14"/>
          <w:color w:val="auto"/>
        </w:rPr>
        <w:t>g. This Subscription Agreement (including the schedule hereto) constitutes the entire agreement, and supersedes all other prior agreements, understandings, representations and warranties, both written and oral, among the parties, with respect to the subject matter hereof. Except as otherwise set forth herein, this Subscription Agreement shall not confer any rights or remedies upon any person other than the parties hereto, and their respective successor and assigns; provided that, as set forth in Sections 10(c) and 10(d) hereto, each Placement Agent shall be a third-party beneficiary of and may enforce such provisions as if it were a party hereto..</w:t>
      </w:r>
    </w:p>
    <w:p>
      <w:pPr>
        <w:spacing w:after="0" w:line="135"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h.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46"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i.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 so long as this Subscription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j. This Subscription Agreement may be executed in one or more counterparts (including by facsimile or any other form of electronic delivery (including ..pdf or any electronic signature complying with the U.S. federal ESIGN Act of 2000, e.g., www.docusign.com or other transmission method))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9" w:name="page200"/>
    <w:bookmarkEnd w:id="199"/>
    <w:p>
      <w:pPr>
        <w:jc w:val="both"/>
        <w:ind w:right="20" w:firstLine="1147"/>
        <w:spacing w:after="0" w:line="280" w:lineRule="auto"/>
        <w:rPr>
          <w:sz w:val="20"/>
          <w:szCs w:val="20"/>
          <w:color w:val="auto"/>
        </w:rPr>
      </w:pPr>
      <w:r>
        <w:rPr>
          <w:rFonts w:ascii="Arial" w:cs="Arial" w:eastAsia="Arial" w:hAnsi="Arial"/>
          <w:sz w:val="15"/>
          <w:szCs w:val="15"/>
          <w:color w:val="auto"/>
        </w:rPr>
        <w:t>k. The parties hereto agree that irreparable damage would occur in the event that any of the provisions of this Subscription Agreement were not performed in accordance with their specific terms or were otherwise breached. It is accordingly agreed that the parties shall be entitled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51"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l.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effect to the principles of conflicts of law thereof.</w:t>
      </w:r>
    </w:p>
    <w:p>
      <w:pPr>
        <w:spacing w:after="0" w:line="146" w:lineRule="exact"/>
        <w:rPr>
          <w:sz w:val="20"/>
          <w:szCs w:val="20"/>
          <w:color w:val="auto"/>
        </w:rPr>
      </w:pPr>
    </w:p>
    <w:p>
      <w:pPr>
        <w:jc w:val="both"/>
        <w:ind w:firstLine="1147"/>
        <w:spacing w:after="0" w:line="269" w:lineRule="auto"/>
        <w:rPr>
          <w:sz w:val="20"/>
          <w:szCs w:val="20"/>
          <w:color w:val="auto"/>
        </w:rPr>
      </w:pPr>
      <w:r>
        <w:rPr>
          <w:rFonts w:ascii="Arial" w:cs="Arial" w:eastAsia="Arial" w:hAnsi="Arial"/>
          <w:sz w:val="15"/>
          <w:szCs w:val="15"/>
          <w:color w:val="auto"/>
        </w:rPr>
        <w:t xml:space="preserve">m. THE PARTIES HERETO IRREVOCABLY SUBMIT TO THE EXCLUSIVE JURISDICTION OF THE UNITED STATES DISTRICT COURT FOR THE SOUTHERN DISTRICT OF NEW YORK AND THE SUPREME COURT OF THE STATE OF NEW YORK AND THE FEDERAL COURTS OF THE UNITED STATES OF AMERICA LOCATED IN THE STATE OF NEW YORK IN NEW YORK COUNTY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5"/>
          <w:szCs w:val="15"/>
          <w:u w:val="single" w:color="auto"/>
          <w:color w:val="auto"/>
        </w:rPr>
        <w:t>SECTION 10(n)</w:t>
      </w:r>
      <w:r>
        <w:rPr>
          <w:rFonts w:ascii="Arial" w:cs="Arial" w:eastAsia="Arial" w:hAnsi="Arial"/>
          <w:sz w:val="15"/>
          <w:szCs w:val="15"/>
          <w:color w:val="auto"/>
        </w:rPr>
        <w:t xml:space="preserve"> OF THIS SUBSCRIPTION AGREEMENT OR IN SUCH OTHER MANNER AS MAY BE PERMITTED BY LAW SHALL BE VALID AND SUFFICIENT SERVICE THEREOF.</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5"/>
          <w:szCs w:val="15"/>
          <w:u w:val="single" w:color="auto"/>
          <w:color w:val="auto"/>
        </w:rPr>
        <w:t>SECTION 10(m)</w:t>
      </w:r>
      <w:r>
        <w:rPr>
          <w:rFonts w:ascii="Arial" w:cs="Arial" w:eastAsia="Arial" w:hAnsi="Arial"/>
          <w:sz w:val="15"/>
          <w:szCs w:val="15"/>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0" w:name="page201"/>
    <w:bookmarkEnd w:id="200"/>
    <w:p>
      <w:pPr>
        <w:jc w:val="both"/>
        <w:ind w:left="4" w:right="20" w:firstLine="1147"/>
        <w:spacing w:after="0" w:line="291" w:lineRule="auto"/>
        <w:rPr>
          <w:sz w:val="20"/>
          <w:szCs w:val="20"/>
          <w:color w:val="auto"/>
        </w:rPr>
      </w:pPr>
      <w:r>
        <w:rPr>
          <w:rFonts w:ascii="Arial" w:cs="Arial" w:eastAsia="Arial" w:hAnsi="Arial"/>
          <w:sz w:val="14"/>
          <w:szCs w:val="14"/>
          <w:color w:val="auto"/>
        </w:rPr>
        <w:t>n. All notices, requests, demands, claims, and other communications hereunder shall be in writing. Any notice, request, demand, claim, or other communication hereunder shall be deemed duly given (i) when delivered personally to the recipient, (ii) when sent by electronic mail, with no mail undeliverable or other rejection notice, on the date of transmission to such recipient; (iii) one business day after being sent to the recipient by reputable overnight courier service (charges prepaid), or</w:t>
      </w:r>
    </w:p>
    <w:p>
      <w:pPr>
        <w:spacing w:after="0" w:line="1" w:lineRule="exact"/>
        <w:rPr>
          <w:sz w:val="20"/>
          <w:szCs w:val="20"/>
          <w:color w:val="auto"/>
        </w:rPr>
      </w:pPr>
    </w:p>
    <w:p>
      <w:pPr>
        <w:jc w:val="both"/>
        <w:ind w:left="4" w:right="20" w:hanging="4"/>
        <w:spacing w:after="0" w:line="251" w:lineRule="auto"/>
        <w:tabs>
          <w:tab w:leader="none" w:pos="28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6"/>
          <w:szCs w:val="16"/>
          <w:u w:val="single" w:color="auto"/>
          <w:color w:val="auto"/>
        </w:rPr>
        <w:t>Section 10(n)</w:t>
      </w:r>
      <w:r>
        <w:rPr>
          <w:rFonts w:ascii="Arial" w:cs="Arial" w:eastAsia="Arial" w:hAnsi="Arial"/>
          <w:sz w:val="16"/>
          <w:szCs w:val="16"/>
          <w:color w:val="auto"/>
        </w:rPr>
        <w:t>. All communications sent to BCTG shall be sent to: BCTG Acquisition Corp., 12860 El Camino Real, Suite 300, San Diego, CA 92130, Attn: Aaron Davis, email: notices@tavistock.com, with a copy to: Loeb &amp; Loeb LLP, 345 Park Avenue, New York, New York 10154, Attn: Mitchell S. Nussbaum, email: mnussbaum@loeb.com.</w:t>
      </w:r>
    </w:p>
    <w:p>
      <w:pPr>
        <w:spacing w:after="0" w:line="172" w:lineRule="exact"/>
        <w:rPr>
          <w:rFonts w:ascii="Arial" w:cs="Arial" w:eastAsia="Arial" w:hAnsi="Arial"/>
          <w:sz w:val="16"/>
          <w:szCs w:val="16"/>
          <w:color w:val="auto"/>
        </w:rPr>
      </w:pPr>
    </w:p>
    <w:p>
      <w:pPr>
        <w:jc w:val="both"/>
        <w:ind w:left="4" w:firstLine="569"/>
        <w:spacing w:after="0" w:line="268" w:lineRule="auto"/>
        <w:tabs>
          <w:tab w:leader="none" w:pos="811" w:val="left"/>
        </w:tabs>
        <w:numPr>
          <w:ilvl w:val="1"/>
          <w:numId w:val="187"/>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BCTG shall, by 9:00 a.m., New York City time, on the first business day immediately following the date of this Subscription Agreement, issue one or more press releases or furnish or file with the SEC a Current Report on Form 8-K (collectively, the “</w:t>
      </w:r>
      <w:r>
        <w:rPr>
          <w:rFonts w:ascii="Arial" w:cs="Arial" w:eastAsia="Arial" w:hAnsi="Arial"/>
          <w:sz w:val="15"/>
          <w:szCs w:val="15"/>
          <w:u w:val="single" w:color="auto"/>
          <w:color w:val="auto"/>
        </w:rPr>
        <w:t>Disclosure Document</w:t>
      </w:r>
      <w:r>
        <w:rPr>
          <w:rFonts w:ascii="Arial" w:cs="Arial" w:eastAsia="Arial" w:hAnsi="Arial"/>
          <w:sz w:val="15"/>
          <w:szCs w:val="15"/>
          <w:color w:val="auto"/>
        </w:rPr>
        <w:t>”) disclosing, to the extent not previously publicly disclosed, all material terms of the transactions contemplated hereby and the Other Subscription Agreements, all material terms of the Transaction and any other material, non-public information that BCTG, Tango or their respective employees, agents or representatives has provided to the Investor or any of the Investor’s affiliates, attorneys, agents or representatives at any time prior to the filing of the Disclosure Document. From and after the disclosure of the Disclosure Document, the Investor and the Investor’s affiliates, attorneys, agents or representatives shall not be in possession of any material, non-public information received from BCTG, Tango or any of their respective officers, directors, employees, agents or representatives and the Investor shall no longer be subject to any confidentiality or similar obligations under any current agreement, whether written or oral with BCTG, any Placement Agent, Tango, or any of their affiliates in connection this Subscription Agreement, the Other Subscription Agreement or the Transaction. Notwithstanding anything in this Subscription Agreement to the contrary, BCTG shall not, and shall cause each of its officers, directors, employees attorneys, representatives and agents to not, provide the Investor with any material non-public information regarding BCTG from and after the filing of the Disclosure Document with the SEC without the express prior written consent of the Investor. BCTG understands and confirms that the Investor and the Investor’s affiliates, attorneys, agents or representatives will rely on the foregoing representations and covenants in effecting transactions of securities in BCTG. Notwithstanding the foregoing, BCTG shall not publicly disclose the name of the Investor or any affiliate or investment adviser of the Investor to any person, or include the name of the Investor or any affiliate or investment adviser of the Investor (i) in any press release or marketing materials without the prior written consent (including by e-mail) of the Investor, or (ii)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regulations of any national securities exchange on which BCTG’s securities are listed for trading, in which case BCTG shall provide the Investor with prior written notice (including by e-mail) of such disclosure, and shall reasonably consult with the Investor regarding such disclosure.</w:t>
      </w:r>
    </w:p>
    <w:p>
      <w:pPr>
        <w:spacing w:after="0" w:line="165" w:lineRule="exact"/>
        <w:rPr>
          <w:rFonts w:ascii="Arial" w:cs="Arial" w:eastAsia="Arial" w:hAnsi="Arial"/>
          <w:sz w:val="15"/>
          <w:szCs w:val="15"/>
          <w:color w:val="auto"/>
        </w:rPr>
      </w:pPr>
    </w:p>
    <w:p>
      <w:pPr>
        <w:jc w:val="both"/>
        <w:ind w:left="4" w:firstLine="569"/>
        <w:spacing w:after="0" w:line="289" w:lineRule="auto"/>
        <w:tabs>
          <w:tab w:leader="none" w:pos="817" w:val="left"/>
        </w:tabs>
        <w:numPr>
          <w:ilvl w:val="1"/>
          <w:numId w:val="187"/>
        </w:numPr>
        <w:rPr>
          <w:rFonts w:ascii="Arial" w:cs="Arial" w:eastAsia="Arial" w:hAnsi="Arial"/>
          <w:sz w:val="14"/>
          <w:szCs w:val="14"/>
          <w:color w:val="auto"/>
        </w:rPr>
      </w:pPr>
      <w:r>
        <w:rPr>
          <w:rFonts w:ascii="Arial" w:cs="Arial" w:eastAsia="Arial" w:hAnsi="Arial"/>
          <w:sz w:val="14"/>
          <w:szCs w:val="14"/>
          <w:u w:val="single" w:color="auto"/>
          <w:color w:val="auto"/>
        </w:rPr>
        <w:t>Non-Reliance and Exculpation</w:t>
      </w:r>
      <w:r>
        <w:rPr>
          <w:rFonts w:ascii="Arial" w:cs="Arial" w:eastAsia="Arial" w:hAnsi="Arial"/>
          <w:sz w:val="14"/>
          <w:szCs w:val="14"/>
          <w:color w:val="auto"/>
        </w:rPr>
        <w:t>. The Investor acknowledges that it is not relying upon, and has not relied upon, any statement, representation or warranty made by any person, firm or corporation (including, without limitation, the Placement Agents, any of their respective affiliates or any of their or their respective affiliates’ control persons, officers, directors and employees), other than the SEC Reports and the statements, representations and warranties of BCTG expressly contained in this Subscription Agreement, in making its investment or decision to invest in BCTG. The Investor agrees that none of (i) any Other Investor pursuant to any Other Subscription Agreement related to the private placement of the Shares (including the respective controlling persons, officers, directors, partners, agents, or employees of any investor), (ii) the Placement Agents, their respective affiliates or any of their or their respective affiliates’ control persons, officers, directors, employees, agents or representatives, or (iii) any party to the Transaction Agreement (other than BCTG and Tango), including any such party’s representatives, affiliates or any of its or their control persons, officers, directors or employees, that is not a party hereto shall be liable to the Investor pursuant to this Subscription Agreement or any Other Investor pursuant to any Other Subscription Agreement related to the private placement of the Shares, the negotiation hereof or thereof or the subject matter hereof or thereof, or the transactions contemplated hereby or thereby, for any action heretofore or hereafter taken or omitted to be taken by any of them in connection with the purchase of the Shares. The Investor acknowledges, on behalf of itself and each account for which it acts as a fiduciary or agent, that neither the Placement Agents, nor their representatives: (a) shall be liable to the Investor for any improper payment made in accordance with the information provided by BCTG; (b) make any representation or warranty, or have any responsibilities as to the validity, accuracy, value or genuineness of any information, certificates or documentation delivered by or on behalf of BCTG pursuant to this Subscription Agreement or the Transaction Agreement (together with any related documents, the “</w:t>
      </w:r>
      <w:r>
        <w:rPr>
          <w:rFonts w:ascii="Arial" w:cs="Arial" w:eastAsia="Arial" w:hAnsi="Arial"/>
          <w:sz w:val="14"/>
          <w:szCs w:val="14"/>
          <w:u w:val="single" w:color="auto"/>
          <w:color w:val="auto"/>
        </w:rPr>
        <w:t>Transaction Documents</w:t>
      </w:r>
      <w:r>
        <w:rPr>
          <w:rFonts w:ascii="Arial" w:cs="Arial" w:eastAsia="Arial" w:hAnsi="Arial"/>
          <w:sz w:val="14"/>
          <w:szCs w:val="14"/>
          <w:color w:val="auto"/>
        </w:rPr>
        <w:t>”); or (c) shall be liable to the Investor for any action taken, suffered or omitted by any of them or for anything which any of them may do or refrain from doing in connection with this Subscription Agreement or any Transaction Document.</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1" w:name="page202"/>
    <w:bookmarkEnd w:id="201"/>
    <w:p>
      <w:pPr>
        <w:jc w:val="both"/>
        <w:ind w:firstLine="569"/>
        <w:spacing w:after="0" w:line="269" w:lineRule="auto"/>
        <w:tabs>
          <w:tab w:leader="none" w:pos="824"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Other Investors</w:t>
      </w:r>
      <w:r>
        <w:rPr>
          <w:rFonts w:ascii="Arial" w:cs="Arial" w:eastAsia="Arial" w:hAnsi="Arial"/>
          <w:sz w:val="15"/>
          <w:szCs w:val="15"/>
          <w:color w:val="auto"/>
        </w:rPr>
        <w:t>. For the avoidance of doubt, all obligations of the Investor hereunder are separate and several from the obligations of any Other Investor. The decision of Investor to purchase the Shares pursuant to this Subscription Agreement has been made by Investor independently of any Other Investor or any other investor and independently of any information, materials, statements or opinions as to the business, affairs, operations, assets, properties, liabilities, results of operations, condition (financial or otherwise) or prospects of BCTG, Tango or any of their respective subsidiaries which may have been made or given by any Other Investor or investor or by any agent or employee of any Other Investor or investor, and neither Investor nor any of its agents or employees shall have any liability to any Other Investor or investor (or any other person) relating to or arising from any such information, materials, statements or opinions. Nothing contained herein or in any Other Subscription Agreement, and no action taken by Investor or Other Investors pursuant hereto or thereto, shall be deemed to constitute Investor and Other Investor or other investors as a partnership, an association, a joint venture or any other kind of entity, or create a presumption that Investor and Other Investors or other investors are in any way acting in concert or as a group with respect to such obligations or the transactions contemplated by this Subscription Agreement and the Other Subscription Agreements. The Investor acknowledges that no Other Investor has acted as agent for Investor in connection with making its investment hereunder and no Other Investor will be acting as agent of Investor in connection with monitoring its investment in the Shares or enforcing its rights under this Subscription Agreement. The Investor shall be entitled to independently protect and enforce its rights, including without limitation the rights arising out of this Subscription Agreement, and it shall not be necessary for any Other Investor or investor to be joined as an additional party in any proceeding for such purpose.</w:t>
      </w:r>
    </w:p>
    <w:p>
      <w:pPr>
        <w:spacing w:after="0" w:line="163" w:lineRule="exact"/>
        <w:rPr>
          <w:rFonts w:ascii="Arial" w:cs="Arial" w:eastAsia="Arial" w:hAnsi="Arial"/>
          <w:sz w:val="15"/>
          <w:szCs w:val="15"/>
          <w:color w:val="auto"/>
        </w:rPr>
      </w:pPr>
    </w:p>
    <w:p>
      <w:pPr>
        <w:jc w:val="both"/>
        <w:ind w:firstLine="569"/>
        <w:spacing w:after="0" w:line="262" w:lineRule="auto"/>
        <w:tabs>
          <w:tab w:leader="none" w:pos="81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Stock Splits, etc</w:t>
      </w:r>
      <w:r>
        <w:rPr>
          <w:rFonts w:ascii="Arial" w:cs="Arial" w:eastAsia="Arial" w:hAnsi="Arial"/>
          <w:sz w:val="16"/>
          <w:szCs w:val="16"/>
          <w:color w:val="auto"/>
        </w:rPr>
        <w:t>. If any change in the shares of BCTG common stock shall occur between the date hereof and immediately prior to the Closing by reason of any reclassification, recapitalization, stock split (including reverse stock split) or combination, exchange or readjustment of shares, or any stock dividend, the number and type of Shares issued to the Investor and the Subscription Amount shall be appropriately adjusted to reflect such change.</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81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No Use of Name</w:t>
      </w:r>
      <w:r>
        <w:rPr>
          <w:rFonts w:ascii="Arial" w:cs="Arial" w:eastAsia="Arial" w:hAnsi="Arial"/>
          <w:sz w:val="16"/>
          <w:szCs w:val="16"/>
          <w:color w:val="auto"/>
        </w:rPr>
        <w:t>. BCTG shall not, without the prior written consent of the Investor, use, publish, reproduce or refer to the name of the Investor, its affiliates and/or controlling persons, or any similar name, trademark or logo, in any non-internal discussion, documents or materials, including without limitation for marketing or other purposes.</w:t>
      </w:r>
    </w:p>
    <w:p>
      <w:pPr>
        <w:spacing w:after="0" w:line="162" w:lineRule="exact"/>
        <w:rPr>
          <w:rFonts w:ascii="Arial" w:cs="Arial" w:eastAsia="Arial" w:hAnsi="Arial"/>
          <w:sz w:val="16"/>
          <w:szCs w:val="16"/>
          <w:color w:val="auto"/>
        </w:rPr>
      </w:pPr>
    </w:p>
    <w:p>
      <w:pPr>
        <w:jc w:val="both"/>
        <w:ind w:firstLine="569"/>
        <w:spacing w:after="0" w:line="280" w:lineRule="auto"/>
        <w:tabs>
          <w:tab w:leader="none" w:pos="812"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Massachusetts Business Trust</w:t>
      </w:r>
      <w:r>
        <w:rPr>
          <w:rFonts w:ascii="Arial" w:cs="Arial" w:eastAsia="Arial" w:hAnsi="Arial"/>
          <w:sz w:val="15"/>
          <w:szCs w:val="15"/>
          <w:color w:val="auto"/>
        </w:rPr>
        <w:t>. If Investor is a Massachusetts Business Trust, a copy of the Declaration of Trust of Investor or any affiliate thereof is on file with the Secretary of State of the Commonwealth of Massachusetts and notice is hereby given that the Subscription Agreement is executed on behalf of the trustees of Investor or any affiliate thereof as trustees and not individually and that the obligations of the Subscription Agreement are not binding on any of the trustees, officers or stockholders of Investor or any affiliate thereof individually but are binding only upon Investor or any affiliate thereof and its assets and property.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2" w:name="page203"/>
    <w:bookmarkEnd w:id="202"/>
    <w:p>
      <w:pPr>
        <w:ind w:left="560"/>
        <w:spacing w:after="0"/>
        <w:rPr>
          <w:sz w:val="20"/>
          <w:szCs w:val="20"/>
          <w:color w:val="auto"/>
        </w:rPr>
      </w:pPr>
      <w:r>
        <w:rPr>
          <w:rFonts w:ascii="Arial" w:cs="Arial" w:eastAsia="Arial" w:hAnsi="Arial"/>
          <w:sz w:val="16"/>
          <w:szCs w:val="16"/>
          <w:color w:val="auto"/>
        </w:rPr>
        <w:t>IN WITNESS WHEREOF, BCTG has accepted this Subscription Agreement as of the date set forth below.</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BCTG ACQUISITION CORP.</w:t>
      </w:r>
    </w:p>
    <w:p>
      <w:pPr>
        <w:spacing w:after="0" w:line="21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2021</w:t>
      </w:r>
    </w:p>
    <w:p>
      <w:pPr>
        <w:spacing w:after="0" w:line="383"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sectPr>
      </w:pPr>
    </w:p>
    <w:bookmarkStart w:id="203" w:name="page204"/>
    <w:bookmarkEnd w:id="203"/>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Investor has executed or caused this Subscription Agreement to be executed by its duly authorized representative as of the date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Name of Investor:</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State/Country of Formation or Domicile:</w:t>
            </w:r>
          </w:p>
        </w:tc>
      </w:tr>
      <w:tr>
        <w:trPr>
          <w:trHeight w:val="208"/>
        </w:trPr>
        <w:tc>
          <w:tcPr>
            <w:tcW w:w="5080" w:type="dxa"/>
            <w:vAlign w:val="bottom"/>
            <w:gridSpan w:val="2"/>
          </w:tcPr>
          <w:p>
            <w:pPr>
              <w:spacing w:after="0"/>
              <w:rPr>
                <w:sz w:val="20"/>
                <w:szCs w:val="20"/>
                <w:color w:val="auto"/>
              </w:rPr>
            </w:pPr>
            <w:r>
              <w:rPr>
                <w:rFonts w:ascii="Arial" w:cs="Arial" w:eastAsia="Arial" w:hAnsi="Arial"/>
                <w:sz w:val="16"/>
                <w:szCs w:val="16"/>
                <w:color w:val="auto"/>
              </w:rPr>
              <w:t>By:</w:t>
            </w:r>
          </w:p>
        </w:tc>
        <w:tc>
          <w:tcPr>
            <w:tcW w:w="16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195"/>
        </w:trPr>
        <w:tc>
          <w:tcPr>
            <w:tcW w:w="560" w:type="dxa"/>
            <w:vAlign w:val="bottom"/>
          </w:tcPr>
          <w:p>
            <w:pPr>
              <w:spacing w:after="0" w:line="180" w:lineRule="exact"/>
              <w:rPr>
                <w:sz w:val="20"/>
                <w:szCs w:val="20"/>
                <w:color w:val="auto"/>
              </w:rPr>
            </w:pPr>
            <w:r>
              <w:rPr>
                <w:rFonts w:ascii="Arial" w:cs="Arial" w:eastAsia="Arial" w:hAnsi="Arial"/>
                <w:sz w:val="16"/>
                <w:szCs w:val="16"/>
                <w:color w:val="auto"/>
              </w:rPr>
              <w:t>Name:</w:t>
            </w:r>
          </w:p>
        </w:tc>
        <w:tc>
          <w:tcPr>
            <w:tcW w:w="4520" w:type="dxa"/>
            <w:vAlign w:val="bottom"/>
            <w:tcBorders>
              <w:top w:val="single" w:sz="8" w:color="auto"/>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195"/>
        </w:trPr>
        <w:tc>
          <w:tcPr>
            <w:tcW w:w="560" w:type="dxa"/>
            <w:vAlign w:val="bottom"/>
          </w:tcPr>
          <w:p>
            <w:pPr>
              <w:spacing w:after="0" w:line="180" w:lineRule="exact"/>
              <w:rPr>
                <w:sz w:val="20"/>
                <w:szCs w:val="20"/>
                <w:color w:val="auto"/>
              </w:rPr>
            </w:pPr>
            <w:r>
              <w:rPr>
                <w:rFonts w:ascii="Arial" w:cs="Arial" w:eastAsia="Arial" w:hAnsi="Arial"/>
                <w:sz w:val="16"/>
                <w:szCs w:val="16"/>
                <w:color w:val="auto"/>
              </w:rPr>
              <w:t>Title:</w:t>
            </w:r>
          </w:p>
        </w:tc>
        <w:tc>
          <w:tcPr>
            <w:tcW w:w="4520" w:type="dxa"/>
            <w:vAlign w:val="bottom"/>
            <w:tcBorders>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167"/>
        </w:trPr>
        <w:tc>
          <w:tcPr>
            <w:tcW w:w="560" w:type="dxa"/>
            <w:vAlign w:val="bottom"/>
          </w:tcPr>
          <w:p>
            <w:pPr>
              <w:spacing w:after="0" w:line="167" w:lineRule="exact"/>
              <w:rPr>
                <w:sz w:val="20"/>
                <w:szCs w:val="20"/>
                <w:color w:val="auto"/>
              </w:rPr>
            </w:pPr>
            <w:r>
              <w:rPr>
                <w:rFonts w:ascii="Arial" w:cs="Arial" w:eastAsia="Arial" w:hAnsi="Arial"/>
                <w:sz w:val="16"/>
                <w:szCs w:val="16"/>
                <w:color w:val="auto"/>
                <w:w w:val="90"/>
              </w:rPr>
              <w:t>Name in</w:t>
            </w:r>
          </w:p>
        </w:tc>
        <w:tc>
          <w:tcPr>
            <w:tcW w:w="4520" w:type="dxa"/>
            <w:vAlign w:val="bottom"/>
          </w:tcPr>
          <w:p>
            <w:pPr>
              <w:ind w:left="20"/>
              <w:spacing w:after="0" w:line="167" w:lineRule="exact"/>
              <w:rPr>
                <w:sz w:val="20"/>
                <w:szCs w:val="20"/>
                <w:color w:val="auto"/>
              </w:rPr>
            </w:pPr>
            <w:r>
              <w:rPr>
                <w:rFonts w:ascii="Arial" w:cs="Arial" w:eastAsia="Arial" w:hAnsi="Arial"/>
                <w:sz w:val="16"/>
                <w:szCs w:val="16"/>
                <w:color w:val="auto"/>
              </w:rPr>
              <w:t>which Shares are to be registered (if different):</w:t>
            </w:r>
          </w:p>
        </w:tc>
        <w:tc>
          <w:tcPr>
            <w:tcW w:w="6180" w:type="dxa"/>
            <w:vAlign w:val="bottom"/>
            <w:gridSpan w:val="2"/>
          </w:tcPr>
          <w:p>
            <w:pPr>
              <w:ind w:left="1120"/>
              <w:spacing w:after="0" w:line="167" w:lineRule="exact"/>
              <w:rPr>
                <w:sz w:val="20"/>
                <w:szCs w:val="20"/>
                <w:color w:val="auto"/>
              </w:rPr>
            </w:pPr>
            <w:r>
              <w:rPr>
                <w:rFonts w:ascii="Arial" w:cs="Arial" w:eastAsia="Arial" w:hAnsi="Arial"/>
                <w:sz w:val="16"/>
                <w:szCs w:val="16"/>
                <w:color w:val="auto"/>
              </w:rPr>
              <w:t>Date: ________, 2021</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Investor’s EIN:</w:t>
            </w: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Business Address-Street:</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Mailing Address-Street (if different):</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City, State, Zip:</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City, State, Zip:</w:t>
            </w:r>
          </w:p>
        </w:tc>
      </w:tr>
      <w:tr>
        <w:trPr>
          <w:trHeight w:val="208"/>
        </w:trPr>
        <w:tc>
          <w:tcPr>
            <w:tcW w:w="5080" w:type="dxa"/>
            <w:vAlign w:val="bottom"/>
            <w:gridSpan w:val="2"/>
          </w:tcPr>
          <w:p>
            <w:pPr>
              <w:spacing w:after="0"/>
              <w:rPr>
                <w:sz w:val="20"/>
                <w:szCs w:val="20"/>
                <w:color w:val="auto"/>
              </w:rPr>
            </w:pPr>
            <w:r>
              <w:rPr>
                <w:rFonts w:ascii="Arial" w:cs="Arial" w:eastAsia="Arial" w:hAnsi="Arial"/>
                <w:sz w:val="16"/>
                <w:szCs w:val="16"/>
                <w:color w:val="auto"/>
              </w:rPr>
              <w:t>Attn:</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Attn:</w:t>
            </w:r>
          </w:p>
        </w:tc>
      </w:tr>
      <w:tr>
        <w:trPr>
          <w:trHeight w:val="167"/>
        </w:trPr>
        <w:tc>
          <w:tcPr>
            <w:tcW w:w="560" w:type="dxa"/>
            <w:vAlign w:val="bottom"/>
          </w:tcPr>
          <w:p>
            <w:pPr>
              <w:spacing w:after="0" w:line="167" w:lineRule="exact"/>
              <w:rPr>
                <w:sz w:val="20"/>
                <w:szCs w:val="20"/>
                <w:color w:val="auto"/>
              </w:rPr>
            </w:pPr>
            <w:r>
              <w:rPr>
                <w:rFonts w:ascii="Arial" w:cs="Arial" w:eastAsia="Arial" w:hAnsi="Arial"/>
                <w:sz w:val="16"/>
                <w:szCs w:val="16"/>
                <w:color w:val="auto"/>
                <w:w w:val="71"/>
              </w:rPr>
              <w:t>Telephone</w:t>
            </w:r>
          </w:p>
        </w:tc>
        <w:tc>
          <w:tcPr>
            <w:tcW w:w="4520" w:type="dxa"/>
            <w:vAlign w:val="bottom"/>
            <w:tcBorders>
              <w:top w:val="single" w:sz="8" w:color="auto"/>
            </w:tcBorders>
          </w:tcPr>
          <w:p>
            <w:pPr>
              <w:ind w:left="140"/>
              <w:spacing w:after="0" w:line="167" w:lineRule="exact"/>
              <w:rPr>
                <w:sz w:val="20"/>
                <w:szCs w:val="20"/>
                <w:color w:val="auto"/>
              </w:rPr>
            </w:pPr>
            <w:r>
              <w:rPr>
                <w:rFonts w:ascii="Arial" w:cs="Arial" w:eastAsia="Arial" w:hAnsi="Arial"/>
                <w:sz w:val="16"/>
                <w:szCs w:val="16"/>
                <w:color w:val="auto"/>
              </w:rPr>
              <w:t>No.:</w:t>
            </w:r>
          </w:p>
        </w:tc>
        <w:tc>
          <w:tcPr>
            <w:tcW w:w="1680" w:type="dxa"/>
            <w:vAlign w:val="bottom"/>
          </w:tcPr>
          <w:p>
            <w:pPr>
              <w:ind w:left="1120"/>
              <w:spacing w:after="0" w:line="167" w:lineRule="exact"/>
              <w:rPr>
                <w:sz w:val="20"/>
                <w:szCs w:val="20"/>
                <w:color w:val="auto"/>
              </w:rPr>
            </w:pPr>
            <w:r>
              <w:rPr>
                <w:rFonts w:ascii="Arial" w:cs="Arial" w:eastAsia="Arial" w:hAnsi="Arial"/>
                <w:sz w:val="16"/>
                <w:szCs w:val="16"/>
                <w:color w:val="auto"/>
                <w:w w:val="71"/>
              </w:rPr>
              <w:t>Telephone</w:t>
            </w:r>
          </w:p>
        </w:tc>
        <w:tc>
          <w:tcPr>
            <w:tcW w:w="4500" w:type="dxa"/>
            <w:vAlign w:val="bottom"/>
            <w:tcBorders>
              <w:top w:val="single" w:sz="8" w:color="auto"/>
            </w:tcBorders>
          </w:tcPr>
          <w:p>
            <w:pPr>
              <w:ind w:left="140"/>
              <w:spacing w:after="0" w:line="167" w:lineRule="exact"/>
              <w:rPr>
                <w:sz w:val="20"/>
                <w:szCs w:val="20"/>
                <w:color w:val="auto"/>
              </w:rPr>
            </w:pPr>
            <w:r>
              <w:rPr>
                <w:rFonts w:ascii="Arial" w:cs="Arial" w:eastAsia="Arial" w:hAnsi="Arial"/>
                <w:sz w:val="16"/>
                <w:szCs w:val="16"/>
                <w:color w:val="auto"/>
              </w:rPr>
              <w:t>No.:</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Facsimile No.:</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Facsimile No.:</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Number of Shares subscribed for:</w:t>
            </w: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04"/>
        </w:trPr>
        <w:tc>
          <w:tcPr>
            <w:tcW w:w="5080" w:type="dxa"/>
            <w:vAlign w:val="bottom"/>
            <w:gridSpan w:val="2"/>
          </w:tcPr>
          <w:p>
            <w:pPr>
              <w:spacing w:after="0"/>
              <w:rPr>
                <w:sz w:val="20"/>
                <w:szCs w:val="20"/>
                <w:color w:val="auto"/>
              </w:rPr>
            </w:pPr>
            <w:r>
              <w:rPr>
                <w:rFonts w:ascii="Arial" w:cs="Arial" w:eastAsia="Arial" w:hAnsi="Arial"/>
                <w:sz w:val="16"/>
                <w:szCs w:val="16"/>
                <w:color w:val="auto"/>
              </w:rPr>
              <w:t>Aggregate Subscription Amount: $</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Price Per Share: $10</w:t>
            </w:r>
          </w:p>
        </w:tc>
      </w:tr>
    </w:tbl>
    <w:p>
      <w:pPr>
        <w:spacing w:after="0" w:line="17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You must pay the Subscription Amount by wire transfer of United States dollars in immediately available funds to the account specified by BCTG in the Closing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Notice.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4" w:name="page205"/>
    <w:bookmarkEnd w:id="204"/>
    <w:p>
      <w:pPr>
        <w:jc w:val="center"/>
        <w:ind w:right="-3"/>
        <w:spacing w:after="0"/>
        <w:rPr>
          <w:sz w:val="20"/>
          <w:szCs w:val="20"/>
          <w:color w:val="auto"/>
        </w:rPr>
      </w:pPr>
      <w:r>
        <w:rPr>
          <w:rFonts w:ascii="Arial" w:cs="Arial" w:eastAsia="Arial" w:hAnsi="Arial"/>
          <w:sz w:val="16"/>
          <w:szCs w:val="16"/>
          <w:b w:val="1"/>
          <w:bCs w:val="1"/>
          <w:color w:val="auto"/>
        </w:rPr>
        <w:t>SCHEDULE A</w:t>
      </w:r>
    </w:p>
    <w:p>
      <w:pPr>
        <w:spacing w:after="0" w:line="198"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ELIGIBILITY REPRESENTATIONS OF THE INVESTOR</w:t>
      </w:r>
    </w:p>
    <w:p>
      <w:pPr>
        <w:spacing w:after="0" w:line="202" w:lineRule="exact"/>
        <w:rPr>
          <w:sz w:val="20"/>
          <w:szCs w:val="20"/>
          <w:color w:val="auto"/>
        </w:rPr>
      </w:pPr>
    </w:p>
    <w:p>
      <w:pPr>
        <w:ind w:left="444" w:right="7540" w:hanging="444"/>
        <w:spacing w:after="0" w:line="309" w:lineRule="auto"/>
        <w:tabs>
          <w:tab w:leader="none" w:pos="44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QUALIFIED INSTITUTIONAL BUYER STATUS (Please check the applicable subparagraphs):</w:t>
      </w:r>
    </w:p>
    <w:p>
      <w:pPr>
        <w:spacing w:after="0" w:line="129" w:lineRule="exact"/>
        <w:rPr>
          <w:rFonts w:ascii="Arial" w:cs="Arial" w:eastAsia="Arial" w:hAnsi="Arial"/>
          <w:sz w:val="15"/>
          <w:szCs w:val="15"/>
          <w:color w:val="auto"/>
        </w:rPr>
      </w:pPr>
    </w:p>
    <w:p>
      <w:pPr>
        <w:ind w:left="384" w:right="4160" w:firstLine="6"/>
        <w:spacing w:after="0" w:line="498" w:lineRule="auto"/>
        <w:tabs>
          <w:tab w:leader="none" w:pos="605" w:val="left"/>
        </w:tabs>
        <w:numPr>
          <w:ilvl w:val="1"/>
          <w:numId w:val="189"/>
        </w:numPr>
        <w:rPr>
          <w:rFonts w:ascii="MS PGothic" w:cs="MS PGothic" w:eastAsia="MS PGothic" w:hAnsi="MS PGothic"/>
          <w:sz w:val="16"/>
          <w:szCs w:val="16"/>
          <w:color w:val="auto"/>
        </w:rPr>
      </w:pPr>
      <w:r>
        <w:rPr>
          <w:rFonts w:ascii="Arial" w:cs="Arial" w:eastAsia="Arial" w:hAnsi="Arial"/>
          <w:sz w:val="16"/>
          <w:szCs w:val="16"/>
          <w:color w:val="auto"/>
        </w:rPr>
        <w:t>We are a “qualified institutional buyer” (as defined in Rule 144A under the Securities Act (a “</w:t>
      </w:r>
      <w:r>
        <w:rPr>
          <w:rFonts w:ascii="Arial" w:cs="Arial" w:eastAsia="Arial" w:hAnsi="Arial"/>
          <w:sz w:val="16"/>
          <w:szCs w:val="16"/>
          <w:u w:val="single" w:color="auto"/>
          <w:color w:val="auto"/>
        </w:rPr>
        <w:t>QIB</w:t>
      </w:r>
      <w:r>
        <w:rPr>
          <w:rFonts w:ascii="Arial" w:cs="Arial" w:eastAsia="Arial" w:hAnsi="Arial"/>
          <w:sz w:val="16"/>
          <w:szCs w:val="16"/>
          <w:color w:val="auto"/>
        </w:rPr>
        <w:t>”)). **OR**</w:t>
      </w:r>
    </w:p>
    <w:p>
      <w:pPr>
        <w:spacing w:after="0" w:line="1" w:lineRule="exact"/>
        <w:rPr>
          <w:rFonts w:ascii="MS PGothic" w:cs="MS PGothic" w:eastAsia="MS PGothic" w:hAnsi="MS PGothic"/>
          <w:sz w:val="16"/>
          <w:szCs w:val="16"/>
          <w:color w:val="auto"/>
        </w:rPr>
      </w:pPr>
    </w:p>
    <w:p>
      <w:pPr>
        <w:ind w:left="444" w:right="7120" w:hanging="444"/>
        <w:spacing w:after="0" w:line="309" w:lineRule="auto"/>
        <w:tabs>
          <w:tab w:leader="none" w:pos="44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INSTITUTIONAL ACCREDITED INVESTOR STATUS (Please check the applicable subparagraphs):</w:t>
      </w:r>
    </w:p>
    <w:p>
      <w:pPr>
        <w:spacing w:after="0" w:line="99" w:lineRule="exact"/>
        <w:rPr>
          <w:rFonts w:ascii="Arial" w:cs="Arial" w:eastAsia="Arial" w:hAnsi="Arial"/>
          <w:sz w:val="15"/>
          <w:szCs w:val="15"/>
          <w:color w:val="auto"/>
        </w:rPr>
      </w:pPr>
    </w:p>
    <w:p>
      <w:pPr>
        <w:ind w:left="884" w:right="180" w:hanging="442"/>
        <w:spacing w:after="0" w:line="213" w:lineRule="exact"/>
        <w:tabs>
          <w:tab w:leader="none" w:pos="884" w:val="left"/>
        </w:tabs>
        <w:numPr>
          <w:ilvl w:val="2"/>
          <w:numId w:val="18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are an “accredited investor” within the meaning of Rule 501(a)(1), (2), (3) or (7) under the Securities Act, and have marked and initialed the appropriate box below indicating the provision under which we qualify as an “accredited investor.”</w:t>
      </w:r>
    </w:p>
    <w:p>
      <w:pPr>
        <w:spacing w:after="0" w:line="148" w:lineRule="exact"/>
        <w:rPr>
          <w:rFonts w:ascii="Arial" w:cs="Arial" w:eastAsia="Arial" w:hAnsi="Arial"/>
          <w:sz w:val="16"/>
          <w:szCs w:val="16"/>
          <w:color w:val="auto"/>
        </w:rPr>
      </w:pPr>
    </w:p>
    <w:p>
      <w:pPr>
        <w:ind w:left="724" w:hanging="282"/>
        <w:spacing w:after="0" w:line="184" w:lineRule="exact"/>
        <w:tabs>
          <w:tab w:leader="none" w:pos="724" w:val="left"/>
        </w:tabs>
        <w:numPr>
          <w:ilvl w:val="2"/>
          <w:numId w:val="18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are not a natural person.</w:t>
      </w:r>
    </w:p>
    <w:p>
      <w:pPr>
        <w:spacing w:after="0" w:line="228"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46" w:lineRule="exact"/>
        <w:rPr>
          <w:sz w:val="20"/>
          <w:szCs w:val="20"/>
          <w:color w:val="auto"/>
        </w:rPr>
      </w:pPr>
    </w:p>
    <w:p>
      <w:pPr>
        <w:ind w:left="604" w:hanging="214"/>
        <w:spacing w:after="0"/>
        <w:tabs>
          <w:tab w:leader="none" w:pos="604" w:val="left"/>
        </w:tabs>
        <w:numPr>
          <w:ilvl w:val="0"/>
          <w:numId w:val="190"/>
        </w:numPr>
        <w:rPr>
          <w:rFonts w:ascii="MS PGothic" w:cs="MS PGothic" w:eastAsia="MS PGothic" w:hAnsi="MS PGothic"/>
          <w:sz w:val="14"/>
          <w:szCs w:val="14"/>
          <w:color w:val="auto"/>
        </w:rPr>
      </w:pPr>
      <w:r>
        <w:rPr>
          <w:rFonts w:ascii="Arial" w:cs="Arial" w:eastAsia="Arial" w:hAnsi="Arial"/>
          <w:sz w:val="14"/>
          <w:szCs w:val="14"/>
          <w:color w:val="auto"/>
        </w:rPr>
        <w:t>Any bank, registered broker or dealer, insurance company, registered investment company, business development company, or small business investment company;</w:t>
      </w:r>
    </w:p>
    <w:p>
      <w:pPr>
        <w:spacing w:after="0" w:line="221" w:lineRule="exact"/>
        <w:rPr>
          <w:rFonts w:ascii="MS PGothic" w:cs="MS PGothic" w:eastAsia="MS PGothic" w:hAnsi="MS PGothic"/>
          <w:sz w:val="14"/>
          <w:szCs w:val="14"/>
          <w:color w:val="auto"/>
        </w:rPr>
      </w:pPr>
    </w:p>
    <w:p>
      <w:pPr>
        <w:ind w:left="384" w:right="20" w:firstLine="6"/>
        <w:spacing w:after="0" w:line="275" w:lineRule="auto"/>
        <w:tabs>
          <w:tab w:leader="none" w:pos="612"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51" w:lineRule="exact"/>
        <w:rPr>
          <w:rFonts w:ascii="MS PGothic" w:cs="MS PGothic" w:eastAsia="MS PGothic" w:hAnsi="MS PGothic"/>
          <w:sz w:val="16"/>
          <w:szCs w:val="16"/>
          <w:color w:val="auto"/>
        </w:rPr>
      </w:pPr>
    </w:p>
    <w:p>
      <w:pPr>
        <w:ind w:left="384" w:right="20" w:firstLine="6"/>
        <w:spacing w:after="0" w:line="275" w:lineRule="auto"/>
        <w:tabs>
          <w:tab w:leader="none" w:pos="624"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51" w:lineRule="exact"/>
        <w:rPr>
          <w:rFonts w:ascii="MS PGothic" w:cs="MS PGothic" w:eastAsia="MS PGothic" w:hAnsi="MS PGothic"/>
          <w:sz w:val="16"/>
          <w:szCs w:val="16"/>
          <w:color w:val="auto"/>
        </w:rPr>
      </w:pPr>
    </w:p>
    <w:p>
      <w:pPr>
        <w:ind w:left="384" w:right="20" w:firstLine="6"/>
        <w:spacing w:after="0" w:line="275" w:lineRule="auto"/>
        <w:tabs>
          <w:tab w:leader="none" w:pos="642"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51" w:lineRule="exact"/>
        <w:rPr>
          <w:rFonts w:ascii="MS PGothic" w:cs="MS PGothic" w:eastAsia="MS PGothic" w:hAnsi="MS PGothic"/>
          <w:sz w:val="16"/>
          <w:szCs w:val="16"/>
          <w:color w:val="auto"/>
        </w:rPr>
      </w:pPr>
    </w:p>
    <w:p>
      <w:pPr>
        <w:ind w:left="564" w:hanging="174"/>
        <w:spacing w:after="0"/>
        <w:tabs>
          <w:tab w:leader="none" w:pos="564"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trust with assets in excess of $5,000,000, not formed to acquire the securities offered, whose purchase is directed by a sophisticated person; or</w:t>
      </w:r>
    </w:p>
    <w:p>
      <w:pPr>
        <w:spacing w:after="0" w:line="198" w:lineRule="exact"/>
        <w:rPr>
          <w:rFonts w:ascii="MS PGothic" w:cs="MS PGothic" w:eastAsia="MS PGothic" w:hAnsi="MS PGothic"/>
          <w:sz w:val="16"/>
          <w:szCs w:val="16"/>
          <w:color w:val="auto"/>
        </w:rPr>
      </w:pPr>
    </w:p>
    <w:p>
      <w:pPr>
        <w:ind w:left="564" w:hanging="174"/>
        <w:spacing w:after="0"/>
        <w:tabs>
          <w:tab w:leader="none" w:pos="564"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 meeting one or more of the above tests.</w:t>
      </w:r>
    </w:p>
    <w:p>
      <w:pPr>
        <w:spacing w:after="0" w:line="198" w:lineRule="exact"/>
        <w:rPr>
          <w:sz w:val="20"/>
          <w:szCs w:val="20"/>
          <w:color w:val="auto"/>
        </w:rPr>
      </w:pPr>
    </w:p>
    <w:p>
      <w:pPr>
        <w:ind w:left="384"/>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C. INSTITUTIONAL ACCOUNTS STATUS</w:t>
      </w:r>
    </w:p>
    <w:p>
      <w:pPr>
        <w:spacing w:after="0" w:line="198" w:lineRule="exact"/>
        <w:rPr>
          <w:sz w:val="20"/>
          <w:szCs w:val="20"/>
          <w:color w:val="auto"/>
        </w:rPr>
      </w:pPr>
    </w:p>
    <w:p>
      <w:pPr>
        <w:ind w:left="824" w:hanging="251"/>
        <w:spacing w:after="0"/>
        <w:tabs>
          <w:tab w:leader="none" w:pos="824" w:val="left"/>
        </w:tabs>
        <w:numPr>
          <w:ilvl w:val="0"/>
          <w:numId w:val="191"/>
        </w:numPr>
        <w:rPr>
          <w:rFonts w:ascii="MS PGothic" w:cs="MS PGothic" w:eastAsia="MS PGothic" w:hAnsi="MS PGothic"/>
          <w:sz w:val="15"/>
          <w:szCs w:val="15"/>
          <w:color w:val="auto"/>
        </w:rPr>
      </w:pPr>
      <w:r>
        <w:rPr>
          <w:rFonts w:ascii="Arial" w:cs="Arial" w:eastAsia="Arial" w:hAnsi="Arial"/>
          <w:sz w:val="15"/>
          <w:szCs w:val="15"/>
          <w:color w:val="auto"/>
        </w:rPr>
        <w:t>We or the investment adviser that has been delegated decision-making authority over our account are an “institutional account” (as defined in FINRA RULE</w:t>
      </w:r>
    </w:p>
    <w:p>
      <w:pPr>
        <w:spacing w:after="0" w:line="32" w:lineRule="exact"/>
        <w:rPr>
          <w:rFonts w:ascii="MS PGothic" w:cs="MS PGothic" w:eastAsia="MS PGothic" w:hAnsi="MS PGothic"/>
          <w:sz w:val="15"/>
          <w:szCs w:val="15"/>
          <w:color w:val="auto"/>
        </w:rPr>
      </w:pPr>
    </w:p>
    <w:p>
      <w:pPr>
        <w:ind w:left="4"/>
        <w:spacing w:after="0"/>
        <w:rPr>
          <w:rFonts w:ascii="MS PGothic" w:cs="MS PGothic" w:eastAsia="MS PGothic" w:hAnsi="MS PGothic"/>
          <w:sz w:val="15"/>
          <w:szCs w:val="15"/>
          <w:color w:val="auto"/>
        </w:rPr>
      </w:pPr>
      <w:r>
        <w:rPr>
          <w:rFonts w:ascii="Arial" w:cs="Arial" w:eastAsia="Arial" w:hAnsi="Arial"/>
          <w:sz w:val="16"/>
          <w:szCs w:val="16"/>
          <w:color w:val="auto"/>
        </w:rPr>
        <w:t>4512(c)).</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This page should be completed by the Investor</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and constitutes a part of the Subscription Agreement.</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1365885" cy="409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line="280" w:lineRule="auto"/>
        <w:rPr>
          <w:sz w:val="20"/>
          <w:szCs w:val="20"/>
          <w:color w:val="auto"/>
        </w:rPr>
      </w:pPr>
      <w:r>
        <w:rPr>
          <w:rFonts w:ascii="Arial" w:cs="Arial" w:eastAsia="Arial" w:hAnsi="Arial"/>
          <w:sz w:val="16"/>
          <w:szCs w:val="16"/>
          <w:b w:val="1"/>
          <w:bCs w:val="1"/>
          <w:color w:val="auto"/>
        </w:rPr>
        <w:t>Tango Therapeutics and BCTG Acquisition Corp. Announce Merger Agreement to Create Publicly Listed Precision Medicine Company Focused on the Next Generation of Targeted Cancer Therapies</w:t>
      </w:r>
    </w:p>
    <w:p>
      <w:pPr>
        <w:spacing w:after="0" w:line="172" w:lineRule="exact"/>
        <w:rPr>
          <w:sz w:val="20"/>
          <w:szCs w:val="20"/>
          <w:color w:val="auto"/>
        </w:rPr>
      </w:pPr>
    </w:p>
    <w:p>
      <w:pPr>
        <w:ind w:left="1100" w:right="980" w:hanging="123"/>
        <w:spacing w:after="0" w:line="480" w:lineRule="auto"/>
        <w:tabs>
          <w:tab w:leader="none" w:pos="1091" w:val="left"/>
        </w:tabs>
        <w:numPr>
          <w:ilvl w:val="0"/>
          <w:numId w:val="192"/>
        </w:numPr>
        <w:rPr>
          <w:rFonts w:ascii="Arial" w:cs="Arial" w:eastAsia="Arial" w:hAnsi="Arial"/>
          <w:sz w:val="17"/>
          <w:szCs w:val="17"/>
          <w:color w:val="auto"/>
        </w:rPr>
      </w:pPr>
      <w:r>
        <w:rPr>
          <w:rFonts w:ascii="Arial" w:cs="Arial" w:eastAsia="Arial" w:hAnsi="Arial"/>
          <w:sz w:val="14"/>
          <w:szCs w:val="14"/>
          <w:i w:val="1"/>
          <w:iCs w:val="1"/>
          <w:color w:val="auto"/>
        </w:rPr>
        <w:t xml:space="preserve">Leading institutional investors commit $186 million through a common stock private investment in public equity (“PIPE”) led by Boxer Capital </w:t>
      </w:r>
      <w:r>
        <w:rPr>
          <w:rFonts w:ascii="Arial" w:cs="Arial" w:eastAsia="Arial" w:hAnsi="Arial"/>
          <w:sz w:val="17"/>
          <w:szCs w:val="17"/>
          <w:color w:val="auto"/>
        </w:rPr>
        <w:t xml:space="preserve">- </w:t>
      </w:r>
      <w:r>
        <w:rPr>
          <w:rFonts w:ascii="Arial" w:cs="Arial" w:eastAsia="Arial" w:hAnsi="Arial"/>
          <w:sz w:val="14"/>
          <w:szCs w:val="14"/>
          <w:i w:val="1"/>
          <w:iCs w:val="1"/>
          <w:color w:val="auto"/>
        </w:rPr>
        <w:t>Total proceeds expected to be approximately $353 million, combining funds held in trust by BCTG Acquisition Corp and the PIPE financing</w:t>
      </w:r>
    </w:p>
    <w:p>
      <w:pPr>
        <w:ind w:left="1220"/>
        <w:spacing w:after="0"/>
        <w:rPr>
          <w:rFonts w:ascii="Arial" w:cs="Arial" w:eastAsia="Arial" w:hAnsi="Arial"/>
          <w:sz w:val="17"/>
          <w:szCs w:val="17"/>
          <w:color w:val="auto"/>
        </w:rPr>
      </w:pPr>
      <w:r>
        <w:rPr>
          <w:rFonts w:ascii="Arial" w:cs="Arial" w:eastAsia="Arial" w:hAnsi="Arial"/>
          <w:sz w:val="19"/>
          <w:szCs w:val="19"/>
          <w:color w:val="auto"/>
        </w:rPr>
        <w:t xml:space="preserve">- </w:t>
      </w:r>
      <w:r>
        <w:rPr>
          <w:rFonts w:ascii="Arial" w:cs="Arial" w:eastAsia="Arial" w:hAnsi="Arial"/>
          <w:sz w:val="15"/>
          <w:szCs w:val="15"/>
          <w:i w:val="1"/>
          <w:iCs w:val="1"/>
          <w:color w:val="auto"/>
        </w:rPr>
        <w:t>Merger expected to be completed in third quarter of 2021, and Combined Company will be listed on Nasdaq under the ticker “TNGX” –</w:t>
      </w:r>
    </w:p>
    <w:p>
      <w:pPr>
        <w:spacing w:after="0" w:line="204" w:lineRule="exact"/>
        <w:rPr>
          <w:sz w:val="20"/>
          <w:szCs w:val="20"/>
          <w:color w:val="auto"/>
        </w:rPr>
      </w:pPr>
    </w:p>
    <w:p>
      <w:pPr>
        <w:ind w:left="2080" w:hanging="121"/>
        <w:spacing w:after="0"/>
        <w:tabs>
          <w:tab w:leader="none" w:pos="2080" w:val="left"/>
        </w:tabs>
        <w:numPr>
          <w:ilvl w:val="0"/>
          <w:numId w:val="193"/>
        </w:numPr>
        <w:rPr>
          <w:rFonts w:ascii="Arial" w:cs="Arial" w:eastAsia="Arial" w:hAnsi="Arial"/>
          <w:sz w:val="19"/>
          <w:szCs w:val="19"/>
          <w:color w:val="auto"/>
        </w:rPr>
      </w:pPr>
      <w:r>
        <w:rPr>
          <w:rFonts w:ascii="Arial" w:cs="Arial" w:eastAsia="Arial" w:hAnsi="Arial"/>
          <w:sz w:val="16"/>
          <w:szCs w:val="16"/>
          <w:i w:val="1"/>
          <w:iCs w:val="1"/>
          <w:color w:val="auto"/>
        </w:rPr>
        <w:t>Joint investor conference call to discuss the proposed transaction today, Wednesday, April 14, at 10:00 a.m. ET –</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b w:val="1"/>
          <w:bCs w:val="1"/>
          <w:color w:val="auto"/>
        </w:rPr>
        <w:t xml:space="preserve">CAMBRIDGE, Mass. – April 14, 2021 </w:t>
      </w:r>
      <w:r>
        <w:rPr>
          <w:rFonts w:ascii="Arial" w:cs="Arial" w:eastAsia="Arial" w:hAnsi="Arial"/>
          <w:sz w:val="14"/>
          <w:szCs w:val="14"/>
          <w:color w:val="auto"/>
        </w:rPr>
        <w:t>– Tango Therapeutics, a biotechnology company committed to discovering and delivering the next generation of precision cancer</w:t>
      </w:r>
      <w:r>
        <w:rPr>
          <w:rFonts w:ascii="Arial" w:cs="Arial" w:eastAsia="Arial" w:hAnsi="Arial"/>
          <w:sz w:val="14"/>
          <w:szCs w:val="14"/>
          <w:b w:val="1"/>
          <w:bCs w:val="1"/>
          <w:color w:val="auto"/>
        </w:rPr>
        <w:t xml:space="preserve"> </w:t>
      </w:r>
      <w:r>
        <w:rPr>
          <w:rFonts w:ascii="Arial" w:cs="Arial" w:eastAsia="Arial" w:hAnsi="Arial"/>
          <w:sz w:val="14"/>
          <w:szCs w:val="14"/>
          <w:color w:val="auto"/>
        </w:rPr>
        <w:t>medicines, and BCTG Acquisition Corp. (Nasdaq: BCTG), a special purpose acquisition company (SPAC) sponsored by Boxer Capital, today announced they have entered into a definitive merger agreement. Upon closing of the transaction, the company will be named Tango Therapeutics, Inc. (Combined Company) and will be led by Barbara Weber, MD, President and Chief Executive Officer of Tango. Tango Therapeutics, Inc. common stock is expected to be listed on Nasdaq under the ticker symbol “TNGX”.</w:t>
      </w:r>
    </w:p>
    <w:p>
      <w:pPr>
        <w:spacing w:after="0" w:line="134"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addition to the approximately $167 million held in BCTG Acquisition Corp.’s trust account (less any redemptions), a group of healthcare investors has committed to participate in the transaction through a common stock PIPE of approximately $186 million at $10.00 per share. Investors in the PIPE include lead investor and SPAC sponsor Boxer Capital, as well as Avoro Capital Advisors, Bain Capital Life Sciences, funds and accounts managed by Blackrock, EcoR1 Capital, Farallon Capital, Fidelity Management &amp; Research Company LLC, Foresite Capital, Janus Henderson Investors, Logos Capital, RA Capital Management, Samsara BioCapital, Southpoint Capital, Surveyor Capital (a Citadel Company) and Woodline Partners LP, in addition to existing Tango Therapeutics shareholders including Casdin Capital, Cormorant Asset Management and Gilead Sciences.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morning’s announcement is a key milestone for Tango as it ensures we have access to the capital needed to advance our preclinical programs and initiate clinical studies of our three lead programs, as we continue our mission of bringing transformational therapies to patients” said Dr. Weber. “I would like to thank all those involved in making this transaction a success, including Boxer Capital, our existing and new investors, and the entire Tango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06" w:name="page207"/>
    <w:bookmarkEnd w:id="206"/>
    <w:p>
      <w:pPr>
        <w:jc w:val="both"/>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t>“We were particularly interested in partnering BCTG with a company with a novel approach to treating cancer, a deep pipeline and an exceptional management team, and Tango perfectly embodies the platform and company we had in mind with its focus on synthetic lethality,” said Aaron Davis, co-founder and Chief Executive Officer of Boxer Capital, LLC and Chairman and Chief Executive Officer of BCTG Acquisition Corp. “Tango’s lead program, targeting PRMT5, leverages a unique mechanism of action with the potential to address a significant patient population across multiple cancer types, and we are excited about this transaction and supporting Tango on their path into the clinic and beyond.”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transaction are expected to provide Tango with the capital needed to further develop its pipeline, including the following activities:</w:t>
      </w:r>
    </w:p>
    <w:p>
      <w:pPr>
        <w:spacing w:after="0" w:line="198" w:lineRule="exact"/>
        <w:rPr>
          <w:sz w:val="20"/>
          <w:szCs w:val="20"/>
          <w:color w:val="auto"/>
        </w:rPr>
      </w:pPr>
    </w:p>
    <w:p>
      <w:pPr>
        <w:ind w:left="620" w:hanging="290"/>
        <w:spacing w:after="0" w:line="257" w:lineRule="auto"/>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IND filing for Tango’s lead program, TNG908, an MTA-cooperative PRMT5 inhibitor, expected in the fourth quarter of 2021 and advance it into the clinic with a comprehensive development plan exploring multiple cancer types;</w:t>
      </w:r>
    </w:p>
    <w:p>
      <w:pPr>
        <w:spacing w:after="0" w:line="1" w:lineRule="exact"/>
        <w:rPr>
          <w:rFonts w:ascii="Arial" w:cs="Arial" w:eastAsia="Arial" w:hAnsi="Arial"/>
          <w:sz w:val="16"/>
          <w:szCs w:val="16"/>
          <w:color w:val="auto"/>
        </w:rPr>
      </w:pPr>
    </w:p>
    <w:p>
      <w:pPr>
        <w:ind w:left="620" w:hanging="290"/>
        <w:spacing w:after="0"/>
        <w:tabs>
          <w:tab w:leader="none" w:pos="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IND filing for Tango’s USP1 inhibitor expected in 2022 and advance it into the clinic for treatment of BRCA1-mutant breast, ovarian and prostate cancer;</w:t>
      </w:r>
    </w:p>
    <w:p>
      <w:pPr>
        <w:spacing w:after="0" w:line="18" w:lineRule="exact"/>
        <w:rPr>
          <w:rFonts w:ascii="Arial" w:cs="Arial" w:eastAsia="Arial" w:hAnsi="Arial"/>
          <w:sz w:val="15"/>
          <w:szCs w:val="15"/>
          <w:color w:val="auto"/>
        </w:rPr>
      </w:pPr>
    </w:p>
    <w:p>
      <w:pPr>
        <w:ind w:left="620" w:hanging="290"/>
        <w:spacing w:after="0"/>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IND filing for an undisclosed target expected in 2023 and advance it into the clinic for treatment of STK11-mutant lung cancer; and</w:t>
      </w:r>
    </w:p>
    <w:p>
      <w:pPr>
        <w:spacing w:after="0" w:line="7" w:lineRule="exact"/>
        <w:rPr>
          <w:rFonts w:ascii="Arial" w:cs="Arial" w:eastAsia="Arial" w:hAnsi="Arial"/>
          <w:sz w:val="16"/>
          <w:szCs w:val="16"/>
          <w:color w:val="auto"/>
        </w:rPr>
      </w:pPr>
    </w:p>
    <w:p>
      <w:pPr>
        <w:ind w:left="620" w:hanging="290"/>
        <w:spacing w:after="0"/>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Progressing multiple preclinical programs into development with the goal of filing one new IND every 12 to 18 months.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Transaction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Current Tango shareholders are converting 100% of their existing equity interests into common stock of the Combined Company. In addition to the approximately $167 million held in the BCTG trust account (less any redemptions), an additional group of premier healthcare investors has committed to participate in the transaction through a common stock PIPE of approximately $186 million at $10.00 per share.</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Combined Company is expected to receive gross proceeds of approximately $353 million at the closing of the transaction (assuming no redemptions from BCTG’s trust account), which is expected in the third quarter of 2021. The close of this transaction is subject to approval of BCTG shareholders and the satisfaction or waiver of certain other customary closing conditions.</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Goldman Sachs &amp; Co. LLC and SVB Leerink acted as financial advisors for BCTG Acquisition Corp. Goldman Sachs &amp; Co. LLC, SVB Leerink, and Guggenheim Securities, LLC acted as private placement agents for BCTG Acquisition Corp. Barclays acted as capital market and financial advisor to Tango. Wedbush PacGrow also acted as an advisor to Tango. Goodwin Procter LLP acted as legal counsel to Tango. Loeb &amp; Loeb LLP acted as legal counsel to BCTG Acquisition Corp. Cooley LLP acted as legal counsel to the private placement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207" w:name="page208"/>
    <w:bookmarkEnd w:id="207"/>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jc w:val="both"/>
        <w:ind w:right="20"/>
        <w:spacing w:after="0" w:line="258" w:lineRule="auto"/>
        <w:rPr>
          <w:sz w:val="20"/>
          <w:szCs w:val="20"/>
          <w:color w:val="auto"/>
        </w:rPr>
      </w:pPr>
      <w:r>
        <w:rPr>
          <w:rFonts w:ascii="Arial" w:cs="Arial" w:eastAsia="Arial" w:hAnsi="Arial"/>
          <w:sz w:val="16"/>
          <w:szCs w:val="16"/>
          <w:color w:val="auto"/>
        </w:rPr>
        <w:t>The description of the business combination contained herein is only a high-level summary. Additional information about the transaction will be provided in a Current Report on Form 8-K that will contain an investor presentation to be filed by BCTG Acquisition Corp. with the Securities and Exchange Commission (“SEC”) and will be available at www.sec.gov. In addition, BCTG Acquisition Corp. intends to file a registration statement on Form S-4 with the SEC, which will include a proxy statement/prospectus, and will file other documents regarding the proposed transaction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202"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Tango and BCTG Acquisition Corp. will host a conference call today, Wednesday, April 14, 2021, at 10:00 a.m. Eastern Time, to discuss the proposed transaction. To access the conference call, please dial 1 (888) 317-6003 (local) or 1 (412) 317-6061 (international) at least 10 minutes prior to the start time and reference conference ID: 9522795.</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Tango Therapeutics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Tango Therapeutics is a biotechnology company dedicated to discovering novel drug targets and delivering the next generation of precision medicine to people with cancer. Using an approach that starts and ends with patients, Tango leverages the genetic principle of synthetic lethality to discover and develop therapies that take aim at driver genes in cancer. The company is focused on counteracting tumor suppressor gene loss and reversing the ability of cancer cells to evade the immune system. For more information, please visit www.tangotx.com.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BCTG Acquisition Corp. (BCTG)</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BCTG Acquisition Corp. (“BCTG”) is a Delaware corporation formed for the purpose of entering into a business combination with one or more businesses in the biotechnology sector, with a focus on targeted oncology. On September 8, 2020, BCTG raised approximately $167 million for this purpose in its initial public offering. BCTG is sponsored by Boxer Capital of Tavistock Group.</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Boxer Capital of Tavistock Group</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Boxer Capital is a private biotechnology investment fund based in San Diego, California that invents and invests in new therapeutics across multiple indications in order to create value through improved patient care and outcomes. Founded by the life sciences team at Tavistock Group in 2005, Boxer Capital invests in private and public companies representing the entire drug development lifecycle from early-stage preclinical discovery assets to late-stage clinical and commercial stage companies. For more information, please visit www.boxercap.com.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08" w:name="page209"/>
    <w:bookmarkEnd w:id="208"/>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Important Information About the Merger and Where to Find It</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document relates to a proposed transaction between BCTG Acquisition Corp. and Tango Therapeutics. A full description of the terms of the business combination will be provided in a registration statement on Form S-4 to be filed with the SEC by BCTG Acquisition Corp. that will include a prospectus with respect to the Combined Company’s securities to be issued in connection with the business combination and a proxy statement with respect to the shareholder meeting of BCTG Acquisition Corp. to vote on the business combination</w:t>
      </w:r>
      <w:r>
        <w:rPr>
          <w:rFonts w:ascii="Arial" w:cs="Arial" w:eastAsia="Arial" w:hAnsi="Arial"/>
          <w:sz w:val="15"/>
          <w:szCs w:val="15"/>
          <w:b w:val="1"/>
          <w:bCs w:val="1"/>
          <w:color w:val="auto"/>
        </w:rPr>
        <w:t>. BCTG Acquisition Corp. urges its investors, shareholders and other interested persons to read, when available, the preliminary proxy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statement/ prospectus as well as other documents filed with the SEC because these documents will contain important information about BCTG Acquisition Corp., Tango, and the business combination. </w:t>
      </w:r>
      <w:r>
        <w:rPr>
          <w:rFonts w:ascii="Arial" w:cs="Arial" w:eastAsia="Arial" w:hAnsi="Arial"/>
          <w:sz w:val="15"/>
          <w:szCs w:val="15"/>
          <w:color w:val="auto"/>
        </w:rPr>
        <w:t>After the registration statement is declared effective, the definitive proxy statement/prospectus to be included in the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will be mailed to shareholders of BCTG Acquisition Corp.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BCTG Acquisition Corp. at 12860 El Camino Real, Suite 300, San Diego, CA 92130. The preliminary and definitive proxy statement/prospectus to be included in the registration statement, once available, can also be obtained, without charge, at the SEC’s website (www.sec.gov).</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BCTG and Tango and their respective directors and executive officers may be deemed to be participants in the solicitation of proxies from BCTG’s stockholders in connection with the proposed transaction. A list of the names of the directors and executive officers of BCTG and information regarding their interests in the business combination will be contained in the proxy statement/prospectus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This document contains certain forward-looking statements within the meaning of the federal securities laws with respect to the proposed transaction between BCTG Acquisition Corp. (“BCTG”) and Tango Therapeutics (“Tango”).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transaction may not be completed in a timely manner or at all, which may adversely affect the price of BCTG’s securities, (iii) the failure to satisfy the conditions to the consummation of the transaction, including the adoption of the Agreement and Plan of Merger, dated as of April 13, 2021 (the “Merger Agreement”), by the stockholders of BCTG, the satisfaction of the minimum trust account amount following redemptions by BCTG’s public stockholders and the receipt of certain governmental and regulatory approvals, (iv) the inability to complete the PIPE investment in connection with the transaction, (v) the occurrence of any event, change or other circumstance that could give rise to the termination of the Merger Agreement, (vi) the effect of the announcement or pendency of the transaction on Tango business relationships, operating results and business generally, (vii) risks that the proposed transaction disrupts current plans and operations of Tango and potential difficulties in Tango employee retention as a result of the transaction, (viii) the outcome of any legal proceedings that may be instituted against Tango or against BCTG related to the Merger Agreement or the transaction, (ix) the ability to maintain the listing of BCTG’s securities on a national securities exchange, (x) the price of BCTG’s securities may be volatile due to a variety of factors, including changes in the competitive and highly regulated industries in which BCTG plans to operate or Tango operates, variations in operating performance across competitors, changes in laws and regulations affecting BCTG’s or Tango’s business and changes in the combined capital structure, (xi) the ability to implement business plans, forecasts, and other expectations after the completion of the transaction, and identify and realize additional opportunities, and (xii) the risk of downturns and a changing regulatory landscape in Tango’s highly competitive industry. The foregoing list of factors is not exhaustive. You should carefully consider the foregoing factors and the other risks and uncertainties described in the “Risk Factors” section of BCTG’s registration statement on Form S-1, the registration statement on Form S-4 discussed above and other documents filed by BCTG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BCTG and Tango assume no obligation and do not intend to update or revise these forward-looking statements, whether as a result of new information, future events, or otherwise. Neither BCTG nor Tango gives any assurance that either BCTG or Tango or the combined company will achieve its expectations.</w:t>
      </w:r>
    </w:p>
    <w:p>
      <w:pPr>
        <w:spacing w:after="0" w:line="33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Any financial projections in this communication are forward-looking statements that are based on assumptions that are inherently subject to significant uncertainties and contingencies, many of which are beyond BCTG’s and Tango’s control. While all projections are necessarily speculative, BCTG and Tango believe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projections in this communication should not be regarded as an indication that BCTG and Tango, or their representatives, considered or consider the projections to be a reliable prediction of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304800</wp:posOffset>
            </wp:positionV>
            <wp:extent cx="714819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0" w:name="page211"/>
    <w:bookmarkEnd w:id="210"/>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Non-Solicitation</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press release is not a proxy statement or solicitation of a proxy, consent or authorization with respect to any securities or in respect of the proposed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any such state or jurisdiction. No offer of securities shall be made except by means of a prospectus meeting the requirements of the Securities Act.</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Sam Martin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Argot Partners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tango@argotpartners.com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Joshua R. Mansbach</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Argot Partners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tango@argotpartners.com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BCTG Contact: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Christina Martinez</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BCTG Acquisition Corp.</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(858) 400-3120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1" w:name="page212"/>
    <w:bookmarkEnd w:id="211"/>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4332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47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47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40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4406265</wp:posOffset>
            </wp:positionV>
            <wp:extent cx="714819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24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lowerRoman"/>
      <w:start w:val="1"/>
    </w:lvl>
  </w:abstractNum>
  <w:abstractNum w:abstractNumId="3">
    <w:nsid w:val="7672BD23"/>
    <w:multiLevelType w:val="hybridMultilevel"/>
    <w:lvl w:ilvl="0">
      <w:lvlJc w:val="left"/>
      <w:lvlText w:val="(%1)"/>
      <w:numFmt w:val="lowerRoman"/>
      <w:start w:val="1"/>
    </w:lvl>
  </w:abstractNum>
  <w:abstractNum w:abstractNumId="4">
    <w:nsid w:val="6FC75AF8"/>
    <w:multiLevelType w:val="hybridMultilevel"/>
    <w:lvl w:ilvl="0">
      <w:lvlJc w:val="left"/>
      <w:lvlText w:val="(%1)"/>
      <w:numFmt w:val="decimal"/>
      <w:start w:val="16"/>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1)"/>
      <w:numFmt w:val="lowerLetter"/>
      <w:start w:val="1"/>
    </w:lvl>
  </w:abstractNum>
  <w:abstractNum w:abstractNumId="7">
    <w:nsid w:val="5F3534A4"/>
    <w:multiLevelType w:val="hybridMultilevel"/>
    <w:lvl w:ilvl="0">
      <w:lvlJc w:val="left"/>
      <w:lvlText w:val="(%1)"/>
      <w:numFmt w:val="lowerLetter"/>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1)"/>
      <w:numFmt w:val="lowerLetter"/>
      <w:start w:val="1"/>
    </w:lvl>
  </w:abstractNum>
  <w:abstractNum w:abstractNumId="10">
    <w:nsid w:val="555C55B5"/>
    <w:multiLevelType w:val="hybridMultilevel"/>
    <w:lvl w:ilvl="0">
      <w:lvlJc w:val="left"/>
      <w:lvlText w:val="(%1)"/>
      <w:numFmt w:val="lowerLetter"/>
      <w:start w:val="1"/>
    </w:lvl>
  </w:abstractNum>
  <w:abstractNum w:abstractNumId="11">
    <w:nsid w:val="3FA62ACA"/>
    <w:multiLevelType w:val="hybridMultilevel"/>
    <w:lvl w:ilvl="0">
      <w:lvlJc w:val="left"/>
      <w:lvlText w:val="(%1)"/>
      <w:numFmt w:val="lowerLetter"/>
      <w:start w:val="1"/>
    </w:lvl>
  </w:abstractNum>
  <w:abstractNum w:abstractNumId="12">
    <w:nsid w:val="14FCE74E"/>
    <w:multiLevelType w:val="hybridMultilevel"/>
    <w:lvl w:ilvl="0">
      <w:lvlJc w:val="left"/>
      <w:lvlText w:val="(%1)"/>
      <w:numFmt w:val="lowerLetter"/>
      <w:start w:val="2"/>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1)"/>
      <w:numFmt w:val="lowerLetter"/>
      <w:start w:val="2"/>
    </w:lvl>
  </w:abstractNum>
  <w:abstractNum w:abstractNumId="15">
    <w:nsid w:val="9DAF632"/>
    <w:multiLevelType w:val="hybridMultilevel"/>
    <w:lvl w:ilvl="0">
      <w:lvlJc w:val="left"/>
      <w:lvlText w:val="(%1)"/>
      <w:numFmt w:val="lowerLetter"/>
      <w:start w:val="1"/>
    </w:lvl>
  </w:abstractNum>
  <w:abstractNum w:abstractNumId="16">
    <w:nsid w:val="53299938"/>
    <w:multiLevelType w:val="hybridMultilevel"/>
    <w:lvl w:ilvl="0">
      <w:lvlJc w:val="left"/>
      <w:lvlText w:val="(%1)"/>
      <w:numFmt w:val="lowerLetter"/>
      <w:start w:val="3"/>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1)"/>
      <w:numFmt w:val="lowerLetter"/>
      <w:start w:val="1"/>
    </w:lvl>
  </w:abstractNum>
  <w:abstractNum w:abstractNumId="19">
    <w:nsid w:val="1D545C4D"/>
    <w:multiLevelType w:val="hybridMultilevel"/>
    <w:lvl w:ilvl="0">
      <w:lvlJc w:val="left"/>
      <w:lvlText w:val="(%1)"/>
      <w:numFmt w:val="lowerLetter"/>
      <w:start w:val="2"/>
    </w:lvl>
  </w:abstractNum>
  <w:abstractNum w:abstractNumId="20">
    <w:nsid w:val="59ADEA3D"/>
    <w:multiLevelType w:val="hybridMultilevel"/>
    <w:lvl w:ilvl="0">
      <w:lvlJc w:val="left"/>
      <w:lvlText w:val="(%1)"/>
      <w:numFmt w:val="lowerLetter"/>
      <w:start w:val="1"/>
    </w:lvl>
  </w:abstractNum>
  <w:abstractNum w:abstractNumId="21">
    <w:nsid w:val="288F1A34"/>
    <w:multiLevelType w:val="hybridMultilevel"/>
    <w:lvl w:ilvl="0">
      <w:lvlJc w:val="left"/>
      <w:lvlText w:val="%1"/>
      <w:numFmt w:val="lowerLetter"/>
      <w:start w:val="1"/>
    </w:lvl>
    <w:lvl w:ilvl="1">
      <w:lvlJc w:val="left"/>
      <w:lvlText w:val="(%2)"/>
      <w:numFmt w:val="lowerLetter"/>
      <w:start w:val="1"/>
    </w:lvl>
  </w:abstractNum>
  <w:abstractNum w:abstractNumId="22">
    <w:nsid w:val="2A155DBC"/>
    <w:multiLevelType w:val="hybridMultilevel"/>
    <w:lvl w:ilvl="0">
      <w:lvlJc w:val="left"/>
      <w:lvlText w:val="(%1)"/>
      <w:numFmt w:val="lowerLetter"/>
      <w:start w:val="61"/>
    </w:lvl>
    <w:lvl w:ilvl="1">
      <w:lvlJc w:val="left"/>
      <w:lvlText w:val="(%2)"/>
      <w:numFmt w:val="lowerLetter"/>
      <w:start w:val="2"/>
    </w:lvl>
  </w:abstractNum>
  <w:abstractNum w:abstractNumId="23">
    <w:nsid w:val="1D9F6E5F"/>
    <w:multiLevelType w:val="hybridMultilevel"/>
    <w:lvl w:ilvl="0">
      <w:lvlJc w:val="left"/>
      <w:lvlText w:val="(%1)"/>
      <w:numFmt w:val="lowerLetter"/>
      <w:start w:val="4"/>
    </w:lvl>
  </w:abstractNum>
  <w:abstractNum w:abstractNumId="24">
    <w:nsid w:val="97E1B4E"/>
    <w:multiLevelType w:val="hybridMultilevel"/>
    <w:lvl w:ilvl="0">
      <w:lvlJc w:val="left"/>
      <w:lvlText w:val="(%1)"/>
      <w:numFmt w:val="lowerLetter"/>
      <w:start w:val="1"/>
    </w:lvl>
  </w:abstractNum>
  <w:abstractNum w:abstractNumId="25">
    <w:nsid w:val="51088277"/>
    <w:multiLevelType w:val="hybridMultilevel"/>
    <w:lvl w:ilvl="0">
      <w:lvlJc w:val="left"/>
      <w:lvlText w:val="(%1)"/>
      <w:numFmt w:val="lowerLetter"/>
      <w:start w:val="10"/>
    </w:lvl>
  </w:abstractNum>
  <w:abstractNum w:abstractNumId="26">
    <w:nsid w:val="1CA0C5FA"/>
    <w:multiLevelType w:val="hybridMultilevel"/>
    <w:lvl w:ilvl="0">
      <w:lvlJc w:val="left"/>
      <w:lvlText w:val="%1"/>
      <w:numFmt w:val="lowerRoman"/>
      <w:start w:val="1"/>
    </w:lvl>
    <w:lvl w:ilvl="1">
      <w:lvlJc w:val="left"/>
      <w:lvlText w:val="(%2)"/>
      <w:numFmt w:val="lowerLetter"/>
      <w:start w:val="1"/>
    </w:lvl>
  </w:abstractNum>
  <w:abstractNum w:abstractNumId="27">
    <w:nsid w:val="53584BCB"/>
    <w:multiLevelType w:val="hybridMultilevel"/>
    <w:lvl w:ilvl="0">
      <w:lvlJc w:val="left"/>
      <w:lvlText w:val="(%1)"/>
      <w:numFmt w:val="lowerRoman"/>
      <w:start w:val="6"/>
    </w:lvl>
    <w:lvl w:ilvl="1">
      <w:lvlJc w:val="left"/>
      <w:lvlText w:val="%2"/>
      <w:numFmt w:val="lowerLetter"/>
      <w:start w:val="1"/>
    </w:lvl>
  </w:abstractNum>
  <w:abstractNum w:abstractNumId="28">
    <w:nsid w:val="415E286C"/>
    <w:multiLevelType w:val="hybridMultilevel"/>
    <w:lvl w:ilvl="0">
      <w:lvlJc w:val="left"/>
      <w:lvlText w:val="(%1)"/>
      <w:numFmt w:val="lowerLetter"/>
      <w:start w:val="2"/>
    </w:lvl>
  </w:abstractNum>
  <w:abstractNum w:abstractNumId="29">
    <w:nsid w:val="7C58FD05"/>
    <w:multiLevelType w:val="hybridMultilevel"/>
    <w:lvl w:ilvl="0">
      <w:lvlJc w:val="left"/>
      <w:lvlText w:val="%1"/>
      <w:numFmt w:val="upperLetter"/>
      <w:start w:val="1"/>
    </w:lvl>
    <w:lvl w:ilvl="1">
      <w:lvlJc w:val="left"/>
      <w:lvlText w:val="(%2)"/>
      <w:numFmt w:val="lowerLetter"/>
      <w:start w:val="7"/>
    </w:lvl>
  </w:abstractNum>
  <w:abstractNum w:abstractNumId="30">
    <w:nsid w:val="23D86AAC"/>
    <w:multiLevelType w:val="hybridMultilevel"/>
    <w:lvl w:ilvl="0">
      <w:lvlJc w:val="left"/>
      <w:lvlText w:val="(%1)"/>
      <w:numFmt w:val="upperLetter"/>
      <w:start w:val="2"/>
    </w:lvl>
    <w:lvl w:ilvl="1">
      <w:lvlJc w:val="left"/>
      <w:lvlText w:val="%2"/>
      <w:numFmt w:val="lowerLetter"/>
      <w:start w:val="1"/>
    </w:lvl>
  </w:abstractNum>
  <w:abstractNum w:abstractNumId="31">
    <w:nsid w:val="45E6D486"/>
    <w:multiLevelType w:val="hybridMultilevel"/>
    <w:lvl w:ilvl="0">
      <w:lvlJc w:val="left"/>
      <w:lvlText w:val="(%1)"/>
      <w:numFmt w:val="lowerLetter"/>
      <w:start w:val="10"/>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1)"/>
      <w:numFmt w:val="lowerLetter"/>
      <w:start w:val="1"/>
    </w:lvl>
  </w:abstractNum>
  <w:abstractNum w:abstractNumId="34">
    <w:nsid w:val="3C5991AA"/>
    <w:multiLevelType w:val="hybridMultilevel"/>
    <w:lvl w:ilvl="0">
      <w:lvlJc w:val="left"/>
      <w:lvlText w:val="(%1)"/>
      <w:numFmt w:val="lowerLetter"/>
      <w:start w:val="6"/>
    </w:lvl>
  </w:abstractNum>
  <w:abstractNum w:abstractNumId="35">
    <w:nsid w:val="4BD8591A"/>
    <w:multiLevelType w:val="hybridMultilevel"/>
    <w:lvl w:ilvl="0">
      <w:lvlJc w:val="left"/>
      <w:lvlText w:val="(%1)"/>
      <w:numFmt w:val="lowerLetter"/>
      <w:start w:val="1"/>
    </w:lvl>
  </w:abstractNum>
  <w:abstractNum w:abstractNumId="36">
    <w:nsid w:val="78DF6A55"/>
    <w:multiLevelType w:val="hybridMultilevel"/>
    <w:lvl w:ilvl="0">
      <w:lvlJc w:val="left"/>
      <w:lvlText w:val="(%1)"/>
      <w:numFmt w:val="lowerLetter"/>
      <w:start w:val="2"/>
    </w:lvl>
  </w:abstractNum>
  <w:abstractNum w:abstractNumId="37">
    <w:nsid w:val="39B7AAA2"/>
    <w:multiLevelType w:val="hybridMultilevel"/>
    <w:lvl w:ilvl="0">
      <w:lvlJc w:val="left"/>
      <w:lvlText w:val="(%1)"/>
      <w:numFmt w:val="lowerLetter"/>
      <w:start w:val="5"/>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1)"/>
      <w:numFmt w:val="lowerLetter"/>
      <w:start w:val="1"/>
    </w:lvl>
  </w:abstractNum>
  <w:abstractNum w:abstractNumId="40">
    <w:nsid w:val="379E21B5"/>
    <w:multiLevelType w:val="hybridMultilevel"/>
    <w:lvl w:ilvl="0">
      <w:lvlJc w:val="left"/>
      <w:lvlText w:val="(%1)"/>
      <w:numFmt w:val="lowerLetter"/>
      <w:start w:val="2"/>
    </w:lvl>
  </w:abstractNum>
  <w:abstractNum w:abstractNumId="41">
    <w:nsid w:val="69E373"/>
    <w:multiLevelType w:val="hybridMultilevel"/>
    <w:lvl w:ilvl="0">
      <w:lvlJc w:val="left"/>
      <w:lvlText w:val="(%1)"/>
      <w:numFmt w:val="lowerLetter"/>
      <w:start w:val="1"/>
    </w:lvl>
    <w:lvl w:ilvl="1">
      <w:lvlJc w:val="left"/>
      <w:lvlText w:val="(%2)"/>
      <w:numFmt w:val="lowerRoman"/>
      <w:start w:val="1"/>
    </w:lvl>
  </w:abstractNum>
  <w:abstractNum w:abstractNumId="42">
    <w:nsid w:val="2C27173B"/>
    <w:multiLevelType w:val="hybridMultilevel"/>
    <w:lvl w:ilvl="0">
      <w:lvlJc w:val="left"/>
      <w:lvlText w:val="(%1)"/>
      <w:numFmt w:val="lowerLetter"/>
      <w:start w:val="4"/>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1)"/>
      <w:numFmt w:val="lowerRoman"/>
      <w:start w:val="2"/>
    </w:lvl>
  </w:abstractNum>
  <w:abstractNum w:abstractNumId="45">
    <w:nsid w:val="1DF029D3"/>
    <w:multiLevelType w:val="hybridMultilevel"/>
    <w:lvl w:ilvl="0">
      <w:lvlJc w:val="left"/>
      <w:lvlText w:val="(%1)"/>
      <w:numFmt w:val="lowerLetter"/>
      <w:start w:val="1"/>
    </w:lvl>
  </w:abstractNum>
  <w:abstractNum w:abstractNumId="46">
    <w:nsid w:val="5675FF36"/>
    <w:multiLevelType w:val="hybridMultilevel"/>
    <w:lvl w:ilvl="0">
      <w:lvlJc w:val="left"/>
      <w:lvlText w:val="(%1)"/>
      <w:numFmt w:val="lowerLetter"/>
      <w:start w:val="1"/>
    </w:lvl>
  </w:abstractNum>
  <w:abstractNum w:abstractNumId="47">
    <w:nsid w:val="3DD15094"/>
    <w:multiLevelType w:val="hybridMultilevel"/>
    <w:lvl w:ilvl="0">
      <w:lvlJc w:val="left"/>
      <w:lvlText w:val="(%1)"/>
      <w:numFmt w:val="lowerLetter"/>
      <w:start w:val="1"/>
    </w:lvl>
  </w:abstractNum>
  <w:abstractNum w:abstractNumId="48">
    <w:nsid w:val="3DB012B3"/>
    <w:multiLevelType w:val="hybridMultilevel"/>
    <w:lvl w:ilvl="0">
      <w:lvlJc w:val="left"/>
      <w:lvlText w:val="(%1)"/>
      <w:numFmt w:val="lowerLetter"/>
      <w:start w:val="12"/>
    </w:lvl>
  </w:abstractNum>
  <w:abstractNum w:abstractNumId="49">
    <w:nsid w:val="2708C9AF"/>
    <w:multiLevelType w:val="hybridMultilevel"/>
    <w:lvl w:ilvl="0">
      <w:lvlJc w:val="left"/>
      <w:lvlText w:val="(%1)"/>
      <w:numFmt w:val="lowerLetter"/>
      <w:start w:val="1"/>
    </w:lvl>
  </w:abstractNum>
  <w:abstractNum w:abstractNumId="50">
    <w:nsid w:val="5B25ACE2"/>
    <w:multiLevelType w:val="hybridMultilevel"/>
    <w:lvl w:ilvl="0">
      <w:lvlJc w:val="left"/>
      <w:lvlText w:val="(%1)"/>
      <w:numFmt w:val="lowerLetter"/>
      <w:start w:val="2"/>
    </w:lvl>
  </w:abstractNum>
  <w:abstractNum w:abstractNumId="51">
    <w:nsid w:val="175DFCF0"/>
    <w:multiLevelType w:val="hybridMultilevel"/>
    <w:lvl w:ilvl="0">
      <w:lvlJc w:val="left"/>
      <w:lvlText w:val="(%1)"/>
      <w:numFmt w:val="lowerLetter"/>
      <w:start w:val="7"/>
    </w:lvl>
  </w:abstractNum>
  <w:abstractNum w:abstractNumId="52">
    <w:nsid w:val="4F97E3E4"/>
    <w:multiLevelType w:val="hybridMultilevel"/>
    <w:lvl w:ilvl="0">
      <w:lvlJc w:val="left"/>
      <w:lvlText w:val="(%1)"/>
      <w:numFmt w:val="lowerRoman"/>
      <w:start w:val="1"/>
    </w:lvl>
  </w:abstractNum>
  <w:abstractNum w:abstractNumId="53">
    <w:nsid w:val="53B0A9E"/>
    <w:multiLevelType w:val="hybridMultilevel"/>
    <w:lvl w:ilvl="0">
      <w:lvlJc w:val="left"/>
      <w:lvlText w:val="%1"/>
      <w:numFmt w:val="upperLetter"/>
      <w:start w:val="1"/>
    </w:lvl>
    <w:lvl w:ilvl="1">
      <w:lvlJc w:val="left"/>
      <w:lvlText w:val="(%2)"/>
      <w:numFmt w:val="lowerRoman"/>
      <w:start w:val="3"/>
    </w:lvl>
  </w:abstractNum>
  <w:abstractNum w:abstractNumId="54">
    <w:nsid w:val="34FD6B4F"/>
    <w:multiLevelType w:val="hybridMultilevel"/>
    <w:lvl w:ilvl="0">
      <w:lvlJc w:val="left"/>
      <w:lvlText w:val="(%1)"/>
      <w:numFmt w:val="upperLetter"/>
      <w:start w:val="3"/>
    </w:lvl>
    <w:lvl w:ilvl="1">
      <w:lvlJc w:val="left"/>
      <w:lvlText w:val="(%2)"/>
      <w:numFmt w:val="lowerRoman"/>
      <w:start w:val="6"/>
    </w:lvl>
  </w:abstractNum>
  <w:abstractNum w:abstractNumId="55">
    <w:nsid w:val="5915FF32"/>
    <w:multiLevelType w:val="hybridMultilevel"/>
    <w:lvl w:ilvl="0">
      <w:lvlJc w:val="left"/>
      <w:lvlText w:val="(%1)"/>
      <w:numFmt w:val="lowerRoman"/>
      <w:start w:val="9"/>
    </w:lvl>
  </w:abstractNum>
  <w:abstractNum w:abstractNumId="56">
    <w:nsid w:val="56438D15"/>
    <w:multiLevelType w:val="hybridMultilevel"/>
    <w:lvl w:ilvl="0">
      <w:lvlJc w:val="left"/>
      <w:lvlText w:val="(%1)"/>
      <w:numFmt w:val="lowerLetter"/>
      <w:start w:val="1"/>
    </w:lvl>
  </w:abstractNum>
  <w:abstractNum w:abstractNumId="57">
    <w:nsid w:val="519E3149"/>
    <w:multiLevelType w:val="hybridMultilevel"/>
    <w:lvl w:ilvl="0">
      <w:lvlJc w:val="left"/>
      <w:lvlText w:val="(%1)"/>
      <w:numFmt w:val="lowerRoman"/>
      <w:start w:val="1"/>
    </w:lvl>
  </w:abstractNum>
  <w:abstractNum w:abstractNumId="58">
    <w:nsid w:val="2C6E4AFD"/>
    <w:multiLevelType w:val="hybridMultilevel"/>
    <w:lvl w:ilvl="0">
      <w:lvlJc w:val="left"/>
      <w:lvlText w:val="(%1)"/>
      <w:numFmt w:val="lowerRoman"/>
      <w:start w:val="2"/>
    </w:lvl>
  </w:abstractNum>
  <w:abstractNum w:abstractNumId="59">
    <w:nsid w:val="17A1B582"/>
    <w:multiLevelType w:val="hybridMultilevel"/>
    <w:lvl w:ilvl="0">
      <w:lvlJc w:val="left"/>
      <w:lvlText w:val="(%1)"/>
      <w:numFmt w:val="lowerRoman"/>
      <w:start w:val="14"/>
    </w:lvl>
  </w:abstractNum>
  <w:abstractNum w:abstractNumId="60">
    <w:nsid w:val="4DF72E4E"/>
    <w:multiLevelType w:val="hybridMultilevel"/>
    <w:lvl w:ilvl="0">
      <w:lvlJc w:val="left"/>
      <w:lvlText w:val="(%1)"/>
      <w:numFmt w:val="lowerLetter"/>
      <w:start w:val="1"/>
    </w:lvl>
  </w:abstractNum>
  <w:abstractNum w:abstractNumId="61">
    <w:nsid w:val="5046B5A9"/>
    <w:multiLevelType w:val="hybridMultilevel"/>
    <w:lvl w:ilvl="0">
      <w:lvlJc w:val="left"/>
      <w:lvlText w:val="(%1)"/>
      <w:numFmt w:val="lowerLetter"/>
      <w:start w:val="3"/>
    </w:lvl>
  </w:abstractNum>
  <w:abstractNum w:abstractNumId="62">
    <w:nsid w:val="5D888A08"/>
    <w:multiLevelType w:val="hybridMultilevel"/>
    <w:lvl w:ilvl="0">
      <w:lvlJc w:val="left"/>
      <w:lvlText w:val="(%1)"/>
      <w:numFmt w:val="lowerLetter"/>
      <w:start w:val="1"/>
    </w:lvl>
  </w:abstractNum>
  <w:abstractNum w:abstractNumId="63">
    <w:nsid w:val="2A082C70"/>
    <w:multiLevelType w:val="hybridMultilevel"/>
    <w:lvl w:ilvl="0">
      <w:lvlJc w:val="left"/>
      <w:lvlText w:val="(%1)"/>
      <w:numFmt w:val="lowerLetter"/>
      <w:start w:val="2"/>
    </w:lvl>
  </w:abstractNum>
  <w:abstractNum w:abstractNumId="64">
    <w:nsid w:val="5EC6AFD4"/>
    <w:multiLevelType w:val="hybridMultilevel"/>
    <w:lvl w:ilvl="0">
      <w:lvlJc w:val="left"/>
      <w:lvlText w:val="(%1)"/>
      <w:numFmt w:val="lowerLetter"/>
      <w:start w:val="5"/>
    </w:lvl>
  </w:abstractNum>
  <w:abstractNum w:abstractNumId="65">
    <w:nsid w:val="19E21BB2"/>
    <w:multiLevelType w:val="hybridMultilevel"/>
    <w:lvl w:ilvl="0">
      <w:lvlJc w:val="left"/>
      <w:lvlText w:val="(%1)"/>
      <w:numFmt w:val="lowerLetter"/>
      <w:start w:val="1"/>
    </w:lvl>
  </w:abstractNum>
  <w:abstractNum w:abstractNumId="66">
    <w:nsid w:val="75E0858A"/>
    <w:multiLevelType w:val="hybridMultilevel"/>
    <w:lvl w:ilvl="0">
      <w:lvlJc w:val="left"/>
      <w:lvlText w:val="(%1)"/>
      <w:numFmt w:val="lowerLetter"/>
      <w:start w:val="1"/>
    </w:lvl>
  </w:abstractNum>
  <w:abstractNum w:abstractNumId="67">
    <w:nsid w:val="57A61A29"/>
    <w:multiLevelType w:val="hybridMultilevel"/>
    <w:lvl w:ilvl="0">
      <w:lvlJc w:val="left"/>
      <w:lvlText w:val="(%1)"/>
      <w:numFmt w:val="lowerLetter"/>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1)"/>
      <w:numFmt w:val="lowerLetter"/>
      <w:start w:val="1"/>
    </w:lvl>
  </w:abstractNum>
  <w:abstractNum w:abstractNumId="70">
    <w:nsid w:val="4427069A"/>
    <w:multiLevelType w:val="hybridMultilevel"/>
    <w:lvl w:ilvl="0">
      <w:lvlJc w:val="left"/>
      <w:lvlText w:val="(%1)"/>
      <w:numFmt w:val="lowerLetter"/>
      <w:start w:val="11"/>
    </w:lvl>
  </w:abstractNum>
  <w:abstractNum w:abstractNumId="71">
    <w:nsid w:val="B37E80A"/>
    <w:multiLevelType w:val="hybridMultilevel"/>
    <w:lvl w:ilvl="0">
      <w:lvlJc w:val="left"/>
      <w:lvlText w:val="(%1)"/>
      <w:numFmt w:val="lowerLetter"/>
      <w:start w:val="1"/>
    </w:lvl>
  </w:abstractNum>
  <w:abstractNum w:abstractNumId="72">
    <w:nsid w:val="2157F6BC"/>
    <w:multiLevelType w:val="hybridMultilevel"/>
    <w:lvl w:ilvl="0">
      <w:lvlJc w:val="left"/>
      <w:lvlText w:val="(%1)"/>
      <w:numFmt w:val="lowerLetter"/>
      <w:start w:val="4"/>
    </w:lvl>
    <w:lvl w:ilvl="1">
      <w:lvlJc w:val="left"/>
      <w:lvlText w:val="(%2)"/>
      <w:numFmt w:val="lowerRoman"/>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1)"/>
      <w:numFmt w:val="lowerRoman"/>
      <w:start w:val="2"/>
    </w:lvl>
  </w:abstractNum>
  <w:abstractNum w:abstractNumId="75">
    <w:nsid w:val="BFFAE18"/>
    <w:multiLevelType w:val="hybridMultilevel"/>
    <w:lvl w:ilvl="0">
      <w:lvlJc w:val="left"/>
      <w:lvlText w:val="(%1)"/>
      <w:numFmt w:val="lowerRoman"/>
      <w:start w:val="3"/>
    </w:lvl>
  </w:abstractNum>
  <w:abstractNum w:abstractNumId="76">
    <w:nsid w:val="E3E47A8"/>
    <w:multiLevelType w:val="hybridMultilevel"/>
    <w:lvl w:ilvl="0">
      <w:lvlJc w:val="left"/>
      <w:lvlText w:val="(%1)"/>
      <w:numFmt w:val="lowerLetter"/>
      <w:start w:val="1"/>
    </w:lvl>
  </w:abstractNum>
  <w:abstractNum w:abstractNumId="77">
    <w:nsid w:val="2E48F044"/>
    <w:multiLevelType w:val="hybridMultilevel"/>
    <w:lvl w:ilvl="0">
      <w:lvlJc w:val="left"/>
      <w:lvlText w:val="(%1)"/>
      <w:numFmt w:val="lowerRoman"/>
      <w:start w:val="6"/>
    </w:lvl>
  </w:abstractNum>
  <w:abstractNum w:abstractNumId="78">
    <w:nsid w:val="49D0FEAC"/>
    <w:multiLevelType w:val="hybridMultilevel"/>
    <w:lvl w:ilvl="0">
      <w:lvlJc w:val="left"/>
      <w:lvlText w:val="(%1)"/>
      <w:numFmt w:val="lowerLetter"/>
      <w:start w:val="5"/>
    </w:lvl>
  </w:abstractNum>
  <w:abstractNum w:abstractNumId="79">
    <w:nsid w:val="4BEE5A5B"/>
    <w:multiLevelType w:val="hybridMultilevel"/>
    <w:lvl w:ilvl="0">
      <w:lvlJc w:val="left"/>
      <w:lvlText w:val="(%1)"/>
      <w:numFmt w:val="lowerLetter"/>
      <w:start w:val="1"/>
    </w:lvl>
  </w:abstractNum>
  <w:abstractNum w:abstractNumId="80">
    <w:nsid w:val="5551B9F3"/>
    <w:multiLevelType w:val="hybridMultilevel"/>
    <w:lvl w:ilvl="0">
      <w:lvlJc w:val="left"/>
      <w:lvlText w:val="(%1)"/>
      <w:numFmt w:val="lowerLetter"/>
      <w:start w:val="1"/>
    </w:lvl>
  </w:abstractNum>
  <w:abstractNum w:abstractNumId="81">
    <w:nsid w:val="24F6AB8E"/>
    <w:multiLevelType w:val="hybridMultilevel"/>
    <w:lvl w:ilvl="0">
      <w:lvlJc w:val="left"/>
      <w:lvlText w:val="%1."/>
      <w:numFmt w:val="decimal"/>
      <w:start w:val="1"/>
    </w:lvl>
    <w:lvl w:ilvl="1">
      <w:lvlJc w:val="left"/>
      <w:lvlText w:val="%2."/>
      <w:numFmt w:val="lowerLetter"/>
      <w:start w:val="1"/>
    </w:lvl>
  </w:abstractNum>
  <w:abstractNum w:abstractNumId="82">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3">
    <w:nsid w:val="24E99DD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84">
    <w:nsid w:val="2A31B62D"/>
    <w:multiLevelType w:val="hybridMultilevel"/>
    <w:lvl w:ilvl="0">
      <w:lvlJc w:val="left"/>
      <w:lvlText w:val="%1."/>
      <w:numFmt w:val="decimal"/>
      <w:start w:val="3"/>
    </w:lvl>
    <w:lvl w:ilvl="1">
      <w:lvlJc w:val="left"/>
      <w:lvlText w:val="%2."/>
      <w:numFmt w:val="lowerLetter"/>
      <w:start w:val="1"/>
    </w:lvl>
  </w:abstractNum>
  <w:abstractNum w:abstractNumId="85">
    <w:nsid w:val="1849C29B"/>
    <w:multiLevelType w:val="hybridMultilevel"/>
    <w:lvl w:ilvl="0">
      <w:lvlJc w:val="left"/>
      <w:lvlText w:val="%1."/>
      <w:numFmt w:val="decimal"/>
      <w:start w:val="7"/>
    </w:lvl>
  </w:abstractNum>
  <w:abstractNum w:abstractNumId="86">
    <w:nsid w:val="7DFF9D09"/>
    <w:multiLevelType w:val="hybridMultilevel"/>
    <w:lvl w:ilvl="0">
      <w:lvlJc w:val="left"/>
      <w:lvlText w:val="%1."/>
      <w:numFmt w:val="decimal"/>
      <w:start w:val="11"/>
    </w:lvl>
  </w:abstractNum>
  <w:abstractNum w:abstractNumId="87">
    <w:nsid w:val="754342"/>
    <w:multiLevelType w:val="hybridMultilevel"/>
    <w:lvl w:ilvl="0">
      <w:lvlJc w:val="left"/>
      <w:lvlText w:val="%1."/>
      <w:numFmt w:val="decimal"/>
      <w:start w:val="16"/>
    </w:lvl>
    <w:lvl w:ilvl="1">
      <w:lvlJc w:val="left"/>
      <w:lvlText w:val="%2."/>
      <w:numFmt w:val="lowerLetter"/>
      <w:start w:val="1"/>
    </w:lvl>
  </w:abstractNum>
  <w:abstractNum w:abstractNumId="88">
    <w:nsid w:val="69E7F3E5"/>
    <w:multiLevelType w:val="hybridMultilevel"/>
    <w:lvl w:ilvl="0">
      <w:lvlJc w:val="left"/>
      <w:lvlText w:val="%1."/>
      <w:numFmt w:val="lowerLetter"/>
      <w:start w:val="4"/>
    </w:lvl>
  </w:abstractNum>
  <w:abstractNum w:abstractNumId="89">
    <w:nsid w:val="2A6DE806"/>
    <w:multiLevelType w:val="hybridMultilevel"/>
    <w:lvl w:ilvl="0">
      <w:lvlJc w:val="left"/>
      <w:lvlText w:val="%1."/>
      <w:numFmt w:val="decimal"/>
      <w:start w:val="19"/>
    </w:lvl>
  </w:abstractNum>
  <w:abstractNum w:abstractNumId="90">
    <w:nsid w:val="1816F8C4"/>
    <w:multiLevelType w:val="hybridMultilevel"/>
    <w:lvl w:ilvl="0">
      <w:lvlJc w:val="left"/>
      <w:lvlText w:val="%1."/>
      <w:numFmt w:val="decimal"/>
      <w:start w:val="1"/>
    </w:lvl>
  </w:abstractNum>
  <w:abstractNum w:abstractNumId="91">
    <w:nsid w:val="37DF2233"/>
    <w:multiLevelType w:val="hybridMultilevel"/>
    <w:lvl w:ilvl="0">
      <w:lvlJc w:val="left"/>
      <w:lvlText w:val="%1."/>
      <w:numFmt w:val="decimal"/>
      <w:start w:val="1"/>
    </w:lvl>
    <w:lvl w:ilvl="1">
      <w:lvlJc w:val="left"/>
      <w:lvlText w:val="%2."/>
      <w:numFmt w:val="lowerLetter"/>
      <w:start w:val="1"/>
    </w:lvl>
  </w:abstractNum>
  <w:abstractNum w:abstractNumId="92">
    <w:nsid w:val="7AB49DAF"/>
    <w:multiLevelType w:val="hybridMultilevel"/>
    <w:lvl w:ilvl="0">
      <w:lvlJc w:val="left"/>
      <w:lvlText w:val="%1"/>
      <w:numFmt w:val="decimal"/>
      <w:start w:val="1"/>
    </w:lvl>
    <w:lvl w:ilvl="1">
      <w:lvlJc w:val="left"/>
      <w:lvlText w:val="%2."/>
      <w:numFmt w:val="lowerLetter"/>
      <w:start w:val="3"/>
    </w:lvl>
  </w:abstractNum>
  <w:abstractNum w:abstractNumId="93">
    <w:nsid w:val="759F82CD"/>
    <w:multiLevelType w:val="hybridMultilevel"/>
    <w:lvl w:ilvl="0">
      <w:lvlJc w:val="left"/>
      <w:lvlText w:val="%1."/>
      <w:numFmt w:val="decimal"/>
      <w:start w:val="2"/>
    </w:lvl>
    <w:lvl w:ilvl="1">
      <w:lvlJc w:val="left"/>
      <w:lvlText w:val="%2"/>
      <w:numFmt w:val="lowerLetter"/>
      <w:start w:val="1"/>
    </w:lvl>
  </w:abstractNum>
  <w:abstractNum w:abstractNumId="94">
    <w:nsid w:val="61E74EA3"/>
    <w:multiLevelType w:val="hybridMultilevel"/>
    <w:lvl w:ilvl="0">
      <w:lvlJc w:val="left"/>
      <w:lvlText w:val="%1."/>
      <w:numFmt w:val="decimal"/>
      <w:start w:val="6"/>
    </w:lvl>
  </w:abstractNum>
  <w:abstractNum w:abstractNumId="95">
    <w:nsid w:val="597B4D84"/>
    <w:multiLevelType w:val="hybridMultilevel"/>
    <w:lvl w:ilvl="0">
      <w:lvlJc w:val="left"/>
      <w:lvlText w:val="%1."/>
      <w:numFmt w:val="decimal"/>
      <w:start w:val="11"/>
    </w:lvl>
    <w:lvl w:ilvl="1">
      <w:lvlJc w:val="left"/>
      <w:lvlText w:val="%2."/>
      <w:numFmt w:val="lowerLetter"/>
      <w:start w:val="1"/>
    </w:lvl>
  </w:abstractNum>
  <w:abstractNum w:abstractNumId="96">
    <w:nsid w:val="F819E7F"/>
    <w:multiLevelType w:val="hybridMultilevel"/>
    <w:lvl w:ilvl="0">
      <w:lvlJc w:val="left"/>
      <w:lvlText w:val="%1."/>
      <w:numFmt w:val="lowerLetter"/>
      <w:start w:val="4"/>
    </w:lvl>
  </w:abstractNum>
  <w:abstractNum w:abstractNumId="97">
    <w:nsid w:val="57C7D42D"/>
    <w:multiLevelType w:val="hybridMultilevel"/>
    <w:lvl w:ilvl="0">
      <w:lvlJc w:val="left"/>
      <w:lvlText w:val="%1."/>
      <w:numFmt w:val="decimal"/>
      <w:start w:val="14"/>
    </w:lvl>
  </w:abstractNum>
  <w:abstractNum w:abstractNumId="98">
    <w:nsid w:val="312167AD"/>
    <w:multiLevelType w:val="hybridMultilevel"/>
    <w:lvl w:ilvl="0">
      <w:lvlJc w:val="left"/>
      <w:lvlText w:val="%1."/>
      <w:numFmt w:val="decimal"/>
      <w:start w:val="1"/>
    </w:lvl>
    <w:lvl w:ilvl="1">
      <w:lvlJc w:val="left"/>
      <w:lvlText w:val="(%2)"/>
      <w:numFmt w:val="lowerLetter"/>
      <w:start w:val="1"/>
    </w:lvl>
  </w:abstractNum>
  <w:abstractNum w:abstractNumId="99">
    <w:nsid w:val="631B64D4"/>
    <w:multiLevelType w:val="hybridMultilevel"/>
    <w:lvl w:ilvl="0">
      <w:lvlJc w:val="left"/>
      <w:lvlText w:val="%1"/>
      <w:numFmt w:val="decimal"/>
      <w:start w:val="1"/>
    </w:lvl>
    <w:lvl w:ilvl="1">
      <w:lvlJc w:val="left"/>
      <w:lvlText w:val="(%2)"/>
      <w:numFmt w:val="lowerLetter"/>
      <w:start w:val="3"/>
    </w:lvl>
  </w:abstractNum>
  <w:abstractNum w:abstractNumId="100">
    <w:nsid w:val="78B5E776"/>
    <w:multiLevelType w:val="hybridMultilevel"/>
    <w:lvl w:ilvl="0">
      <w:lvlJc w:val="left"/>
      <w:lvlText w:val="%1."/>
      <w:numFmt w:val="decimal"/>
      <w:start w:val="2"/>
    </w:lvl>
    <w:lvl w:ilvl="1">
      <w:lvlJc w:val="left"/>
      <w:lvlText w:val="%2"/>
      <w:numFmt w:val="lowerLetter"/>
      <w:start w:val="1"/>
    </w:lvl>
  </w:abstractNum>
  <w:abstractNum w:abstractNumId="101">
    <w:nsid w:val="75486E47"/>
    <w:multiLevelType w:val="hybridMultilevel"/>
    <w:lvl w:ilvl="0">
      <w:lvlJc w:val="left"/>
      <w:lvlText w:val="%1."/>
      <w:numFmt w:val="decimal"/>
      <w:start w:val="4"/>
    </w:lvl>
    <w:lvl w:ilvl="1">
      <w:lvlJc w:val="left"/>
      <w:lvlText w:val="(%2)"/>
      <w:numFmt w:val="lowerLetter"/>
      <w:start w:val="1"/>
    </w:lvl>
  </w:abstractNum>
  <w:abstractNum w:abstractNumId="102">
    <w:nsid w:val="6E534CDE"/>
    <w:multiLevelType w:val="hybridMultilevel"/>
    <w:lvl w:ilvl="0">
      <w:lvlJc w:val="left"/>
      <w:lvlText w:val="%1."/>
      <w:numFmt w:val="decimal"/>
      <w:start w:val="6"/>
    </w:lvl>
  </w:abstractNum>
  <w:abstractNum w:abstractNumId="103">
    <w:nsid w:val="1A0DDE32"/>
    <w:multiLevelType w:val="hybridMultilevel"/>
    <w:lvl w:ilvl="0">
      <w:lvlJc w:val="left"/>
      <w:lvlText w:val="%1."/>
      <w:numFmt w:val="decimal"/>
      <w:start w:val="9"/>
    </w:lvl>
  </w:abstractNum>
  <w:abstractNum w:abstractNumId="104">
    <w:nsid w:val="65968C1C"/>
    <w:multiLevelType w:val="hybridMultilevel"/>
    <w:lvl w:ilvl="0">
      <w:lvlJc w:val="left"/>
      <w:lvlText w:val="%1."/>
      <w:numFmt w:val="decimal"/>
      <w:start w:val="1"/>
    </w:lvl>
  </w:abstractNum>
  <w:abstractNum w:abstractNumId="105">
    <w:nsid w:val="46263DEC"/>
    <w:multiLevelType w:val="hybridMultilevel"/>
    <w:lvl w:ilvl="0">
      <w:lvlJc w:val="left"/>
      <w:lvlText w:val="(%1)"/>
      <w:numFmt w:val="lowerLetter"/>
      <w:start w:val="1"/>
    </w:lvl>
    <w:lvl w:ilvl="1">
      <w:lvlJc w:val="left"/>
      <w:lvlText w:val="%2."/>
      <w:numFmt w:val="upperLetter"/>
      <w:start w:val="2"/>
    </w:lvl>
  </w:abstractNum>
  <w:abstractNum w:abstractNumId="106">
    <w:nsid w:val="260D8C4A"/>
    <w:multiLevelType w:val="hybridMultilevel"/>
    <w:lvl w:ilvl="0">
      <w:lvlJc w:val="left"/>
      <w:lvlText w:val="%1."/>
      <w:numFmt w:val="decimal"/>
      <w:start w:val="1"/>
    </w:lvl>
  </w:abstractNum>
  <w:abstractNum w:abstractNumId="107">
    <w:nsid w:val="73D4D3C4"/>
    <w:multiLevelType w:val="hybridMultilevel"/>
    <w:lvl w:ilvl="0">
      <w:lvlJc w:val="left"/>
      <w:lvlText w:val="%1."/>
      <w:numFmt w:val="decimal"/>
      <w:start w:val="2"/>
    </w:lvl>
  </w:abstractNum>
  <w:abstractNum w:abstractNumId="108">
    <w:nsid w:val="746F2E30"/>
    <w:multiLevelType w:val="hybridMultilevel"/>
    <w:lvl w:ilvl="0">
      <w:lvlJc w:val="left"/>
      <w:lvlText w:val="%1."/>
      <w:numFmt w:val="decimal"/>
      <w:start w:val="1"/>
    </w:lvl>
  </w:abstractNum>
  <w:abstractNum w:abstractNumId="109">
    <w:nsid w:val="6FDE8AF6"/>
    <w:multiLevelType w:val="hybridMultilevel"/>
    <w:lvl w:ilvl="0">
      <w:lvlJc w:val="left"/>
      <w:lvlText w:val="%1."/>
      <w:numFmt w:val="decimal"/>
      <w:start w:val="4"/>
    </w:lvl>
  </w:abstractNum>
  <w:abstractNum w:abstractNumId="110">
    <w:nsid w:val="3FC32E20"/>
    <w:multiLevelType w:val="hybridMultilevel"/>
    <w:lvl w:ilvl="0">
      <w:lvlJc w:val="left"/>
      <w:lvlText w:val="%1."/>
      <w:numFmt w:val="decimal"/>
      <w:start w:val="1"/>
    </w:lvl>
  </w:abstractNum>
  <w:abstractNum w:abstractNumId="111">
    <w:nsid w:val="49C0E823"/>
    <w:multiLevelType w:val="hybridMultilevel"/>
    <w:lvl w:ilvl="0">
      <w:lvlJc w:val="left"/>
      <w:lvlText w:val="%1."/>
      <w:numFmt w:val="decimal"/>
      <w:start w:val="1"/>
    </w:lvl>
  </w:abstractNum>
  <w:abstractNum w:abstractNumId="112">
    <w:nsid w:val="14D53685"/>
    <w:multiLevelType w:val="hybridMultilevel"/>
    <w:lvl w:ilvl="0">
      <w:lvlJc w:val="left"/>
      <w:lvlText w:val="%1."/>
      <w:numFmt w:val="decimal"/>
      <w:start w:val="1"/>
    </w:lvl>
    <w:lvl w:ilvl="1">
      <w:lvlJc w:val="left"/>
      <w:lvlText w:val="*"/>
      <w:numFmt w:val="bullet"/>
      <w:start w:val="1"/>
    </w:lvl>
  </w:abstractNum>
  <w:abstractNum w:abstractNumId="113">
    <w:nsid w:val="230F856C"/>
    <w:multiLevelType w:val="hybridMultilevel"/>
    <w:lvl w:ilvl="0">
      <w:lvlJc w:val="left"/>
      <w:lvlText w:val="(%1)"/>
      <w:numFmt w:val="lowerLetter"/>
      <w:start w:val="1"/>
    </w:lvl>
    <w:lvl w:ilvl="1">
      <w:lvlJc w:val="left"/>
      <w:lvlText w:val="(%2)"/>
      <w:numFmt w:val="decimal"/>
      <w:start w:val="1"/>
    </w:lvl>
  </w:abstractNum>
  <w:abstractNum w:abstractNumId="114">
    <w:nsid w:val="6EAA85FB"/>
    <w:multiLevelType w:val="hybridMultilevel"/>
    <w:lvl w:ilvl="0">
      <w:lvlJc w:val="left"/>
      <w:lvlText w:val="(%1)"/>
      <w:numFmt w:val="decimal"/>
      <w:start w:val="2"/>
    </w:lvl>
    <w:lvl w:ilvl="1">
      <w:lvlJc w:val="left"/>
      <w:lvlText w:val="(%2)"/>
      <w:numFmt w:val="upperLetter"/>
      <w:start w:val="1"/>
    </w:lvl>
  </w:abstractNum>
  <w:abstractNum w:abstractNumId="115">
    <w:nsid w:val="3F06ECB2"/>
    <w:multiLevelType w:val="hybridMultilevel"/>
    <w:lvl w:ilvl="0">
      <w:lvlJc w:val="left"/>
      <w:lvlText w:val="(%1)"/>
      <w:numFmt w:val="upperLetter"/>
      <w:start w:val="3"/>
    </w:lvl>
  </w:abstractNum>
  <w:abstractNum w:abstractNumId="116">
    <w:nsid w:val="3B594807"/>
    <w:multiLevelType w:val="hybridMultilevel"/>
    <w:lvl w:ilvl="0">
      <w:lvlJc w:val="left"/>
      <w:lvlText w:val="(%1)"/>
      <w:numFmt w:val="decimal"/>
      <w:start w:val="3"/>
    </w:lvl>
  </w:abstractNum>
  <w:abstractNum w:abstractNumId="117">
    <w:nsid w:val="6CAA2304"/>
    <w:multiLevelType w:val="hybridMultilevel"/>
    <w:lvl w:ilvl="0">
      <w:lvlJc w:val="left"/>
      <w:lvlText w:val="(%1)"/>
      <w:numFmt w:val="lowerLetter"/>
      <w:start w:val="2"/>
    </w:lvl>
    <w:lvl w:ilvl="1">
      <w:lvlJc w:val="left"/>
      <w:lvlText w:val="(%2)"/>
      <w:numFmt w:val="decimal"/>
      <w:start w:val="1"/>
    </w:lvl>
  </w:abstractNum>
  <w:abstractNum w:abstractNumId="118">
    <w:nsid w:val="3F7C2FF4"/>
    <w:multiLevelType w:val="hybridMultilevel"/>
    <w:lvl w:ilvl="0">
      <w:lvlJc w:val="left"/>
      <w:lvlText w:val="(%1)"/>
      <w:numFmt w:val="lowerLetter"/>
      <w:start w:val="1"/>
    </w:lvl>
  </w:abstractNum>
  <w:abstractNum w:abstractNumId="119">
    <w:nsid w:val="25413BEC"/>
    <w:multiLevelType w:val="hybridMultilevel"/>
    <w:lvl w:ilvl="0">
      <w:lvlJc w:val="left"/>
      <w:lvlText w:val="%1"/>
      <w:numFmt w:val="decimal"/>
      <w:start w:val="1"/>
    </w:lvl>
    <w:lvl w:ilvl="1">
      <w:lvlJc w:val="left"/>
      <w:lvlText w:val="(%2)"/>
      <w:numFmt w:val="lowerLetter"/>
      <w:start w:val="5"/>
    </w:lvl>
  </w:abstractNum>
  <w:abstractNum w:abstractNumId="120">
    <w:nsid w:val="17180B0B"/>
    <w:multiLevelType w:val="hybridMultilevel"/>
    <w:lvl w:ilvl="0">
      <w:lvlJc w:val="left"/>
      <w:lvlText w:val="(%1)"/>
      <w:numFmt w:val="decimal"/>
      <w:start w:val="30"/>
    </w:lvl>
    <w:lvl w:ilvl="1">
      <w:lvlJc w:val="left"/>
      <w:lvlText w:val="%2"/>
      <w:numFmt w:val="lowerLetter"/>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1)"/>
      <w:numFmt w:val="lowerLetter"/>
      <w:start w:val="8"/>
    </w:lvl>
  </w:abstractNum>
  <w:abstractNum w:abstractNumId="123">
    <w:nsid w:val="11CCA8BA"/>
    <w:multiLevelType w:val="hybridMultilevel"/>
    <w:lvl w:ilvl="0">
      <w:lvlJc w:val="left"/>
      <w:lvlText w:val="(%1)"/>
      <w:numFmt w:val="lowerLetter"/>
      <w:start w:val="1"/>
    </w:lvl>
    <w:lvl w:ilvl="1">
      <w:lvlJc w:val="left"/>
      <w:lvlText w:val="(%2)"/>
      <w:numFmt w:val="decimal"/>
      <w:start w:val="1"/>
    </w:lvl>
  </w:abstractNum>
  <w:abstractNum w:abstractNumId="124">
    <w:nsid w:val="4D32AB86"/>
    <w:multiLevelType w:val="hybridMultilevel"/>
    <w:lvl w:ilvl="0">
      <w:lvlJc w:val="left"/>
      <w:lvlText w:val="(%1)"/>
      <w:numFmt w:val="decimal"/>
      <w:start w:val="3"/>
    </w:lvl>
  </w:abstractNum>
  <w:abstractNum w:abstractNumId="125">
    <w:nsid w:val="3F07ACC3"/>
    <w:multiLevelType w:val="hybridMultilevel"/>
    <w:lvl w:ilvl="0">
      <w:lvlJc w:val="left"/>
      <w:lvlText w:val="(%1)"/>
      <w:numFmt w:val="lowerLetter"/>
      <w:start w:val="1"/>
    </w:lvl>
  </w:abstractNum>
  <w:abstractNum w:abstractNumId="126">
    <w:nsid w:val="6B47F63E"/>
    <w:multiLevelType w:val="hybridMultilevel"/>
    <w:lvl w:ilvl="0">
      <w:lvlJc w:val="left"/>
      <w:lvlText w:val="(%1)"/>
      <w:numFmt w:val="lowerLetter"/>
      <w:start w:val="1"/>
    </w:lvl>
  </w:abstractNum>
  <w:abstractNum w:abstractNumId="127">
    <w:nsid w:val="5CB44A05"/>
    <w:multiLevelType w:val="hybridMultilevel"/>
    <w:lvl w:ilvl="0">
      <w:lvlJc w:val="left"/>
      <w:lvlText w:val="(%1)"/>
      <w:numFmt w:val="lowerLetter"/>
      <w:start w:val="2"/>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1)"/>
      <w:numFmt w:val="lowerLetter"/>
      <w:start w:val="1"/>
    </w:lvl>
  </w:abstractNum>
  <w:abstractNum w:abstractNumId="130">
    <w:nsid w:val="3FCFAED9"/>
    <w:multiLevelType w:val="hybridMultilevel"/>
    <w:lvl w:ilvl="0">
      <w:lvlJc w:val="left"/>
      <w:lvlText w:val="(%1)"/>
      <w:numFmt w:val="lowerLetter"/>
      <w:start w:val="2"/>
    </w:lvl>
  </w:abstractNum>
  <w:abstractNum w:abstractNumId="131">
    <w:nsid w:val="F856867"/>
    <w:multiLevelType w:val="hybridMultilevel"/>
    <w:lvl w:ilvl="0">
      <w:lvlJc w:val="left"/>
      <w:lvlText w:val="1"/>
      <w:numFmt w:val="bullet"/>
      <w:start w:val="1"/>
    </w:lvl>
  </w:abstractNum>
  <w:abstractNum w:abstractNumId="132">
    <w:nsid w:val="11B1CC33"/>
    <w:multiLevelType w:val="hybridMultilevel"/>
    <w:lvl w:ilvl="0">
      <w:lvlJc w:val="left"/>
      <w:lvlText w:val="(%1)"/>
      <w:numFmt w:val="upperLetter"/>
      <w:start w:val="1"/>
    </w:lvl>
  </w:abstractNum>
  <w:abstractNum w:abstractNumId="133">
    <w:nsid w:val="2E22FBB7"/>
    <w:multiLevelType w:val="hybridMultilevel"/>
    <w:lvl w:ilvl="0">
      <w:lvlJc w:val="left"/>
      <w:lvlText w:val="%1."/>
      <w:numFmt w:val="decimal"/>
      <w:start w:val="2"/>
    </w:lvl>
  </w:abstractNum>
  <w:abstractNum w:abstractNumId="134">
    <w:nsid w:val="29934699"/>
    <w:multiLevelType w:val="hybridMultilevel"/>
    <w:lvl w:ilvl="0">
      <w:lvlJc w:val="left"/>
      <w:lvlText w:val="%1"/>
      <w:numFmt w:val="upperLetter"/>
      <w:start w:val="1"/>
    </w:lvl>
    <w:lvl w:ilvl="1">
      <w:lvlJc w:val="left"/>
      <w:lvlText w:val="(%2)"/>
      <w:numFmt w:val="lowerLetter"/>
      <w:start w:val="1"/>
    </w:lvl>
  </w:abstractNum>
  <w:abstractNum w:abstractNumId="135">
    <w:nsid w:val="77485850"/>
    <w:multiLevelType w:val="hybridMultilevel"/>
    <w:lvl w:ilvl="0">
      <w:lvlJc w:val="left"/>
      <w:lvlText w:val="(%1)"/>
      <w:numFmt w:val="upperLetter"/>
      <w:start w:val="1"/>
    </w:lvl>
    <w:lvl w:ilvl="1">
      <w:lvlJc w:val="left"/>
      <w:lvlText w:val="%2"/>
      <w:numFmt w:val="lowerLetter"/>
      <w:start w:val="1"/>
    </w:lvl>
  </w:abstractNum>
  <w:abstractNum w:abstractNumId="136">
    <w:nsid w:val="744939A3"/>
    <w:multiLevelType w:val="hybridMultilevel"/>
    <w:lvl w:ilvl="0">
      <w:lvlJc w:val="left"/>
      <w:lvlText w:val="(%1)"/>
      <w:numFmt w:val="upperLetter"/>
      <w:start w:val="3"/>
    </w:lvl>
    <w:lvl w:ilvl="1">
      <w:lvlJc w:val="left"/>
      <w:lvlText w:val="%2"/>
      <w:numFmt w:val="lowerLetter"/>
      <w:start w:val="1"/>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decimal"/>
      <w:start w:val="4"/>
    </w:lvl>
  </w:abstractNum>
  <w:abstractNum w:abstractNumId="139">
    <w:nsid w:val="68B867D3"/>
    <w:multiLevelType w:val="hybridMultilevel"/>
    <w:lvl w:ilvl="0">
      <w:lvlJc w:val="left"/>
      <w:lvlText w:val="%1."/>
      <w:numFmt w:val="decimal"/>
      <w:start w:val="5"/>
    </w:lvl>
  </w:abstractNum>
  <w:abstractNum w:abstractNumId="140">
    <w:nsid w:val="3F7F5DD9"/>
    <w:multiLevelType w:val="hybridMultilevel"/>
    <w:lvl w:ilvl="0">
      <w:lvlJc w:val="left"/>
      <w:lvlText w:val="1"/>
      <w:numFmt w:val="bullet"/>
      <w:start w:val="1"/>
    </w:lvl>
  </w:abstractNum>
  <w:abstractNum w:abstractNumId="141">
    <w:nsid w:val="2AE05A34"/>
    <w:multiLevelType w:val="hybridMultilevel"/>
    <w:lvl w:ilvl="0">
      <w:lvlJc w:val="left"/>
      <w:lvlText w:val="(%1)"/>
      <w:numFmt w:val="lowerLetter"/>
      <w:start w:val="1"/>
    </w:lvl>
    <w:lvl w:ilvl="1">
      <w:lvlJc w:val="left"/>
      <w:lvlText w:val="(%2)"/>
      <w:numFmt w:val="lowerRoman"/>
      <w:start w:val="1"/>
    </w:lvl>
  </w:abstractNum>
  <w:abstractNum w:abstractNumId="142">
    <w:nsid w:val="32794FF7"/>
    <w:multiLevelType w:val="hybridMultilevel"/>
    <w:lvl w:ilvl="0">
      <w:lvlJc w:val="left"/>
      <w:lvlText w:val="(%1)"/>
      <w:numFmt w:val="lowerLetter"/>
      <w:start w:val="3"/>
    </w:lvl>
  </w:abstractNum>
  <w:abstractNum w:abstractNumId="143">
    <w:nsid w:val="5454945E"/>
    <w:multiLevelType w:val="hybridMultilevel"/>
    <w:lvl w:ilvl="0">
      <w:lvlJc w:val="left"/>
      <w:lvlText w:val="(%1)"/>
      <w:numFmt w:val="lowerLetter"/>
      <w:start w:val="4"/>
    </w:lvl>
  </w:abstractNum>
  <w:abstractNum w:abstractNumId="144">
    <w:nsid w:val="4DEFDFA0"/>
    <w:multiLevelType w:val="hybridMultilevel"/>
    <w:lvl w:ilvl="0">
      <w:lvlJc w:val="left"/>
      <w:lvlText w:val="(%1)"/>
      <w:numFmt w:val="lowerLetter"/>
      <w:start w:val="1"/>
    </w:lvl>
  </w:abstractNum>
  <w:abstractNum w:abstractNumId="145">
    <w:nsid w:val="2123D5F2"/>
    <w:multiLevelType w:val="hybridMultilevel"/>
    <w:lvl w:ilvl="0">
      <w:lvlJc w:val="left"/>
      <w:lvlText w:val="(%1)"/>
      <w:numFmt w:val="lowerLetter"/>
      <w:start w:val="2"/>
    </w:lvl>
  </w:abstractNum>
  <w:abstractNum w:abstractNumId="146">
    <w:nsid w:val="135B8110"/>
    <w:multiLevelType w:val="hybridMultilevel"/>
    <w:lvl w:ilvl="0">
      <w:lvlJc w:val="left"/>
      <w:lvlText w:val="1"/>
      <w:numFmt w:val="bullet"/>
      <w:start w:val="1"/>
    </w:lvl>
  </w:abstractNum>
  <w:abstractNum w:abstractNumId="147">
    <w:nsid w:val="94927A8"/>
    <w:multiLevelType w:val="hybridMultilevel"/>
    <w:lvl w:ilvl="0">
      <w:lvlJc w:val="left"/>
      <w:lvlText w:val="2"/>
      <w:numFmt w:val="bullet"/>
      <w:start w:val="1"/>
    </w:lvl>
  </w:abstractNum>
  <w:abstractNum w:abstractNumId="148">
    <w:nsid w:val="DCDF8F6"/>
    <w:multiLevelType w:val="hybridMultilevel"/>
    <w:lvl w:ilvl="0">
      <w:lvlJc w:val="left"/>
      <w:lvlText w:val="(%1)"/>
      <w:numFmt w:val="lowerLetter"/>
      <w:start w:val="3"/>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1)"/>
      <w:numFmt w:val="lowerLetter"/>
      <w:start w:val="2"/>
    </w:lvl>
    <w:lvl w:ilvl="1">
      <w:lvlJc w:val="left"/>
      <w:lvlText w:val="(%2)"/>
      <w:numFmt w:val="lowerLetter"/>
      <w:start w:val="9"/>
    </w:lvl>
  </w:abstractNum>
  <w:abstractNum w:abstractNumId="151">
    <w:nsid w:val="24E60401"/>
    <w:multiLevelType w:val="hybridMultilevel"/>
    <w:lvl w:ilvl="0">
      <w:lvlJc w:val="left"/>
      <w:lvlText w:val="(%1)"/>
      <w:numFmt w:val="lowerRoman"/>
      <w:start w:val="2"/>
    </w:lvl>
  </w:abstractNum>
  <w:abstractNum w:abstractNumId="152">
    <w:nsid w:val="2A6AD9BE"/>
    <w:multiLevelType w:val="hybridMultilevel"/>
    <w:lvl w:ilvl="0">
      <w:lvlJc w:val="left"/>
      <w:lvlText w:val="(%1)"/>
      <w:numFmt w:val="lowerLetter"/>
      <w:start w:val="6"/>
    </w:lvl>
  </w:abstractNum>
  <w:abstractNum w:abstractNumId="153">
    <w:nsid w:val="BAAC1B4"/>
    <w:multiLevelType w:val="hybridMultilevel"/>
    <w:lvl w:ilvl="0">
      <w:lvlJc w:val="left"/>
      <w:lvlText w:val="(%1)"/>
      <w:numFmt w:val="lowerLetter"/>
      <w:start w:val="1"/>
    </w:lvl>
  </w:abstractNum>
  <w:abstractNum w:abstractNumId="154">
    <w:nsid w:val="36B2ACBC"/>
    <w:multiLevelType w:val="hybridMultilevel"/>
    <w:lvl w:ilvl="0">
      <w:lvlJc w:val="left"/>
      <w:lvlText w:val="(%1)"/>
      <w:numFmt w:val="lowerLetter"/>
      <w:start w:val="2"/>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1)"/>
      <w:numFmt w:val="lowerLetter"/>
      <w:start w:val="3"/>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3"/>
    </w:lvl>
  </w:abstractNum>
  <w:abstractNum w:abstractNumId="159">
    <w:nsid w:val="6181EF69"/>
    <w:multiLevelType w:val="hybridMultilevel"/>
    <w:lvl w:ilvl="0">
      <w:lvlJc w:val="left"/>
      <w:lvlText w:val="(%1)"/>
      <w:numFmt w:val="lowerLetter"/>
      <w:start w:val="1"/>
    </w:lvl>
  </w:abstractNum>
  <w:abstractNum w:abstractNumId="160">
    <w:nsid w:val="3E6400E6"/>
    <w:multiLevelType w:val="hybridMultilevel"/>
    <w:lvl w:ilvl="0">
      <w:lvlJc w:val="left"/>
      <w:lvlText w:val="(%1)"/>
      <w:numFmt w:val="lowerLetter"/>
      <w:start w:val="2"/>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1)"/>
      <w:numFmt w:val="lowerLetter"/>
      <w:start w:val="1"/>
    </w:lvl>
  </w:abstractNum>
  <w:abstractNum w:abstractNumId="163">
    <w:nsid w:val="5015CD1A"/>
    <w:multiLevelType w:val="hybridMultilevel"/>
    <w:lvl w:ilvl="0">
      <w:lvlJc w:val="left"/>
      <w:lvlText w:val="(%1)"/>
      <w:numFmt w:val="lowerLetter"/>
      <w:start w:val="1"/>
    </w:lvl>
    <w:lvl w:ilvl="1">
      <w:lvlJc w:val="left"/>
      <w:lvlText w:val="(%2)"/>
      <w:numFmt w:val="lowerRoman"/>
      <w:start w:val="1"/>
    </w:lvl>
  </w:abstractNum>
  <w:abstractNum w:abstractNumId="164">
    <w:nsid w:val="424479DA"/>
    <w:multiLevelType w:val="hybridMultilevel"/>
    <w:lvl w:ilvl="0">
      <w:lvlJc w:val="left"/>
      <w:lvlText w:val="(%1)"/>
      <w:numFmt w:val="lowerLetter"/>
      <w:start w:val="1"/>
    </w:lvl>
  </w:abstractNum>
  <w:abstractNum w:abstractNumId="165">
    <w:nsid w:val="1A9A9E69"/>
    <w:multiLevelType w:val="hybridMultilevel"/>
    <w:lvl w:ilvl="0">
      <w:lvlJc w:val="left"/>
      <w:lvlText w:val="(%1)"/>
      <w:numFmt w:val="lowerLetter"/>
      <w:start w:val="2"/>
    </w:lvl>
  </w:abstractNum>
  <w:abstractNum w:abstractNumId="166">
    <w:nsid w:val="475E256A"/>
    <w:multiLevelType w:val="hybridMultilevel"/>
    <w:lvl w:ilvl="0">
      <w:lvlJc w:val="left"/>
      <w:lvlText w:val="(%1)"/>
      <w:numFmt w:val="lowerLetter"/>
      <w:start w:val="7"/>
    </w:lvl>
  </w:abstractNum>
  <w:abstractNum w:abstractNumId="167">
    <w:nsid w:val="368DB37E"/>
    <w:multiLevelType w:val="hybridMultilevel"/>
    <w:lvl w:ilvl="0">
      <w:lvlJc w:val="left"/>
      <w:lvlText w:val="%1."/>
      <w:numFmt w:val="decimal"/>
      <w:start w:val="1"/>
    </w:lvl>
  </w:abstractNum>
  <w:abstractNum w:abstractNumId="168">
    <w:nsid w:val="6A3B714C"/>
    <w:multiLevelType w:val="hybridMultilevel"/>
    <w:lvl w:ilvl="0">
      <w:lvlJc w:val="left"/>
      <w:lvlText w:val="1"/>
      <w:numFmt w:val="bullet"/>
      <w:start w:val="1"/>
    </w:lvl>
  </w:abstractNum>
  <w:abstractNum w:abstractNumId="169">
    <w:nsid w:val="327B517E"/>
    <w:multiLevelType w:val="hybridMultilevel"/>
    <w:lvl w:ilvl="0">
      <w:lvlJc w:val="left"/>
      <w:lvlText w:val="2"/>
      <w:numFmt w:val="bullet"/>
      <w:start w:val="1"/>
    </w:lvl>
  </w:abstractNum>
  <w:abstractNum w:abstractNumId="170">
    <w:nsid w:val="1F461B51"/>
    <w:multiLevelType w:val="hybridMultilevel"/>
    <w:lvl w:ilvl="0">
      <w:lvlJc w:val="left"/>
      <w:lvlText w:val="3"/>
      <w:numFmt w:val="bullet"/>
      <w:start w:val="1"/>
    </w:lvl>
  </w:abstractNum>
  <w:abstractNum w:abstractNumId="171">
    <w:nsid w:val="29BACF25"/>
    <w:multiLevelType w:val="hybridMultilevel"/>
    <w:lvl w:ilvl="0">
      <w:lvlJc w:val="left"/>
      <w:lvlText w:val="%1."/>
      <w:numFmt w:val="decimal"/>
      <w:start w:val="4"/>
    </w:lvl>
    <w:lvl w:ilvl="1">
      <w:lvlJc w:val="left"/>
      <w:lvlText w:val="(%2)"/>
      <w:numFmt w:val="lowerLetter"/>
      <w:start w:val="1"/>
    </w:lvl>
  </w:abstractNum>
  <w:abstractNum w:abstractNumId="172">
    <w:nsid w:val="5D5BABB3"/>
    <w:multiLevelType w:val="hybridMultilevel"/>
    <w:lvl w:ilvl="0">
      <w:lvlJc w:val="left"/>
      <w:lvlText w:val="4"/>
      <w:numFmt w:val="bullet"/>
      <w:start w:val="1"/>
    </w:lvl>
  </w:abstractNum>
  <w:abstractNum w:abstractNumId="173">
    <w:nsid w:val="51BF6B48"/>
    <w:multiLevelType w:val="hybridMultilevel"/>
    <w:lvl w:ilvl="0">
      <w:lvlJc w:val="left"/>
      <w:lvlText w:val="%1."/>
      <w:numFmt w:val="decimal"/>
      <w:start w:val="9"/>
    </w:lvl>
  </w:abstractNum>
  <w:abstractNum w:abstractNumId="174">
    <w:nsid w:val="7E0F6384"/>
    <w:multiLevelType w:val="hybridMultilevel"/>
    <w:lvl w:ilvl="0">
      <w:lvlJc w:val="left"/>
      <w:lvlText w:val="%1."/>
      <w:numFmt w:val="decimal"/>
      <w:start w:val="12"/>
    </w:lvl>
  </w:abstractNum>
  <w:abstractNum w:abstractNumId="175">
    <w:nsid w:val="2B4B8B53"/>
    <w:multiLevelType w:val="hybridMultilevel"/>
    <w:lvl w:ilvl="0">
      <w:lvlJc w:val="left"/>
      <w:lvlText w:val="%1."/>
      <w:numFmt w:val="decimal"/>
      <w:start w:val="20"/>
    </w:lvl>
  </w:abstractNum>
  <w:abstractNum w:abstractNumId="176">
    <w:nsid w:val="72E3413A"/>
    <w:multiLevelType w:val="hybridMultilevel"/>
    <w:lvl w:ilvl="0">
      <w:lvlJc w:val="left"/>
      <w:lvlText w:val="%1."/>
      <w:numFmt w:val="decimal"/>
      <w:start w:val="1"/>
    </w:lvl>
  </w:abstractNum>
  <w:abstractNum w:abstractNumId="177">
    <w:nsid w:val="116AE49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8">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79">
    <w:nsid w:val="B13A3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0">
    <w:nsid w:val="64429599"/>
    <w:multiLevelType w:val="hybridMultilevel"/>
    <w:lvl w:ilvl="0">
      <w:lvlJc w:val="left"/>
      <w:lvlText w:val="%1."/>
      <w:numFmt w:val="decimal"/>
      <w:start w:val="6"/>
    </w:lvl>
    <w:lvl w:ilvl="1">
      <w:lvlJc w:val="left"/>
      <w:lvlText w:val="%2."/>
      <w:numFmt w:val="lowerLetter"/>
      <w:start w:val="1"/>
    </w:lvl>
  </w:abstractNum>
  <w:abstractNum w:abstractNumId="181">
    <w:nsid w:val="631F1690"/>
    <w:multiLevelType w:val="hybridMultilevel"/>
    <w:lvl w:ilvl="0">
      <w:lvlJc w:val="left"/>
      <w:lvlText w:val="%1."/>
      <w:numFmt w:val="lowerLetter"/>
      <w:start w:val="8"/>
    </w:lvl>
  </w:abstractNum>
  <w:abstractNum w:abstractNumId="182">
    <w:nsid w:val="25973E32"/>
    <w:multiLevelType w:val="hybridMultilevel"/>
    <w:lvl w:ilvl="0">
      <w:lvlJc w:val="left"/>
      <w:lvlText w:val="%1."/>
      <w:numFmt w:val="decimal"/>
      <w:start w:val="7"/>
    </w:lvl>
    <w:lvl w:ilvl="1">
      <w:lvlJc w:val="left"/>
      <w:lvlText w:val="%2"/>
      <w:numFmt w:val="lowerLetter"/>
      <w:start w:val="1"/>
    </w:lvl>
  </w:abstractNum>
  <w:abstractNum w:abstractNumId="183">
    <w:nsid w:val="EAD6F57"/>
    <w:multiLevelType w:val="hybridMultilevel"/>
    <w:lvl w:ilvl="0">
      <w:lvlJc w:val="left"/>
      <w:lvlText w:val="(%1)"/>
      <w:numFmt w:val="decimal"/>
      <w:start w:val="2"/>
    </w:lvl>
  </w:abstractNum>
  <w:abstractNum w:abstractNumId="184">
    <w:nsid w:val="6EC9D844"/>
    <w:multiLevelType w:val="hybridMultilevel"/>
    <w:lvl w:ilvl="0">
      <w:lvlJc w:val="left"/>
      <w:lvlText w:val="%1."/>
      <w:numFmt w:val="lowerLetter"/>
      <w:start w:val="5"/>
    </w:lvl>
  </w:abstractNum>
  <w:abstractNum w:abstractNumId="185">
    <w:nsid w:val="5C49EAEE"/>
    <w:multiLevelType w:val="hybridMultilevel"/>
    <w:lvl w:ilvl="0">
      <w:lvlJc w:val="left"/>
      <w:lvlText w:val="%1."/>
      <w:numFmt w:val="decimal"/>
      <w:start w:val="8"/>
    </w:lvl>
    <w:lvl w:ilvl="1">
      <w:lvlJc w:val="left"/>
      <w:lvlText w:val="%2."/>
      <w:numFmt w:val="lowerLetter"/>
      <w:start w:val="1"/>
    </w:lvl>
  </w:abstractNum>
  <w:abstractNum w:abstractNumId="186">
    <w:nsid w:val="64AF49B"/>
    <w:multiLevelType w:val="hybridMultilevel"/>
    <w:lvl w:ilvl="0">
      <w:lvlJc w:val="left"/>
      <w:lvlText w:val="(%1)"/>
      <w:numFmt w:val="lowerRoman"/>
      <w:start w:val="4"/>
    </w:lvl>
    <w:lvl w:ilvl="1">
      <w:lvlJc w:val="left"/>
      <w:lvlText w:val="%2."/>
      <w:numFmt w:val="decimal"/>
      <w:start w:val="11"/>
    </w:lvl>
  </w:abstractNum>
  <w:abstractNum w:abstractNumId="187">
    <w:nsid w:val="397C46BC"/>
    <w:multiLevelType w:val="hybridMultilevel"/>
    <w:lvl w:ilvl="0">
      <w:lvlJc w:val="left"/>
      <w:lvlText w:val="%1."/>
      <w:numFmt w:val="decimal"/>
      <w:start w:val="13"/>
    </w:lvl>
  </w:abstractNum>
  <w:abstractNum w:abstractNumId="188">
    <w:nsid w:val="7E448DE9"/>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89">
    <w:nsid w:val="5A9CC3E5"/>
    <w:multiLevelType w:val="hybridMultilevel"/>
    <w:lvl w:ilvl="0">
      <w:lvlJc w:val="left"/>
      <w:lvlText w:val="☐"/>
      <w:numFmt w:val="bullet"/>
      <w:start w:val="1"/>
    </w:lvl>
  </w:abstractNum>
  <w:abstractNum w:abstractNumId="190">
    <w:nsid w:val="1AFE3625"/>
    <w:multiLevelType w:val="hybridMultilevel"/>
    <w:lvl w:ilvl="0">
      <w:lvlJc w:val="left"/>
      <w:lvlText w:val="☐"/>
      <w:numFmt w:val="bullet"/>
      <w:start w:val="1"/>
    </w:lvl>
  </w:abstractNum>
  <w:abstractNum w:abstractNumId="191">
    <w:nsid w:val="3CA88ECF"/>
    <w:multiLevelType w:val="hybridMultilevel"/>
    <w:lvl w:ilvl="0">
      <w:lvlJc w:val="left"/>
      <w:lvlText w:val="-"/>
      <w:numFmt w:val="bullet"/>
      <w:start w:val="1"/>
    </w:lvl>
  </w:abstractNum>
  <w:abstractNum w:abstractNumId="192">
    <w:nsid w:val="6EBE4208"/>
    <w:multiLevelType w:val="hybridMultilevel"/>
    <w:lvl w:ilvl="0">
      <w:lvlJc w:val="left"/>
      <w:lvlText w:val="-"/>
      <w:numFmt w:val="bullet"/>
      <w:start w:val="1"/>
    </w:lvl>
  </w:abstractNum>
  <w:abstractNum w:abstractNumId="193">
    <w:nsid w:val="C058D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2021-04-14T08:25:02Z</dcterms:created>
  <dcterms:modified xsi:type="dcterms:W3CDTF">2021-04-14T08:25:02Z</dcterms:modified>
</cp:coreProperties>
</file>