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ngx-20260331.htm"/>
      <w:bookmarkStart w:id="1" w:name="kstngx20260331"/>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i113.ROC</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 to 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001-39485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TANGO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2626"/>
        <w:gridCol w:w="1246"/>
      </w:tblGrid>
      <w:tr>
        <w:trPr/>
        <w:tc>
          <w:tcPr>
            <w:tcW w:w="2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85-1195036</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201 Brookline Ave., Suite 901</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02215</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(857) 320-4900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005" w:type="dxa"/>
        <w:jc w:val="left"/>
        <w:tblInd w:w="0" w:type="dxa"/>
        <w:tblLayout w:type="fixed"/>
        <w:tblCellMar>
          <w:top w:w="28" w:type="dxa"/>
          <w:left w:w="28" w:type="dxa"/>
          <w:bottom w:w="28" w:type="dxa"/>
          <w:right w:w="28" w:type="dxa"/>
        </w:tblCellMar>
      </w:tblPr>
      <w:tblGrid>
        <w:gridCol w:w="3571"/>
        <w:gridCol w:w="146"/>
        <w:gridCol w:w="826"/>
        <w:gridCol w:w="146"/>
        <w:gridCol w:w="3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TNGX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6, 2026, the registrant had 144,647,982</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am_1_financial_statement">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_los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redeem">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2025 and this Quarterly Report on Form 10-Q. These risks include, among others, the following (which is not an exhaustive list of all such risks):</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incurred significant net losses since our inception and anticipate that we will continue to incur losses for the foreseeable future. We expect our operating results to fluctuate significantly in the future as our business advances.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never successfully completed any clinical trials and we may be unable to do so for any product candidates we develop. Certain of our programs are still in preclinical development and may never advance to clinical development.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clinical trials and target engagement.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product development involves a lengthy and expensive process, with an uncertain outcome. Further, our current and potential future collaborations may not realize the anticipated benefits.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experience delays or difficulties in the initiation, enrollment or dosing of patients in clinical trials, the announcement of clinical trial results and our receipt of necessary regulatory approvals (if any) could be delayed or prevented.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health crises may materially and adversely affect our business and our financial results and could cause a disruption to the development of our product candidates and the initiation and completion of clinical trials.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hAnsi="Times New Roman"/>
                <w:i/>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contract with a limited number of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rely on a very limited number of third parties for the supply of the active pharmaceutical ingredients, or API, and drug product to be used in our product candidates (for example, an affiliate of WuXi AppTec is the sole source of API for all of our clinical-stage product candidates), and WuXi AppTec has been the subject of proposed Congressional legislation that, if enacted, could materially restrict our ability to conduct business with, and obtain API from, WuXi AppTec. The loss of any of these suppliers, including WuXi AppTec, could significantly harm our business.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cannot obtain new patents, maintain our existing patents and protect the confidentiality and proprietary nature of our trade secrets and other intellectual property, our business and competitive position may be harmed.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of combination therapies may present more or different challenges than development of single agent therapies.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Inadequate funding for government agencies in or outside the United States, including from government shutdowns or other disruptions to these agencies' staffing and operations, could prevent new products and services being developed or commercialized in a timely manner or otherwise prevent those agencies from performing normal business functions on which the operation of our business may rely, which could negatively impact our business. Unfavorable global economic conditions could adversely affect our business, financial condition or results of operations.</w:t>
            </w:r>
          </w:p>
        </w:tc>
      </w:tr>
    </w:tbl>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timing of upcoming clinical milestones and data disclosures, including our plans to: (a) disclose initial phase 1/2 safety and efficacy data from the vopimetostat combination trial in 2026, (b) disclose clinical data in the lung cancer cohort of the vopimetostat monotherapy clinical trial in 2026, (c) disclose initial safety and efficacy data from the TNG456 phase 1/2 clinical trial in 2026 and (d) initiate a phase 1/2 combination clinical trial of vopimetostat and ERAS-0015 in the second half of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and potential (or those of third parties) to manufacture our drug product, drug substance and product candidates successfully for preclinical use, for clinical trials and on a larger scale for commercial use, if approved;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ability and willingness of our third-party strategic collaborators to continue research and development activities relating to our development candidates and product candidates;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obtain and, if approved, maintain regulatory approval of our product candidates (as well as approval or clearance of screening tests and companion diagnostic tests for our product candidates) and the potential paths to approval for our product candidates, including for vopimetostat as a monotherapy or in combination in MTAP-deleted pancreatic and lung cancer, including our plans to provide details for the registrational strategy for vopimetostat in conjunction with a planned clinical data update from our ongoing combination study in 2026;</w:t>
            </w:r>
          </w:p>
        </w:tc>
      </w:tr>
    </w:tbl>
    <w:tbl>
      <w:tblPr>
        <w:tblW w:w="5007" w:type="dxa"/>
        <w:jc w:val="left"/>
        <w:tblInd w:w="0" w:type="dxa"/>
        <w:tblLayout w:type="fixed"/>
        <w:tblCellMar>
          <w:top w:w="28" w:type="dxa"/>
          <w:left w:w="28" w:type="dxa"/>
          <w:bottom w:w="28" w:type="dxa"/>
          <w:right w:w="28" w:type="dxa"/>
        </w:tblCellMar>
      </w:tblPr>
      <w:tblGrid>
        <w:gridCol w:w="161"/>
        <w:gridCol w:w="109"/>
        <w:gridCol w:w="146"/>
        <w:gridCol w:w="45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commercialize our products, if approved;</w:t>
            </w:r>
          </w:p>
        </w:tc>
      </w:tr>
    </w:tbl>
    <w:tbl>
      <w:tblPr>
        <w:tblW w:w="6237" w:type="dxa"/>
        <w:jc w:val="left"/>
        <w:tblInd w:w="0" w:type="dxa"/>
        <w:tblLayout w:type="fixed"/>
        <w:tblCellMar>
          <w:top w:w="28" w:type="dxa"/>
          <w:left w:w="28" w:type="dxa"/>
          <w:bottom w:w="28" w:type="dxa"/>
          <w:right w:w="28" w:type="dxa"/>
        </w:tblCellMar>
      </w:tblPr>
      <w:tblGrid>
        <w:gridCol w:w="161"/>
        <w:gridCol w:w="109"/>
        <w:gridCol w:w="146"/>
        <w:gridCol w:w="58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tc>
      </w:tr>
    </w:tbl>
    <w:tbl>
      <w:tblPr>
        <w:tblW w:w="8892" w:type="dxa"/>
        <w:jc w:val="left"/>
        <w:tblInd w:w="0" w:type="dxa"/>
        <w:tblLayout w:type="fixed"/>
        <w:tblCellMar>
          <w:top w:w="28" w:type="dxa"/>
          <w:left w:w="28" w:type="dxa"/>
          <w:bottom w:w="28" w:type="dxa"/>
          <w:right w:w="28" w:type="dxa"/>
        </w:tblCellMar>
      </w:tblPr>
      <w:tblGrid>
        <w:gridCol w:w="161"/>
        <w:gridCol w:w="109"/>
        <w:gridCol w:w="146"/>
        <w:gridCol w:w="847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 candidates;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our ability to enforce our intellectual property rights;</w:t>
            </w:r>
          </w:p>
        </w:tc>
      </w:tr>
    </w:tbl>
    <w:tbl>
      <w:tblPr>
        <w:tblW w:w="8067" w:type="dxa"/>
        <w:jc w:val="left"/>
        <w:tblInd w:w="0" w:type="dxa"/>
        <w:tblLayout w:type="fixed"/>
        <w:tblCellMar>
          <w:top w:w="28" w:type="dxa"/>
          <w:left w:w="28" w:type="dxa"/>
          <w:bottom w:w="28" w:type="dxa"/>
          <w:right w:w="28" w:type="dxa"/>
        </w:tblCellMar>
      </w:tblPr>
      <w:tblGrid>
        <w:gridCol w:w="161"/>
        <w:gridCol w:w="109"/>
        <w:gridCol w:w="146"/>
        <w:gridCol w:w="76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estimates of our future expenses, capital requirements, and our need for additional financing;</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potential benefits of strategic collaboration agreements (including our clinical trial and supply agreements with Revolution Medicines, Inc. and Erasca, Inc.), our ability to enter into strategic collaborations or arrangements, and our ability to attract collaborators with development, regulatory and commercialization expertise;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agreements with third parties (i) in connection with clinical trials; (ii) to successfully manufacture our drug substances for preclinical use, for clinical trials and on a larger scale for commercial use, if approved; (iii) in connection with the commercialization of our product candidates (if approved) and any other approved products;</w:t>
            </w:r>
          </w:p>
        </w:tc>
      </w:tr>
    </w:tbl>
    <w:tbl>
      <w:tblPr>
        <w:tblW w:w="9462" w:type="dxa"/>
        <w:jc w:val="left"/>
        <w:tblInd w:w="0" w:type="dxa"/>
        <w:tblLayout w:type="fixed"/>
        <w:tblCellMar>
          <w:top w:w="28" w:type="dxa"/>
          <w:left w:w="28" w:type="dxa"/>
          <w:bottom w:w="28" w:type="dxa"/>
          <w:right w:w="28" w:type="dxa"/>
        </w:tblCellMar>
      </w:tblPr>
      <w:tblGrid>
        <w:gridCol w:w="161"/>
        <w:gridCol w:w="109"/>
        <w:gridCol w:w="146"/>
        <w:gridCol w:w="90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financial performance, including the expectation that we will continue to incur operating losses and negative cash flow;</w:t>
            </w:r>
          </w:p>
        </w:tc>
      </w:tr>
    </w:tbl>
    <w:tbl>
      <w:tblPr>
        <w:tblW w:w="7047" w:type="dxa"/>
        <w:jc w:val="left"/>
        <w:tblInd w:w="0" w:type="dxa"/>
        <w:tblLayout w:type="fixed"/>
        <w:tblCellMar>
          <w:top w:w="28" w:type="dxa"/>
          <w:left w:w="28" w:type="dxa"/>
          <w:bottom w:w="28" w:type="dxa"/>
          <w:right w:w="28" w:type="dxa"/>
        </w:tblCellMar>
      </w:tblPr>
      <w:tblGrid>
        <w:gridCol w:w="161"/>
        <w:gridCol w:w="109"/>
        <w:gridCol w:w="146"/>
        <w:gridCol w:w="663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 if approved;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 including product approval requirements and pricing regulations by U.S. regulatory authorities (such as the Centers for Medicare &amp; Medicaid Services) and foreign regulatory authorities; and the outcome of discussions with such regulatory authorities regarding our clinical trial design;</w:t>
            </w:r>
          </w:p>
        </w:tc>
      </w:tr>
    </w:tbl>
    <w:tbl>
      <w:tblPr>
        <w:tblW w:w="9207" w:type="dxa"/>
        <w:jc w:val="left"/>
        <w:tblInd w:w="0" w:type="dxa"/>
        <w:tblLayout w:type="fixed"/>
        <w:tblCellMar>
          <w:top w:w="28" w:type="dxa"/>
          <w:left w:w="28" w:type="dxa"/>
          <w:bottom w:w="28" w:type="dxa"/>
          <w:right w:w="28" w:type="dxa"/>
        </w:tblCellMar>
      </w:tblPr>
      <w:tblGrid>
        <w:gridCol w:w="161"/>
        <w:gridCol w:w="109"/>
        <w:gridCol w:w="146"/>
        <w:gridCol w:w="87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(or the ability of third parties with whom we contract) to produce our products or product candidates with advantages in turnaround times or manufacturing cost;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deliver the deep, durable target inhibition - with favorable tolerability and safety profiles - necessary to maximize clinical benefit as a result of the unique ability of synthetic lethal targeting to spare normal cells, as well as the success of competing therapies that may become available;</w:t>
            </w:r>
          </w:p>
        </w:tc>
      </w:tr>
    </w:tbl>
    <w:tbl>
      <w:tblPr>
        <w:tblW w:w="6372" w:type="dxa"/>
        <w:jc w:val="left"/>
        <w:tblInd w:w="0" w:type="dxa"/>
        <w:tblLayout w:type="fixed"/>
        <w:tblCellMar>
          <w:top w:w="28" w:type="dxa"/>
          <w:left w:w="28" w:type="dxa"/>
          <w:bottom w:w="28" w:type="dxa"/>
          <w:right w:w="28" w:type="dxa"/>
        </w:tblCellMar>
      </w:tblPr>
      <w:tblGrid>
        <w:gridCol w:w="161"/>
        <w:gridCol w:w="109"/>
        <w:gridCol w:w="146"/>
        <w:gridCol w:w="59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attract and retain key scientific or management personnel;</w:t>
            </w:r>
          </w:p>
        </w:tc>
      </w:tr>
    </w:tbl>
    <w:tbl>
      <w:tblPr>
        <w:tblW w:w="3402" w:type="dxa"/>
        <w:jc w:val="left"/>
        <w:tblInd w:w="0" w:type="dxa"/>
        <w:tblLayout w:type="fixed"/>
        <w:tblCellMar>
          <w:top w:w="28" w:type="dxa"/>
          <w:left w:w="28" w:type="dxa"/>
          <w:bottom w:w="28" w:type="dxa"/>
          <w:right w:w="28" w:type="dxa"/>
        </w:tblCellMar>
      </w:tblPr>
      <w:tblGrid>
        <w:gridCol w:w="161"/>
        <w:gridCol w:w="109"/>
        <w:gridCol w:w="146"/>
        <w:gridCol w:w="29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impact of laws and regulations;</w:t>
            </w:r>
          </w:p>
        </w:tc>
      </w:tr>
    </w:tbl>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developments relating to our competitors and industry;</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impact of trade restrictions (such as sanctions or tariffs); regulatory requirements, legal actions, or enforcement; inflation rates; and inadequate funding for government agencies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effect of public health crises on our business operations, including but not limited to our preclinical studies and clinical trials and any future studies or trials; </w:t>
            </w:r>
          </w:p>
        </w:tc>
      </w:tr>
    </w:tbl>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161"/>
        <w:gridCol w:w="109"/>
        <w:gridCol w:w="146"/>
        <w:gridCol w:w="70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expected benefit of our drugs in patients as single agents and/or in combination;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potential of preclinical data to support clinical trial results, including (i) our belief that robust preclinical data for vopimetostat and RAS(ON) inhibitors support a potentially strong combination effect in clinical trials of vopimetostat in combination with RAS inhibitors and (ii) our belief that strong preclinical data showing significant in vivo combination benefit could support potential clinical combinations of our PRMT5 inhibitors with CDK4/6 or MAT2A inhibitors, as well as other oncogene-targeted therapies;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potential benefits and development paths of our drugs as mononotherapies and in combination with RAS inhibitors;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risks and uncertainties, including those identified in Part II, Item 1A of this Quarterly Report on Form 10-Q and in Part I, Item 1A of our Annual Report on Form 10-K for the year ended December 31, 2025. In both cases, see section titled “Risk Factors.”</w:t>
            </w:r>
          </w:p>
        </w:tc>
      </w:tr>
    </w:tbl>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forward-looking statements contained in Part I, Item 1A of our Annual Report on Form 10-K for the year ended December 31, 2025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2025.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USE OF DEFINED TERMS IN THIS QUARTERLY REPORT ON FORM 10-Q</w:t>
      </w:r>
    </w:p>
    <w:p>
      <w:pPr>
        <w:pStyle w:val="TextBody"/>
        <w:bidi w:val="0"/>
        <w:jc w:val="left"/>
        <w:rPr>
          <w:rFonts w:ascii="Times New Roman" w:hAnsi="Times New Roman"/>
          <w:color w:val="000000"/>
          <w:sz w:val="20"/>
        </w:rPr>
      </w:pPr>
      <w:r>
        <w:rPr>
          <w:rFonts w:ascii="Times New Roman" w:hAnsi="Times New Roman"/>
          <w:color w:val="000000"/>
          <w:sz w:val="20"/>
        </w:rPr>
        <w:t>Unless the context otherwise requires in this Quarterly Report on Form 10-Q for the quarter ended March 31, 2026, we use the following defined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color w:val="000000"/>
        </w:rPr>
      </w:pPr>
      <w:r>
        <w:rPr>
          <w:color w:val="000000"/>
        </w:rPr>
        <w:t>“</w:t>
      </w:r>
      <w:r>
        <w:rPr>
          <w:rFonts w:ascii="Times New Roman" w:hAnsi="Times New Roman"/>
          <w:color w:val="000000"/>
          <w:sz w:val="20"/>
        </w:rPr>
        <w:t>the Company”, “we”, “our” and “us” mean Tango Therapeutics, Inc. and its wholly-owned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color w:val="000000"/>
        </w:rPr>
      </w:pPr>
      <w:r>
        <w:rPr>
          <w:color w:val="000000"/>
        </w:rPr>
        <w:t>“</w:t>
      </w:r>
      <w:r>
        <w:rPr>
          <w:rFonts w:ascii="Times New Roman" w:hAnsi="Times New Roman"/>
          <w:color w:val="000000"/>
          <w:sz w:val="20"/>
        </w:rPr>
        <w:t xml:space="preserve">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color w:val="000000"/>
        </w:rPr>
      </w:pPr>
      <w:r>
        <w:rPr>
          <w:color w:val="000000"/>
        </w:rPr>
        <w:t>“</w:t>
      </w:r>
      <w:r>
        <w:rPr>
          <w:rFonts w:ascii="Times New Roman" w:hAnsi="Times New Roman"/>
          <w:color w:val="000000"/>
          <w:sz w:val="20"/>
        </w:rPr>
        <w:t>CNS” means central nervous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color w:val="000000"/>
        </w:rPr>
      </w:pPr>
      <w:r>
        <w:rPr>
          <w:color w:val="000000"/>
        </w:rPr>
        <w:t>“</w:t>
      </w:r>
      <w:r>
        <w:rPr>
          <w:rFonts w:ascii="Times New Roman" w:hAnsi="Times New Roman"/>
          <w:color w:val="000000"/>
          <w:sz w:val="20"/>
        </w:rPr>
        <w:t>CoREST” means Co-repressor of Repressor Element-1 Silencing Transcription;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color w:val="000000"/>
        </w:rPr>
      </w:pPr>
      <w:r>
        <w:rPr>
          <w:color w:val="000000"/>
        </w:rPr>
        <w:t>“</w:t>
      </w:r>
      <w:r>
        <w:rPr>
          <w:rFonts w:ascii="Times New Roman" w:hAnsi="Times New Roman"/>
          <w:color w:val="000000"/>
          <w:sz w:val="20"/>
        </w:rPr>
        <w:t xml:space="preserve">FDA” means U.S. Food and Drug Administration;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pPr>
      <w:r>
        <w:rPr>
          <w:color w:val="000000"/>
        </w:rPr>
        <w:t>“</w:t>
      </w:r>
      <w:r>
        <w:rPr>
          <w:rFonts w:ascii="Times New Roman" w:hAnsi="Times New Roman"/>
          <w:color w:val="000000"/>
          <w:sz w:val="21"/>
        </w:rPr>
        <w:t>FOCAD</w:t>
      </w:r>
      <w:r>
        <w:rPr>
          <w:color w:val="000000"/>
        </w:rPr>
        <w:t xml:space="preserve">” </w:t>
      </w:r>
      <w:r>
        <w:rPr>
          <w:rFonts w:ascii="Times New Roman" w:hAnsi="Times New Roman"/>
          <w:color w:val="000000"/>
          <w:sz w:val="21"/>
        </w:rPr>
        <w:t>means focadhesin;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color w:val="000000"/>
        </w:rPr>
      </w:pPr>
      <w:r>
        <w:rPr>
          <w:color w:val="000000"/>
        </w:rPr>
        <w:t>“</w:t>
      </w:r>
      <w:r>
        <w:rPr>
          <w:rFonts w:ascii="Times New Roman" w:hAnsi="Times New Roman"/>
          <w:color w:val="000000"/>
          <w:sz w:val="20"/>
        </w:rPr>
        <w:t>Gilead” means Gilead 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color w:val="000000"/>
        </w:rPr>
      </w:pPr>
      <w:r>
        <w:rPr>
          <w:color w:val="000000"/>
        </w:rPr>
        <w:t>“</w:t>
      </w:r>
      <w:r>
        <w:rPr>
          <w:rFonts w:ascii="Times New Roman" w:hAnsi="Times New Roman"/>
          <w:color w:val="000000"/>
          <w:sz w:val="20"/>
        </w:rPr>
        <w:t>GBM” means glioblastoma;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color w:val="000000"/>
        </w:rPr>
      </w:pPr>
      <w:r>
        <w:rPr>
          <w:color w:val="000000"/>
        </w:rPr>
        <w:t>“</w:t>
      </w:r>
      <w:r>
        <w:rPr>
          <w:rFonts w:ascii="Times New Roman" w:hAnsi="Times New Roman"/>
          <w:color w:val="000000"/>
          <w:sz w:val="20"/>
        </w:rPr>
        <w:t>IND” means Investigational New Drug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color w:val="000000"/>
        </w:rPr>
      </w:pPr>
      <w:r>
        <w:rPr>
          <w:color w:val="000000"/>
        </w:rPr>
        <w:t>“</w:t>
      </w:r>
      <w:r>
        <w:rPr>
          <w:rFonts w:ascii="Times New Roman" w:hAnsi="Times New Roman"/>
          <w:color w:val="000000"/>
          <w:sz w:val="20"/>
        </w:rPr>
        <w:t>MTA” means methylthioadenosine;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w:t>
      </w:r>
    </w:p>
    <w:p>
      <w:pPr>
        <w:pStyle w:val="TextBody"/>
        <w:bidi w:val="0"/>
        <w:spacing w:before="120" w:after="283"/>
        <w:jc w:val="left"/>
        <w:rPr>
          <w:color w:val="000000"/>
        </w:rPr>
      </w:pPr>
      <w:r>
        <w:rPr>
          <w:color w:val="000000"/>
        </w:rPr>
        <w:t>“</w:t>
      </w:r>
      <w:r>
        <w:rPr>
          <w:rFonts w:ascii="Times New Roman" w:hAnsi="Times New Roman"/>
          <w:color w:val="000000"/>
          <w:sz w:val="20"/>
        </w:rPr>
        <w:t>MTAP” means methylthioadenosine phosphorylase;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xii.</w:t>
      </w:r>
    </w:p>
    <w:p>
      <w:pPr>
        <w:pStyle w:val="TextBody"/>
        <w:bidi w:val="0"/>
        <w:spacing w:before="120" w:after="283"/>
        <w:jc w:val="left"/>
        <w:rPr>
          <w:color w:val="000000"/>
        </w:rPr>
      </w:pPr>
      <w:r>
        <w:rPr>
          <w:color w:val="000000"/>
        </w:rPr>
        <w:t>“</w:t>
      </w:r>
      <w:r>
        <w:rPr>
          <w:rFonts w:ascii="Times New Roman" w:hAnsi="Times New Roman"/>
          <w:color w:val="000000"/>
          <w:sz w:val="20"/>
        </w:rPr>
        <w:t>NSCLC” means non-small cell lung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xiii.</w:t>
      </w:r>
    </w:p>
    <w:p>
      <w:pPr>
        <w:pStyle w:val="TextBody"/>
        <w:bidi w:val="0"/>
        <w:spacing w:before="120" w:after="283"/>
        <w:jc w:val="left"/>
        <w:rPr>
          <w:color w:val="000000"/>
        </w:rPr>
      </w:pPr>
      <w:r>
        <w:rPr>
          <w:color w:val="000000"/>
        </w:rPr>
        <w:t>“</w:t>
      </w:r>
      <w:r>
        <w:rPr>
          <w:rFonts w:ascii="Times New Roman" w:hAnsi="Times New Roman"/>
          <w:color w:val="000000"/>
          <w:sz w:val="20"/>
        </w:rPr>
        <w:t>PRMT5” means protein arginine methyltransferase 5;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xiv.</w:t>
      </w:r>
    </w:p>
    <w:p>
      <w:pPr>
        <w:pStyle w:val="TextBody"/>
        <w:bidi w:val="0"/>
        <w:spacing w:before="120" w:after="283"/>
        <w:jc w:val="left"/>
        <w:rPr>
          <w:color w:val="000000"/>
        </w:rPr>
      </w:pPr>
      <w:r>
        <w:rPr>
          <w:color w:val="000000"/>
        </w:rPr>
        <w:t>“</w:t>
      </w:r>
      <w:r>
        <w:rPr>
          <w:rFonts w:ascii="Times New Roman" w:hAnsi="Times New Roman"/>
          <w:color w:val="000000"/>
          <w:sz w:val="20"/>
        </w:rPr>
        <w:t>Quarterly Report” means this Quarterly Report on Form 10-Q for the quarter ended March 31, 2026.</w:t>
      </w:r>
    </w:p>
    <w:p>
      <w:pPr>
        <w:pStyle w:val="TextBody"/>
        <w:bidi w:val="0"/>
        <w:jc w:val="left"/>
        <w:rPr/>
      </w:pPr>
      <w:r>
        <w:rPr/>
        <w:t> </w:t>
      </w:r>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or SEC. </w:t>
      </w:r>
      <w:r>
        <w:rPr>
          <w:rFonts w:ascii="Times New Roman" w:hAnsi="Times New Roman"/>
          <w:color w:val="000000"/>
          <w:sz w:val="22"/>
        </w:rPr>
        <w:t>W</w:t>
      </w:r>
      <w:r>
        <w:rPr>
          <w:rFonts w:ascii="Times New Roman" w:hAnsi="Times New Roman"/>
          <w:color w:val="000000"/>
          <w:sz w:val="20"/>
        </w:rPr>
        <w:t>e also make available, free of charge on our website, the reports filed with the SEC by our executive officers, directors and 10% stockholders pursuant to Section 16 under the Exchange Act as soon as reasonably practicable a</w:t>
      </w:r>
      <w:r>
        <w:rPr>
          <w:rFonts w:ascii="Times New Roman" w:hAnsi="Times New Roman"/>
          <w:color w:val="000000"/>
          <w:sz w:val="22"/>
        </w:rPr>
        <w:t>f</w:t>
      </w:r>
      <w:r>
        <w:rPr>
          <w:rFonts w:ascii="Times New Roman" w:hAnsi="Times New Roman"/>
          <w:color w:val="000000"/>
          <w:sz w:val="20"/>
        </w:rPr>
        <w:t>ter copies of those filings are provided to us by those persons</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A</w:t>
      </w:r>
      <w:r>
        <w:rPr>
          <w:rFonts w:ascii="Times New Roman" w:hAnsi="Times New Roman"/>
          <w:color w:val="000000"/>
          <w:sz w:val="20"/>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pStyle w:val="TextBody"/>
        <w:bidi w:val="0"/>
        <w:jc w:val="left"/>
        <w:rPr>
          <w:rFonts w:ascii="Times New Roman" w:hAnsi="Times New Roman"/>
          <w:color w:val="000000"/>
          <w:sz w:val="20"/>
        </w:rPr>
      </w:pPr>
      <w:r>
        <w:rPr>
          <w:rFonts w:ascii="Times New Roman" w:hAnsi="Times New Roman"/>
          <w:color w:val="000000"/>
          <w:sz w:val="20"/>
        </w:rPr>
        <w:t xml:space="preserve">Our principal executive office is located at 201 Brookline Avenue, Suite 901, Boston, Massachusetts 02215.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am_1_financial_statement"/>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TANGO THERAPEUTICS, INC.</w:t>
      </w:r>
    </w:p>
    <w:p>
      <w:pPr>
        <w:pStyle w:val="TextBody"/>
        <w:bidi w:val="0"/>
        <w:jc w:val="center"/>
        <w:rPr>
          <w:rFonts w:ascii="Times New Roman" w:hAnsi="Times New Roman"/>
          <w:sz w:val="20"/>
        </w:rPr>
      </w:pPr>
      <w:bookmarkStart w:id="4" w:name="balance_sheet"/>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9"/>
        <w:gridCol w:w="146"/>
        <w:gridCol w:w="211"/>
        <w:gridCol w:w="931"/>
        <w:gridCol w:w="166"/>
        <w:gridCol w:w="146"/>
        <w:gridCol w:w="218"/>
        <w:gridCol w:w="875"/>
        <w:gridCol w:w="593"/>
      </w:tblGrid>
      <w:tr>
        <w:trPr/>
        <w:tc>
          <w:tcPr>
            <w:tcW w:w="6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112,279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353,756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$0.001 par value; 10,000,000 shares authorized; no shares </w:t>
              <w:br/>
              <w:t>   issued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400,000,000 and 200,000,000 shares</w:t>
              <w:br/>
              <w:t>   authorized at March 31, 2026 and December 31, 2025, respectively;</w:t>
              <w:br/>
              <w:t xml:space="preserve">   144,162,543 and 135,940,454 shares issued and outstanding as of </w:t>
              <w:br/>
              <w: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948,971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(603,152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346,179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TANGO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mp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114" w:type="dxa"/>
        <w:jc w:val="left"/>
        <w:tblInd w:w="0" w:type="dxa"/>
        <w:tblLayout w:type="fixed"/>
        <w:tblCellMar>
          <w:top w:w="28" w:type="dxa"/>
          <w:left w:w="28" w:type="dxa"/>
          <w:bottom w:w="28" w:type="dxa"/>
          <w:right w:w="28" w:type="dxa"/>
        </w:tblCellMar>
      </w:tblPr>
      <w:tblGrid>
        <w:gridCol w:w="6361"/>
        <w:gridCol w:w="146"/>
        <w:gridCol w:w="211"/>
        <w:gridCol w:w="1141"/>
        <w:gridCol w:w="166"/>
        <w:gridCol w:w="146"/>
        <w:gridCol w:w="211"/>
        <w:gridCol w:w="1141"/>
        <w:gridCol w:w="591"/>
      </w:tblGrid>
      <w:tr>
        <w:trPr/>
        <w:tc>
          <w:tcPr>
            <w:tcW w:w="6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143,576,292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110,301,256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TANGO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redeem"/>
      <w:bookmarkEnd w:id="6"/>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960" w:type="dxa"/>
        <w:jc w:val="left"/>
        <w:tblInd w:w="0" w:type="dxa"/>
        <w:tblLayout w:type="fixed"/>
        <w:tblCellMar>
          <w:top w:w="28" w:type="dxa"/>
          <w:left w:w="28" w:type="dxa"/>
          <w:bottom w:w="28" w:type="dxa"/>
          <w:right w:w="28" w:type="dxa"/>
        </w:tblCellMar>
      </w:tblPr>
      <w:tblGrid>
        <w:gridCol w:w="2836"/>
        <w:gridCol w:w="146"/>
        <w:gridCol w:w="146"/>
        <w:gridCol w:w="871"/>
        <w:gridCol w:w="146"/>
        <w:gridCol w:w="146"/>
        <w:gridCol w:w="196"/>
        <w:gridCol w:w="375"/>
        <w:gridCol w:w="146"/>
        <w:gridCol w:w="146"/>
        <w:gridCol w:w="181"/>
        <w:gridCol w:w="721"/>
        <w:gridCol w:w="146"/>
        <w:gridCol w:w="146"/>
        <w:gridCol w:w="331"/>
        <w:gridCol w:w="690"/>
        <w:gridCol w:w="151"/>
        <w:gridCol w:w="146"/>
        <w:gridCol w:w="190"/>
        <w:gridCol w:w="681"/>
        <w:gridCol w:w="151"/>
        <w:gridCol w:w="146"/>
        <w:gridCol w:w="215"/>
        <w:gridCol w:w="715"/>
        <w:gridCol w:w="19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135,940,454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948,971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(603,152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346,179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3,073,938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At-the-market offerings,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5,148,151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144,162,543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(648,666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391,506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10" w:type="dxa"/>
        <w:jc w:val="left"/>
        <w:tblInd w:w="0" w:type="dxa"/>
        <w:tblLayout w:type="fixed"/>
        <w:tblCellMar>
          <w:top w:w="28" w:type="dxa"/>
          <w:left w:w="28" w:type="dxa"/>
          <w:bottom w:w="28" w:type="dxa"/>
          <w:right w:w="28" w:type="dxa"/>
        </w:tblCellMar>
      </w:tblPr>
      <w:tblGrid>
        <w:gridCol w:w="2806"/>
        <w:gridCol w:w="146"/>
        <w:gridCol w:w="146"/>
        <w:gridCol w:w="871"/>
        <w:gridCol w:w="146"/>
        <w:gridCol w:w="146"/>
        <w:gridCol w:w="196"/>
        <w:gridCol w:w="375"/>
        <w:gridCol w:w="146"/>
        <w:gridCol w:w="146"/>
        <w:gridCol w:w="181"/>
        <w:gridCol w:w="601"/>
        <w:gridCol w:w="146"/>
        <w:gridCol w:w="146"/>
        <w:gridCol w:w="331"/>
        <w:gridCol w:w="690"/>
        <w:gridCol w:w="151"/>
        <w:gridCol w:w="146"/>
        <w:gridCol w:w="190"/>
        <w:gridCol w:w="681"/>
        <w:gridCol w:w="151"/>
        <w:gridCol w:w="146"/>
        <w:gridCol w:w="215"/>
        <w:gridCol w:w="715"/>
        <w:gridCol w:w="19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Accumulated </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107,729,343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(501,558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199,517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(39,876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108,107,890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(541,434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166,756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TANGO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17"/>
        <w:gridCol w:w="346"/>
        <w:gridCol w:w="211"/>
        <w:gridCol w:w="781"/>
        <w:gridCol w:w="346"/>
        <w:gridCol w:w="346"/>
        <w:gridCol w:w="211"/>
        <w:gridCol w:w="736"/>
        <w:gridCol w:w="811"/>
      </w:tblGrid>
      <w:tr>
        <w:trPr/>
        <w:tc>
          <w:tcPr>
            <w:tcW w:w="64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from</w:t>
              <w:br/>
              <w:t>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on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at-the-market offerings, net of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transaction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stock plans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from obtaining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Revaluation of right-of-use asset and lease liability upon lease remeasurement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TANGO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consolidated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Nature of the Business and Basis of Presentation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Tango Therapeutics, Inc. is a precision oncology company committed to the discovery and development of novel drugs in defined patient populations with high unmet medical need.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management, all adjustments necessary for a fair statement of the financial information, which are of a normal and recurring nature, have been made for the interim periods reported. Results of operations for the three months ended March 31, 2026 and 2025 are not necessarily indicative of the results for the year ending December 31, 2026, any other interim periods, or any future year or period. The unaudited condensed consolidated financial statements for the three months ended March 31, 2026 and 2025 have been prepared on the same basis as and should be read in conjunction with the audited consolidated financial statements and notes included in the Company’s Annual Report on Form 10-K for the year ended December 31, 2025 as filed with the SEC on March 5, 2026. </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expects that its existing cash, cash equivalents and marketable securities as of March 31, 2026 of $379.8 million, will be sufficient to fund its operating expenses and capital expenditure requirements for at least twelve months from the issuance date of these financial statements with an expected cash runway into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Company entered into a sales agreement (the Leerink Sales Agreement) with Leerink Partners LLC (Leerink) which permits the Company to sell from time to time, at its option, up to an aggregate of $100.0 million of shares of its common stock through Leerink, as sales agent. Sales of the common stock are made by methods deemed to be "at-the-market" stock offerings. The Leerink Sales Agreement will terminate upon the earliest of: (a) the sale of $100.0 million of shares of the Company's common stock or (b) the termination of the Leerink Sales Agreement by the Company or Leerink. During the three months ended March 31, 2026, the Company sold 5,148,151 shares of common stock under this stock offering program for gross proceeds of $64.4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the Company completed an underwritten offering and a concurrent private placement for the issuance of a total of 22,755,438 shares of common stock at a price of $8.66 per share and pre-funded warrants to purchase 3,226,458 shares of common stock at a purchase price of $8.659 per pre-funded warrant, resulting in gross proceeds of $225.0 million. The pre-funded warrants have an exercise price of $0.001 per share of common stock, are immediately exercisable and will remain exercisable until exercised in full. After deducting expenses related to the offering and private placement of $13.2 million, net proceeds were $211.8 million. Both transactions closed on October 24,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changes from the significant accounting policies disclosed in Note 2, </w:t>
      </w:r>
      <w:r>
        <w:rPr>
          <w:rFonts w:ascii="Times New Roman" w:hAnsi="Times New Roman"/>
          <w:i/>
          <w:color w:val="000000"/>
          <w:sz w:val="20"/>
        </w:rPr>
        <w:t>Summary of Significant Accounting Policies</w:t>
      </w:r>
      <w:r>
        <w:rPr>
          <w:rFonts w:ascii="Times New Roman" w:hAnsi="Times New Roman"/>
          <w:color w:val="000000"/>
          <w:sz w:val="20"/>
        </w:rPr>
        <w:t>, of the audited consolidated financial statements and notes included in the Company’s Annual Report on Form 10-K for the year ended December 31, 2025.</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requires that the Company make estimates, judgments and assumptions that may affect the reported amounts of assets, liabilities, equity, revenues and expenses and related disclosures. Significant estimates and assumptions made in the condensed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condensed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evaluating the potential impact of this adoption on the consolidated financial statements and related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Collaboration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Company received upfront, non-refundable consideration of $125.0</w:t>
      </w:r>
      <w:r>
        <w:rPr>
          <w:color w:val="000000"/>
        </w:rPr>
        <w:t xml:space="preserve"> </w:t>
      </w:r>
      <w:r>
        <w:rPr>
          <w:rFonts w:ascii="Times New Roman" w:hAnsi="Times New Roman"/>
          <w:color w:val="000000"/>
          <w:sz w:val="20"/>
        </w:rPr>
        <w:t xml:space="preserve">million from Gilead upon execution of the Gilead Agreement in 2020;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the 2018 Gilead Agreement ended on the date the Gilead Agreement was executed. The Gilead Agreement has a research term of seven years;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Gilead expanded its option to license up to 15</w:t>
      </w:r>
      <w:r>
        <w:rPr>
          <w:color w:val="000000"/>
        </w:rPr>
        <w:t xml:space="preserve"> </w:t>
      </w:r>
      <w:r>
        <w:rPr>
          <w:rFonts w:ascii="Times New Roman" w:hAnsi="Times New Roman"/>
          <w:color w:val="000000"/>
          <w:sz w:val="20"/>
        </w:rPr>
        <w:t xml:space="preserve">programs for which Gilead may obtain exclusive, worldwide licenses to develop and commercialize therapies, subject to applicable license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exercising its option to license a program, Gilead may “extend” such program, in which case Gilead will pay research option-extension fees and the Company will continue to collaborate with Gilead to discover and develop programs, potentially through early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up to five programs licensed by Gilead, the Company has the option to co-develop and co-promote the lead product in the U.S., subject to certain exceptions, and is eligible to receive tiered royalties in the first decile on ex-U.S.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2025, the Company and Gilead mutually agreed to truncate the research term of the collaboration and license agreement from seven to five years, concluding the research portion of the collaboration. There was no financial penalty to the Company as a result, no licensed programs were returned to the Company, all ongoing work at Gilead on licensed programs will continue and agreements for all future milestones and royalties remain in effect. The Company has no future research obligations and the remaining unrecognized deferred revenue balance at the time of truncating the collaboration agreement of $53.8 million was recognized as revenue in the third quarter of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remains eligible to receive up to $300.0 million per program in clinical, regulatory, and commercial milestones and royalties on future sales of commercialized products, if 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for the Gilead Collaboration</w:t>
      </w:r>
    </w:p>
    <w:p>
      <w:pPr>
        <w:pStyle w:val="TextBody"/>
        <w:bidi w:val="0"/>
        <w:spacing w:before="240" w:after="283"/>
        <w:jc w:val="left"/>
        <w:rPr>
          <w:rFonts w:ascii="Times New Roman" w:hAnsi="Times New Roman"/>
          <w:sz w:val="20"/>
        </w:rPr>
      </w:pPr>
      <w:r>
        <w:rPr>
          <w:rFonts w:ascii="Times New Roman" w:hAnsi="Times New Roman"/>
          <w:color w:val="000000"/>
          <w:sz w:val="20"/>
        </w:rPr>
        <w:t>The Gilead Agreement was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was paid to the Company in equal quarterly installment payments over an agreed upon payment schedule.</w:t>
      </w:r>
      <w:r>
        <w:rPr>
          <w:rFonts w:ascii="Times New Roman" w:hAnsi="Times New Roman"/>
          <w:color w:val="FF0000"/>
          <w:sz w:val="20"/>
        </w:rPr>
        <w:t xml:space="preserve"> </w:t>
      </w:r>
      <w:r>
        <w:rPr>
          <w:rFonts w:ascii="Times New Roman" w:hAnsi="Times New Roman"/>
          <w:color w:val="000000"/>
          <w:sz w:val="20"/>
        </w:rPr>
        <w:t xml:space="preserve">The research option-extension consideration were added to the transaction price under the Gilead Agreement. License fees were recognized as revenue immediately as the Company had no continued involvement in the advancement of the program, Gilead benefited from the license on its own, and the license was separately identifiable from the research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Gilead Revenue Recognized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transaction price allocated to the combined performance obligation under the Gilead Agreement was $199.0 million. The total transaction price was comprised of the $50.0 million upfront payment pursuant to the 2018 Gilead Agreement, the $125.0 million upfront payment pursuant to the Gilead Agreement, and $24.0 million payment pursuant to the research option-extension fee in December 2020 and in September 2021. During the three months ended March 31, 2026 and 2025, the Company recognized $0 and $5.4 million, respectively, of collaboration revenue associated with the Gilead agreements based on performance completed during each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incurred pursuant to the Gilead Agreement and the 2018 Gilead Agreement are recorded as research and development expense.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measured at fair value on a recurring basis: </w:t>
      </w:r>
    </w:p>
    <w:p>
      <w:pPr>
        <w:pStyle w:val="TextBody"/>
        <w:bidi w:val="0"/>
        <w:jc w:val="left"/>
        <w:rPr/>
      </w:pPr>
      <w:r>
        <w:rPr/>
        <w:t> </w:t>
      </w:r>
    </w:p>
    <w:tbl>
      <w:tblPr>
        <w:tblW w:w="7860" w:type="dxa"/>
        <w:jc w:val="left"/>
        <w:tblInd w:w="0" w:type="dxa"/>
        <w:tblLayout w:type="fixed"/>
        <w:tblCellMar>
          <w:top w:w="28" w:type="dxa"/>
          <w:left w:w="28" w:type="dxa"/>
          <w:bottom w:w="28" w:type="dxa"/>
          <w:right w:w="28" w:type="dxa"/>
        </w:tblCellMar>
      </w:tblPr>
      <w:tblGrid>
        <w:gridCol w:w="2841"/>
        <w:gridCol w:w="146"/>
        <w:gridCol w:w="211"/>
        <w:gridCol w:w="781"/>
        <w:gridCol w:w="146"/>
        <w:gridCol w:w="146"/>
        <w:gridCol w:w="211"/>
        <w:gridCol w:w="781"/>
        <w:gridCol w:w="146"/>
        <w:gridCol w:w="146"/>
        <w:gridCol w:w="239"/>
        <w:gridCol w:w="391"/>
        <w:gridCol w:w="146"/>
        <w:gridCol w:w="146"/>
        <w:gridCol w:w="211"/>
        <w:gridCol w:w="781"/>
        <w:gridCol w:w="3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 Value Measurements</w:t>
              <w:br/>
              <w:t>as of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55" w:type="dxa"/>
        <w:jc w:val="left"/>
        <w:tblInd w:w="0" w:type="dxa"/>
        <w:tblLayout w:type="fixed"/>
        <w:tblCellMar>
          <w:top w:w="28" w:type="dxa"/>
          <w:left w:w="28" w:type="dxa"/>
          <w:bottom w:w="28" w:type="dxa"/>
          <w:right w:w="28" w:type="dxa"/>
        </w:tblCellMar>
      </w:tblPr>
      <w:tblGrid>
        <w:gridCol w:w="2841"/>
        <w:gridCol w:w="146"/>
        <w:gridCol w:w="211"/>
        <w:gridCol w:w="676"/>
        <w:gridCol w:w="146"/>
        <w:gridCol w:w="146"/>
        <w:gridCol w:w="211"/>
        <w:gridCol w:w="781"/>
        <w:gridCol w:w="146"/>
        <w:gridCol w:w="146"/>
        <w:gridCol w:w="239"/>
        <w:gridCol w:w="391"/>
        <w:gridCol w:w="146"/>
        <w:gridCol w:w="146"/>
        <w:gridCol w:w="211"/>
        <w:gridCol w:w="781"/>
        <w:gridCol w:w="3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 Value Measurements</w:t>
              <w:b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transfers between fair value levels during the three months ended March 31, 2026.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the Company’s marketable debt securities, classified as available-for-sale: </w:t>
      </w:r>
    </w:p>
    <w:tbl>
      <w:tblPr>
        <w:tblW w:w="8030" w:type="dxa"/>
        <w:jc w:val="left"/>
        <w:tblInd w:w="0" w:type="dxa"/>
        <w:tblLayout w:type="fixed"/>
        <w:tblCellMar>
          <w:top w:w="28" w:type="dxa"/>
          <w:left w:w="28" w:type="dxa"/>
          <w:bottom w:w="28" w:type="dxa"/>
          <w:right w:w="28" w:type="dxa"/>
        </w:tblCellMar>
      </w:tblPr>
      <w:tblGrid>
        <w:gridCol w:w="2841"/>
        <w:gridCol w:w="146"/>
        <w:gridCol w:w="211"/>
        <w:gridCol w:w="781"/>
        <w:gridCol w:w="146"/>
        <w:gridCol w:w="146"/>
        <w:gridCol w:w="354"/>
        <w:gridCol w:w="532"/>
        <w:gridCol w:w="146"/>
        <w:gridCol w:w="146"/>
        <w:gridCol w:w="270"/>
        <w:gridCol w:w="616"/>
        <w:gridCol w:w="166"/>
        <w:gridCol w:w="146"/>
        <w:gridCol w:w="211"/>
        <w:gridCol w:w="781"/>
        <w:gridCol w:w="3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br/>
              <w:t>as of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8010" w:type="dxa"/>
        <w:jc w:val="left"/>
        <w:tblInd w:w="0" w:type="dxa"/>
        <w:tblLayout w:type="fixed"/>
        <w:tblCellMar>
          <w:top w:w="28" w:type="dxa"/>
          <w:left w:w="28" w:type="dxa"/>
          <w:bottom w:w="28" w:type="dxa"/>
          <w:right w:w="28" w:type="dxa"/>
        </w:tblCellMar>
      </w:tblPr>
      <w:tblGrid>
        <w:gridCol w:w="2841"/>
        <w:gridCol w:w="146"/>
        <w:gridCol w:w="211"/>
        <w:gridCol w:w="781"/>
        <w:gridCol w:w="146"/>
        <w:gridCol w:w="146"/>
        <w:gridCol w:w="295"/>
        <w:gridCol w:w="591"/>
        <w:gridCol w:w="146"/>
        <w:gridCol w:w="146"/>
        <w:gridCol w:w="335"/>
        <w:gridCol w:w="551"/>
        <w:gridCol w:w="146"/>
        <w:gridCol w:w="146"/>
        <w:gridCol w:w="211"/>
        <w:gridCol w:w="781"/>
        <w:gridCol w:w="3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b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fair value and gross unrealized losses aggregated by category and the length of time that individual securities have been in an unrealized loss position at March 31, 2026:</w:t>
      </w:r>
    </w:p>
    <w:tbl>
      <w:tblPr>
        <w:tblW w:w="10205" w:type="dxa"/>
        <w:jc w:val="left"/>
        <w:tblInd w:w="0" w:type="dxa"/>
        <w:tblLayout w:type="fixed"/>
        <w:tblCellMar>
          <w:top w:w="28" w:type="dxa"/>
          <w:left w:w="28" w:type="dxa"/>
          <w:bottom w:w="28" w:type="dxa"/>
          <w:right w:w="28" w:type="dxa"/>
        </w:tblCellMar>
      </w:tblPr>
      <w:tblGrid>
        <w:gridCol w:w="2267"/>
        <w:gridCol w:w="211"/>
        <w:gridCol w:w="781"/>
        <w:gridCol w:w="146"/>
        <w:gridCol w:w="146"/>
        <w:gridCol w:w="322"/>
        <w:gridCol w:w="736"/>
        <w:gridCol w:w="166"/>
        <w:gridCol w:w="146"/>
        <w:gridCol w:w="416"/>
        <w:gridCol w:w="288"/>
        <w:gridCol w:w="234"/>
        <w:gridCol w:w="234"/>
        <w:gridCol w:w="592"/>
        <w:gridCol w:w="467"/>
        <w:gridCol w:w="146"/>
        <w:gridCol w:w="146"/>
        <w:gridCol w:w="211"/>
        <w:gridCol w:w="781"/>
        <w:gridCol w:w="146"/>
        <w:gridCol w:w="146"/>
        <w:gridCol w:w="322"/>
        <w:gridCol w:w="736"/>
        <w:gridCol w:w="419"/>
      </w:tblGrid>
      <w:tr>
        <w:trPr/>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twelve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than twelve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2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hold investment grade marketable securities considered to be in an unrealized loss position at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holds investment grade marketable securities considered to be in an unrealized loss position at March 31, 2026. Although these marketable securities are held at an unrealized loss position at March 31, 2026,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$1.2 million and $1.0 million in accrued interest at March 31, 2026 and December 31, 2025,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Supplemental Balance Sheet Information </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Property and equipment, net consists of the following: </w:t>
      </w:r>
    </w:p>
    <w:tbl>
      <w:tblPr>
        <w:tblW w:w="5642" w:type="dxa"/>
        <w:jc w:val="left"/>
        <w:tblInd w:w="0" w:type="dxa"/>
        <w:tblLayout w:type="fixed"/>
        <w:tblCellMar>
          <w:top w:w="28" w:type="dxa"/>
          <w:left w:w="28" w:type="dxa"/>
          <w:bottom w:w="28" w:type="dxa"/>
          <w:right w:w="28" w:type="dxa"/>
        </w:tblCellMar>
      </w:tblPr>
      <w:tblGrid>
        <w:gridCol w:w="2731"/>
        <w:gridCol w:w="146"/>
        <w:gridCol w:w="211"/>
        <w:gridCol w:w="736"/>
        <w:gridCol w:w="166"/>
        <w:gridCol w:w="146"/>
        <w:gridCol w:w="244"/>
        <w:gridCol w:w="851"/>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Depreciation expense was $0.5 million and $0.6 million for the three months ended March 31, 2026 and 2025, respectively. </w:t>
      </w:r>
    </w:p>
    <w:p>
      <w:pPr>
        <w:pStyle w:val="TextBody"/>
        <w:bidi w:val="0"/>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include the following: </w:t>
      </w:r>
    </w:p>
    <w:tbl>
      <w:tblPr>
        <w:tblW w:w="7240" w:type="dxa"/>
        <w:jc w:val="left"/>
        <w:tblInd w:w="0" w:type="dxa"/>
        <w:tblLayout w:type="fixed"/>
        <w:tblCellMar>
          <w:top w:w="28" w:type="dxa"/>
          <w:left w:w="28" w:type="dxa"/>
          <w:bottom w:w="28" w:type="dxa"/>
          <w:right w:w="28" w:type="dxa"/>
        </w:tblCellMar>
      </w:tblPr>
      <w:tblGrid>
        <w:gridCol w:w="4461"/>
        <w:gridCol w:w="146"/>
        <w:gridCol w:w="230"/>
        <w:gridCol w:w="625"/>
        <w:gridCol w:w="146"/>
        <w:gridCol w:w="146"/>
        <w:gridCol w:w="260"/>
        <w:gridCol w:w="835"/>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March 31, 2026 and 2025, the Company maintained a restricted cash balance of $2.1 million and $2.6 million, respectively, all of which was related to a security deposit associated with the Company’s facility lease. In February 2026, $0.4 million of the security deposit was released to the Company, thus reducing the associated letter of credit. The cash will remain restricted in accordance with the lease agreement absent the event of a lease termination or modification. The reconciliation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cash and cash equivalents and restricted cash to amounts presented in the condensed consolidated statements of cash flows are as follows: </w:t>
      </w:r>
    </w:p>
    <w:tbl>
      <w:tblPr>
        <w:tblW w:w="6019" w:type="dxa"/>
        <w:jc w:val="left"/>
        <w:tblInd w:w="0" w:type="dxa"/>
        <w:tblLayout w:type="fixed"/>
        <w:tblCellMar>
          <w:top w:w="28" w:type="dxa"/>
          <w:left w:w="28" w:type="dxa"/>
          <w:bottom w:w="28" w:type="dxa"/>
          <w:right w:w="28" w:type="dxa"/>
        </w:tblCellMar>
      </w:tblPr>
      <w:tblGrid>
        <w:gridCol w:w="3511"/>
        <w:gridCol w:w="146"/>
        <w:gridCol w:w="211"/>
        <w:gridCol w:w="781"/>
        <w:gridCol w:w="146"/>
        <w:gridCol w:w="146"/>
        <w:gridCol w:w="211"/>
        <w:gridCol w:w="676"/>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and Other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Sesame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2023, the Company received an inconsequential equity stake in Sesame Therapeutics, Inc. (Sesame), a related party, in exchange for providing lab space and resources for the early phases of company development. The Company concluded that the common stock investment should be accounted for as an equity investment. Sesame's common stock is not exchange-traded and does not have a readily determinable fair value. Therefore, the Company accounts for the common stock investment under the measurement alternative for equity investments that do not have a readily determinable fair value. During 2025, an observable price change event occurred, resulting in the $0.5 million increase in fair value recognized related to the common stock investment as a result of the application of the measurement alternative. As of December 31, 2025, the cost of the investment in Sesame’s common stock was $0.5 million, including immaterial transaction costs, and was recorded as an equity investment within Other assets on the consolidated balance sheets. There were no observable price changes that would result in an adjustment to the fair value of this equity investment during the three months ended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2024, the Company and Sesame entered into a license agreement pursuant to which the Company granted Sesame a non-exclusive license to certain know-how associated with preclinical research (the Sesame Agreement). Pursuant to the Sesame Agreement, the Company received a $0.1 million upfront, non-refundable payment in June 2024. 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the Company and Sesame entered into a use and occupancy sub-lease of office and laboratory space at 201 Brookline Avenue in Boston, Massachusetts. The sub-lease has a term of 17-months with an option to extend for one additional six-month period. Total sub-lease payments from Sesame to the Company will approximate $0.4 million over the term of the sub-lease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common relationships amongst members of management and the boards of directors, the transaction above with Sesame is a related party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Medivir AB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Upfront fees paid pursuant to the Medivir Agreement were recorded to research and development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2026, the Medivir Agreement was terminated.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Consulting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the Company and Malte Peters, M.D. entered into a consulting agreement to support the Company's work on key initiatives related to advancing our late-stage development capabilities. Dr. Peters, who served on the Board of Directors, has significant late-stage clinical development expertise, having brought multiple oncology products to market. In exchange for his consulting services, Dr. Peters received compensation of (i) $36,000 per calendar month and (ii) an equity grant of 150,000 non-qualified stock options. Due to Dr. Peters maintaining a position on the Board of Directors at the time of the consulting agreement execution, the compensation related to the agreed-upon consulting services was deemed a related party transaction. Dr. Peters was appointed as the Company's President and Chief Executive Officer on January 8, 2026. The consulting agreement was terminated effective as of January 8, 2026.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Trial Collaboration and Supply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Company and Revolution Medicines, Inc. (RevMed) entered into a Clinical Trial Collaboration and Supply Agreement (CTCSA). The agreement provides that RevMed will supply daraxonrasib (RMC-6236), a RAS(ON) multi-selective inhibitor, and zoldonrasib (RMC-9805), a RAS(ON) G12D-selective inhibitor, at no cost to the Company for use in trials that will include vopimetostat and each of these RAS(ON) inhibitors.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this transaction is a related party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differentiated profile of vopimetostat enabling the potential for efficacious and tolerable RAS inhibitor combinations, in March 2026, the Company entered into a CTCSA with Erasca, Inc., or Erasca, to evaluate vopimetostat in combination with Erasca’s pan-RAS molecular glue, ERAS-0015. Under the terms of the agreement, Tango is the sponsor of the trial and Erasca is supplying ERAS-0015 at no cost. Each company will retain commercial rights to its respective compound, and the agreement is mutually non-exclusive.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Company had ongoing preclinical and clinical studies. The Company enters into contracts in the normal course of business with contract research organizations in connection with the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Guarantees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defends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arising in the ordinary course of business. The Company was not subject to any material legal proceedings as of March 31, 2026,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5, 2025, the Company’s stockholders approved an increase in the number of authorized shares of the Company's common stock from 200,000,000 to 400,000,000 and the Company filed a Certificate of Amendment to its Amended and Restated Certificate of Incorporation with the Secretary of State of the State of Delaware to effect such increase, which became effective immediately upon filing.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Undesignated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Certificate of Incorporation, as amended and restated, authorizes the Company to issue shares of preferred stock with a par value of $0.001 per share. The number of shares of preferred stock authorized to be issued is 10,000,000 shares as of March 31, 2026 and December 31, 2025. The shares of preferred stock are currently undesignated and no shares are issued or outstanding.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2021, the Company's board of directors and stockholders approved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forfeiture and other restrictions as deemed appropriate by the board of directors at the time of issuance. As of March 31, 2026, the Company had 8,558,351 shares available for future issuance under the 2021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2023, the Company's board of directors approved the 2023 Inducement Plan (the Inducement Plan), under which the Company reserved shares of common stock, to be used exclusively for grants of non-qualified stock options, restricted stock units and other equity-based awards, or any combination of these to individuals who were not previously employees or directors of the Company. As of March 31, 2026, the Company had 1,767,162 shares available for future issuance under the Inducement Plan.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recorded stock-based compensation expense in the following expense categories in its accompanying condensed consolidated statements of operations: </w:t>
      </w:r>
    </w:p>
    <w:tbl>
      <w:tblPr>
        <w:tblW w:w="5246" w:type="dxa"/>
        <w:jc w:val="left"/>
        <w:tblInd w:w="0" w:type="dxa"/>
        <w:tblLayout w:type="fixed"/>
        <w:tblCellMar>
          <w:top w:w="28" w:type="dxa"/>
          <w:left w:w="28" w:type="dxa"/>
          <w:bottom w:w="28" w:type="dxa"/>
          <w:right w:w="28" w:type="dxa"/>
        </w:tblCellMar>
      </w:tblPr>
      <w:tblGrid>
        <w:gridCol w:w="2311"/>
        <w:gridCol w:w="146"/>
        <w:gridCol w:w="258"/>
        <w:gridCol w:w="827"/>
        <w:gridCol w:w="178"/>
        <w:gridCol w:w="178"/>
        <w:gridCol w:w="258"/>
        <w:gridCol w:w="699"/>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period-over-period increase to general and administrative stock-based compensation expense is primarily due to incremental expenses derived from the modification of previously issued equity awards during the three months ended March 31, 2026.</w:t>
      </w:r>
    </w:p>
    <w:p>
      <w:pPr>
        <w:pStyle w:val="TextBody"/>
        <w:bidi w:val="0"/>
        <w:spacing w:before="0" w:after="240"/>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summarizes the stock option activity for the three months ended March 31, 2026: </w:t>
      </w:r>
    </w:p>
    <w:tbl>
      <w:tblPr>
        <w:tblW w:w="9670" w:type="dxa"/>
        <w:jc w:val="left"/>
        <w:tblInd w:w="0" w:type="dxa"/>
        <w:tblLayout w:type="fixed"/>
        <w:tblCellMar>
          <w:top w:w="28" w:type="dxa"/>
          <w:left w:w="28" w:type="dxa"/>
          <w:bottom w:w="28" w:type="dxa"/>
          <w:right w:w="28" w:type="dxa"/>
        </w:tblCellMar>
      </w:tblPr>
      <w:tblGrid>
        <w:gridCol w:w="3916"/>
        <w:gridCol w:w="146"/>
        <w:gridCol w:w="146"/>
        <w:gridCol w:w="1036"/>
        <w:gridCol w:w="166"/>
        <w:gridCol w:w="146"/>
        <w:gridCol w:w="214"/>
        <w:gridCol w:w="582"/>
        <w:gridCol w:w="146"/>
        <w:gridCol w:w="146"/>
        <w:gridCol w:w="236"/>
        <w:gridCol w:w="755"/>
        <w:gridCol w:w="146"/>
        <w:gridCol w:w="146"/>
        <w:gridCol w:w="211"/>
        <w:gridCol w:w="114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60,720,990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313,607,203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12,158,186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172,957,367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March 31, 2026, total unrecognized compensation expense related to stock options was $77.1 million, which the Company expects to recognize over a remaining weighted-average period of 2.9 years.</w:t>
      </w:r>
    </w:p>
    <w:p>
      <w:pPr>
        <w:pStyle w:val="TextBody"/>
        <w:bidi w:val="0"/>
        <w:jc w:val="left"/>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the RSU activity for the three months ended March 31, 2026: </w:t>
      </w:r>
    </w:p>
    <w:tbl>
      <w:tblPr>
        <w:tblW w:w="8842" w:type="dxa"/>
        <w:jc w:val="left"/>
        <w:tblInd w:w="0" w:type="dxa"/>
        <w:tblLayout w:type="fixed"/>
        <w:tblCellMar>
          <w:top w:w="28" w:type="dxa"/>
          <w:left w:w="28" w:type="dxa"/>
          <w:bottom w:w="28" w:type="dxa"/>
          <w:right w:w="28" w:type="dxa"/>
        </w:tblCellMar>
      </w:tblPr>
      <w:tblGrid>
        <w:gridCol w:w="4381"/>
        <w:gridCol w:w="146"/>
        <w:gridCol w:w="146"/>
        <w:gridCol w:w="931"/>
        <w:gridCol w:w="166"/>
        <w:gridCol w:w="146"/>
        <w:gridCol w:w="681"/>
        <w:gridCol w:w="1854"/>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and 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total unrecognized compensation expense related to RSUs was $16.5 million, which the Company expects to recognize over a remaining weighted-average period of 2.3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2021 Employee Stock Purchase Plan (the 2021 ESPP) was adopted and approved by the Company’s board of directors and by the Company’s stockholders and became effective in August 2021. No shares of common stock were issued under the 2021 ESPP during the three months ended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Net Income (Loss) Per Share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Basic and diluted net income (loss) per share attributable to common stockholders was calculated as follows: </w:t>
      </w:r>
    </w:p>
    <w:tbl>
      <w:tblPr>
        <w:tblW w:w="9199" w:type="dxa"/>
        <w:jc w:val="left"/>
        <w:tblInd w:w="0" w:type="dxa"/>
        <w:tblLayout w:type="fixed"/>
        <w:tblCellMar>
          <w:top w:w="28" w:type="dxa"/>
          <w:left w:w="28" w:type="dxa"/>
          <w:bottom w:w="28" w:type="dxa"/>
          <w:right w:w="28" w:type="dxa"/>
        </w:tblCellMar>
      </w:tblPr>
      <w:tblGrid>
        <w:gridCol w:w="5646"/>
        <w:gridCol w:w="146"/>
        <w:gridCol w:w="211"/>
        <w:gridCol w:w="1141"/>
        <w:gridCol w:w="166"/>
        <w:gridCol w:w="146"/>
        <w:gridCol w:w="211"/>
        <w:gridCol w:w="1141"/>
        <w:gridCol w:w="39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143,576,292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110,301,256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From time to time, the Company may issue pre-funded warrants which are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pre-funded warrants are included in the weighted-average number of shares of common stock used to calculate basic and diluted net loss per common share immediately upon issuance because the shares may be issued for little or no consideration, are fully vested and are exercisable after the original issuance date of the pre-funded warrants.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August 2023, the Company completed a private placement, in which pre-funded warrants to purchase 2,340,579 shares of common stock with an exercise price of $0.001 per share were issued. In June 2025, all of these pre-funded warrants were exercised.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October 2025, the Company completed a private placement, in which pre-funded warrants to purchase 3,226,458 shares of common stock with an exercise price of $0.001 per share were issued. All of these pre-funded warrants remain unexercised as of the March 31, 2026 balance sheet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Company’s potential dilutive securities, which include common stock options and unvested restricted common stock units, have been excluded from the computation of diluted net loss per share in the periods in which a net loss is recorded, as the effect would be to reduce the net loss per share. Therefore, the weighted-average number of common shares outstanding used to calculate both basic and diluted net loss per share attributable to common stockholders is the same in periods that resulted in a net loss.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 </w:t>
      </w:r>
    </w:p>
    <w:tbl>
      <w:tblPr>
        <w:tblW w:w="6644" w:type="dxa"/>
        <w:jc w:val="left"/>
        <w:tblInd w:w="0" w:type="dxa"/>
        <w:tblLayout w:type="fixed"/>
        <w:tblCellMar>
          <w:top w:w="28" w:type="dxa"/>
          <w:left w:w="28" w:type="dxa"/>
          <w:bottom w:w="28" w:type="dxa"/>
          <w:right w:w="28" w:type="dxa"/>
        </w:tblCellMar>
      </w:tblPr>
      <w:tblGrid>
        <w:gridCol w:w="3451"/>
        <w:gridCol w:w="146"/>
        <w:gridCol w:w="146"/>
        <w:gridCol w:w="1036"/>
        <w:gridCol w:w="146"/>
        <w:gridCol w:w="146"/>
        <w:gridCol w:w="146"/>
        <w:gridCol w:w="1036"/>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23,811,257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1,537,155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25,981,560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25,348,412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effective income tax rate was 0.0% and -0.1% for the three months ended March 31, 2026 and 2025, respectively. The income tax provision was less than $0.1 million for both the three months ended March 31, 2026 and 2025, respectively. The Company is forecasting a taxable loss position in 2026 for which no tax benefit is recorded due to the valuation allowance maintained against the Company’s deferred tax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 income tax rate for the three months ended March 31, 2026 and 2025 differed from the 21.0% federal statutory rate primarily due to the valuation allowance maintained against the Company’s deferred tax assets. On July 4, 2025, new U.S. tax legislation referred to as the One Big Beautiful Bill (“OBBB”) was signed into law. The OBBB contains several changes to corporate taxation, including modifications to capitalization of research and development expenses, limitations on deductions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and accelerated fixed asset depreciation. The legislation has multiple effective dates including the 2026 tax year. We do not expect the OBBB to have a material impact on our effective tax rate and net deferred tax asset balance in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in the U.S. and has one operating segment that is managed on a consolidated basis. The Company’s revenues are primarily generated through its license and collaboration agreement with Gilead. The accounting policies, as described in the summary of significant accounting policies, is applicable across all Company operations. The Company’s chief executive officer (CEO), as the chief operating decision maker (CODM), manages and allocates resources to the operations of our company on a consolidated basis. Managing and allocating resources on a total company basis enables the CODM to assess the overall level of resources available and how to best deploy these resources across departments and research and development programs that are in-line with our long-term company-wide strategic goals. Consistent with this decision-making process, the Company’s CODM uses consolidated, single-segment financial information for purposes of evaluating performance, forecasting future period financial results and allocating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segment net income (loss). This measure is used to monitor budget versus actual results to assess performance of the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Company’s segment expense for the three months ended March 31, 2026 and 2025: </w:t>
      </w:r>
    </w:p>
    <w:tbl>
      <w:tblPr>
        <w:tblW w:w="6521" w:type="dxa"/>
        <w:jc w:val="left"/>
        <w:tblInd w:w="0" w:type="dxa"/>
        <w:tblLayout w:type="fixed"/>
        <w:tblCellMar>
          <w:top w:w="28" w:type="dxa"/>
          <w:left w:w="28" w:type="dxa"/>
          <w:bottom w:w="28" w:type="dxa"/>
          <w:right w:w="28" w:type="dxa"/>
        </w:tblCellMar>
      </w:tblPr>
      <w:tblGrid>
        <w:gridCol w:w="3766"/>
        <w:gridCol w:w="146"/>
        <w:gridCol w:w="229"/>
        <w:gridCol w:w="801"/>
        <w:gridCol w:w="180"/>
        <w:gridCol w:w="158"/>
        <w:gridCol w:w="229"/>
        <w:gridCol w:w="801"/>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Oncology Segment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vopimetostat direct program expenses -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TNG456 direct program expenses -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TNG260 direct program expenses -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TNG961 direct program expenses -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TNG908 direct program expenses* -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Discovery direct program expenses -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 -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related expenses -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Company announced it stopped enrollment of the TNG908 Phase 1/2 clinical trial due to insufficient brain exposure for clinical activity in GBM patients and portfolio prioritization. Expenses beyond November 2024 relate to previously enrolled patients and close-out clinical trial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Other segment expenses included in Segment net loss includes general and administrative expense, interest income, other income and provision for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 as total consolidated assets. The CODM reviews cash, cash equivalents and marketable securities as a measure of segment assets. As of March 31, 2026, the Company’s cash, cash equivalents and marketable securities were $379.8 million. All long-lived assets of the Company reside in the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2025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2025, our actual results could differ materially from the results described in, or implied by, the forward-looking statements contained in the following discussion and analysis.</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Tango Therapeutics was founded with a clear mission: to discover the next wave of targeted therapies in oncology by addressing the specific genetic alterations that drive cancer. We leverage our state-of-the-art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currently focused on clinical development of two MTAP-deleted selective PRMT5 inhibitors: vopimetostat (TNG462) for non-CNS cancers, both as a monotherapy and in combination with RAS inhibitors, and TNG456, our next-generation, brain-penetrant PRMT5 inhibitor, for CNS cancers, including glioblastoma (GBM).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focused on evaluating vopimetostat as a monotherapy and in combination with RAS inhibitors, given the overlap in patient populations, robust preclinical data supporting potential strong combination effect in clinical trials, and favorable clinical efficacy, durability, and safety profiles observed with each applicable drug individually. In June 2025, we treated the first patient in our combination clinical trial evaluating vopimetostat with the RAS(ON) multi-selective inhibitor, daraxonrasib, and RAS(ON) G12D-selective inhibitor, zoldonrasib (Revolution Medicines). Both combinations have been generally well-tolerated to date with encouraging early efficacy data. We plan to provide a clinical data update from this study in 2026 and will provide details of our planned path to registration for vopimetostat at that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Given the differentiated profile of vopimetostat enabling the potential for efficacious and tolerable RAS inhibitor combinations, in March 2026, we entered into a clinical trial collaboration and supply agreement (CTCSA) with Erasca, Inc., or Erasca, to evaluate vopimetostat in combination with Erasca’s pan-RAS molecular glue, ERAS-0015. Under the terms of the agreement, Tango is the sponsor of the trial and Erasca is supplying ERAS-0015 at no cost. We plan to initiate this Phase 1/2 clinical trial in the second half of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Phase 1/2 clinical trial of vopimetostat monotherapy in patients with MTAP-deleted selective cancers is ongoing. Emerging data from the lung cancer cohort are consistent with expectations, and we anticipate providing a safety and efficacy update in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TNG456 is a brain-penetrant PRMT5 inhibitor. 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We anticipate providing initial clinical data from this trial in 2026.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Due to an increased focus on our PRMT5 pipeline, we are deprioritizing future development and resources allocated to TNG260. TNG260, a first-in-class CoREST inhibitor that we recently evaluated in a Phase 1/2 trial, showed limited clinical benefit in patients and we plan to shut down the clinical trial. Additionally, TNG961, a novel molecular glue development candidate targeting HBS1L for degradation in solid tumors in FOCAD-deleted/MTAP-deleted cancers, is currently in the IND-enabling phase of development and we do not have current plans to further advance development of this molecule. </w:t>
      </w:r>
    </w:p>
    <w:p>
      <w:pPr>
        <w:pStyle w:val="TextBody"/>
        <w:bidi w:val="0"/>
        <w:jc w:val="left"/>
        <w:rPr>
          <w:rFonts w:ascii="Times New Roman" w:hAnsi="Times New Roman"/>
          <w:sz w:val="20"/>
        </w:rPr>
      </w:pPr>
      <w:r>
        <w:rPr>
          <w:rFonts w:ascii="Times New Roman" w:hAnsi="Times New Roman"/>
          <w:b/>
          <w:color w:val="000000"/>
          <w:sz w:val="20"/>
        </w:rPr>
        <w:t>Financial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received from our collaboration agreement with Gilead. Through March 31, 2026, we have raised an aggregate of $1.2 billion from such transactions, including $921.4 million in aggregate gross proceeds from the sale of preferred shares, the closing of our Business Combination, follow-on public and private offerings, and through our "at-the-market" stock offering programs, and $237.1 million through our collaboration with Gilead.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existing cash, cash equivalents and marketable securities on hand as of March 31, 2026 of $379.8 million, will enable us to fund our operating expenses and capital expenditure requirements into 2028. Since inception, we have incurred significant operating losses. For the three months ended March 31, 2026 and 2025, our net losses were $45.5 million and $39.9 million, respectively. We had an accumulated deficit of $648.7 million as of March 31, 2026.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 </w:t>
      </w:r>
    </w:p>
    <w:p>
      <w:pPr>
        <w:pStyle w:val="TextBody"/>
        <w:bidi w:val="0"/>
        <w:spacing w:before="0" w:after="240"/>
        <w:jc w:val="left"/>
        <w:rPr>
          <w:rFonts w:ascii="Times New Roman" w:hAnsi="Times New Roman"/>
          <w:sz w:val="20"/>
        </w:rPr>
      </w:pPr>
      <w:r>
        <w:rPr>
          <w:rFonts w:ascii="Times New Roman" w:hAnsi="Times New Roman"/>
          <w:b/>
          <w:i/>
          <w:color w:val="000000"/>
          <w:sz w:val="20"/>
        </w:rPr>
        <w:t>At-the-Market Stock Offering</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November 2025, we entered into a sales agreement (the Leerink Sales Agreement) with Leerink Partners LLC (Leerink), which permitted us to sell from time to time, at our option, up to an aggregate of $100.0 million of shares of its common stock through Leerink, as sales agent. Sales of the common stock are made by methods deemed to be "at-the-market" stock offerings. The Leerink Sales Agreement will terminate upon the earliest of: (a) the sale of $100.0 million of shares of the Company's common stock or (b) the termination of the Leerink Sales Agreement by the Company or Leerink. During the three months ended March 31, 2026, we sold 5,148,151 shares of common stock under this stock offering program for gross proceeds of $64.4 million.</w:t>
      </w:r>
    </w:p>
    <w:p>
      <w:pPr>
        <w:pStyle w:val="TextBody"/>
        <w:bidi w:val="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 </w:t>
      </w:r>
    </w:p>
    <w:p>
      <w:pPr>
        <w:pStyle w:val="TextBody"/>
        <w:bidi w:val="0"/>
        <w:spacing w:before="240" w:after="283"/>
        <w:jc w:val="left"/>
        <w:rPr>
          <w:rFonts w:ascii="Times New Roman" w:hAnsi="Times New Roman"/>
          <w:sz w:val="20"/>
        </w:rPr>
      </w:pPr>
      <w:r>
        <w:rPr>
          <w:rFonts w:ascii="Times New Roman" w:hAnsi="Times New Roman"/>
          <w:i/>
          <w:color w:val="000000"/>
          <w:sz w:val="20"/>
        </w:rPr>
        <w:t>Collaboration Agreements with Gilead Sciences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2018, we entered into a collaboration agreement (the 2018 Gilead Agreement) with Gilead Sciences, Inc. (Gilead), under which we received an initial upfront payment of $50.0 million. In August 2020, the 2018 Gilead Agreement was expanded into a broader collaboration via an amended and restated research collaboration and license agreement (the Gilead Agreement), under which we received an upfront payment of $125.0 million. Upfront payments totaling $175.0 million and subsequent research extension fees totaling $24.0 million were recorded as deferred revenue on our balance sheet and recognized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revenue as or when the performance obligation under the contract was satisfied. In June 2024, Gilead licensed a program for a $12.0 million fee, which was recognized as license revenue in the second quarter of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2025, the Company and Gilead mutually agreed to truncate the research term of the Gilead Agreement from seven to five years, concluding the research portion of the collaboration. There was no financial penalty to the Company as a result, no licensed programs were returned to the Company, all ongoing work at Gilead on licensed programs will continue and agreements for all future milestones and royalties remain in effect. The Company has no future research obligations and the remaining unrecognized deferred revenue balance at the time of truncating the collaboration agreement of $53.8 million was recognized as revenue in the third quarter of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2025, we recognized $0 and $5.4 million, respectively, of collaboration revenue associated with the Gilead agreements based on performance completed during each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Refer to Note 2 and Note 3 to our unaudited condensed consolidated financial statements and related notes appearing elsewhere in this Quarterly Report on Form 10-Q and our audited consolidated financial statements and related notes for the year ended December 31, 2025 included in our Annual Report on Form 10-K for additional information regarding our revenue recognition accounting policy and our collaboration agreement with Gilead.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drug discovery efforts and the development of our product candidates. We expense research and development costs as incurred,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other related costs for those employees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agreements with contract research organizations, or CROs, vendors and consultants that conduct our preclinical and clinical studies, as well as other development activities related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material for our preclinical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supplies and research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fulfill our obligations under the collaboration with Gilead through August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information technology systems, depreciation and other allocated expenses, which include direct and allocated expenses for rent, utilities and insurance.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direct external research and development expenses consist primarily of fees paid to CROs, as well as outside vendors and consultants in connection with our preclinical and clinical development and manufacturing activities. We track these external research and development costs on a program-by-program basis once we have identified a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allocate employee costs or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w:t>
      </w:r>
    </w:p>
    <w:tbl>
      <w:tblPr>
        <w:tblW w:w="6846" w:type="dxa"/>
        <w:jc w:val="left"/>
        <w:tblInd w:w="0" w:type="dxa"/>
        <w:tblLayout w:type="fixed"/>
        <w:tblCellMar>
          <w:top w:w="28" w:type="dxa"/>
          <w:left w:w="28" w:type="dxa"/>
          <w:bottom w:w="28" w:type="dxa"/>
          <w:right w:w="28" w:type="dxa"/>
        </w:tblCellMar>
      </w:tblPr>
      <w:tblGrid>
        <w:gridCol w:w="4111"/>
        <w:gridCol w:w="146"/>
        <w:gridCol w:w="245"/>
        <w:gridCol w:w="785"/>
        <w:gridCol w:w="169"/>
        <w:gridCol w:w="169"/>
        <w:gridCol w:w="245"/>
        <w:gridCol w:w="785"/>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vopimetostat direct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TNG456 direct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TNG260 direct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TNG961 direct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TNG908 direct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Discovery direct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Facilities and other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we announced we stopped enrollment in the TNG908 Phase 1/2 trial due to insufficient brain exposure for GBM clinical activity and portfolio prioritization. Expenses beyond November 2024 related to previously enrolled patients and close-out clinical trial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current and planned clinical trials. We anticipate that our expenses will increase substantially, particularly due to the numerous risks and uncertainties associated with developing product candidates, including the uncertainty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rate of progress, and expenses of our ongoing research activities as well as any preclinical studies, clinical trials and other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 appropriate safety profile with IND-enabling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and completion of our clinical trials, including our combination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product candidates show safety and efficacy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receipt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commercial manufacturing capabilities or making arrangements with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commercializing product candidates, if and when approved,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acceptable safety profile of products following any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consists of income earned and losses incurred in connection with our investments in money market funds, U.S. Treasury bills and U.S. government agency bonds.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net consists of miscellaneous income and expense unrelated to our core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months ended March 31, 2026 and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March 31, 2026 and 2025: </w:t>
      </w:r>
    </w:p>
    <w:tbl>
      <w:tblPr>
        <w:tblW w:w="6620" w:type="dxa"/>
        <w:jc w:val="left"/>
        <w:tblInd w:w="0" w:type="dxa"/>
        <w:tblLayout w:type="fixed"/>
        <w:tblCellMar>
          <w:top w:w="28" w:type="dxa"/>
          <w:left w:w="28" w:type="dxa"/>
          <w:bottom w:w="28" w:type="dxa"/>
          <w:right w:w="28" w:type="dxa"/>
        </w:tblCellMar>
      </w:tblPr>
      <w:tblGrid>
        <w:gridCol w:w="2511"/>
        <w:gridCol w:w="146"/>
        <w:gridCol w:w="229"/>
        <w:gridCol w:w="801"/>
        <w:gridCol w:w="180"/>
        <w:gridCol w:w="158"/>
        <w:gridCol w:w="229"/>
        <w:gridCol w:w="801"/>
        <w:gridCol w:w="166"/>
        <w:gridCol w:w="146"/>
        <w:gridCol w:w="211"/>
        <w:gridCol w:w="63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 revenue of $0 and $5.4 million for the three months ended March 31, 2026 and 2025, respectively, was derived from the Gilead Agreement. All remaining deferred revenue from the upfront and research option-extension payments under the Gilead Agreement was recognized as collaboration revenue during the year ended December 31, 2025 as a result of the truncation of the collaboration agreement which concluded all research activities.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 was $33.5 million for the three months ended March 31, 2026 compared to $36.4 million for the three months ended March 31, 2025. The decrease of $2.9 million was primarily driven by a $1.1 million decrease due to the discontinuation of the TNG908 clinical program, $1.8 million decrease in development costs for TNG961 and lower discovery program expenses. The decrease is also due to lower personnel-related and facilities-related costs. These decreases were partially offset by increased spend related to the advancement of the vopimetostat and TNG456 clinical programs.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 was $15.2 million for the three months ended March 31, 2026 compared to $11.5 million for the three months ended March 31, 2025. The increase of $3.8 million was primarily due to an increase in personnel-related costs, including share-based compensation expense.</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was $2.2 million for the three months ended March 31, 2026 compared to $1.6 million for the three months ended March 31, 2025, with the increase primarily attributable to a higher marketable securities balance during the first quarter of 2026 as compared to the same period in the prior year. </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was $1.1 million for each of the three months ended March 31, 2026 and 2025. In both periods, other income, net, is primarily derived from accretion from investments purchased at a discount.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 for income taxes was less than $0.1 million for each of the three months ended March 31, 2026 and 2025. The tax provisions are insignificant in each of the three months ended March 31, 2026 and 2025.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we have generated recurring net losses. We have not yet commercialized any products and we do not expect to generate revenue from sales of any products for several years, if at all. To date, we have funded our operations primarily through equity financings and from the proceeds received from the Gilead Agreement. Through March 31, 2026, we have raised an aggregate of $1.2 billion from such transactions, including $921.4 million in aggregate gross proceeds from the sale of pre-public entity preferred shares, the closing of our Business Combination, follow-on public and private offerings, and through our "at-the-market" stock offering programs, and $237.1 million through our former collaboration with Gilead. As of March 31, 2026, we had cash and cash equivalents and marketable securities of $379.8 million.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November 2025, we entered into a sales agreement (the Leerink Sales Agreement) with Leerink Partners LLC (Leerink), which permitted us to sell from time to time, at its option, up to an aggregate of $100.0 million of shares of its common stock through Leerink, as sales agent. Sales of the common stock are made by methods deemed to be "at-the-market" stock offerings. The Leerink Sales Agreement will terminate upon the earliest of: (a) the sale of $100.0 million of shares of the Company's common stock or (b) the termination of the Leerink Sales Agreement by the Company or Leerink. During the three months ended March 31, 2026 we sold 5,148,151 shares of common stock under this stock offering program for gross proceeds of $64.4 million. </w:t>
      </w:r>
    </w:p>
    <w:p>
      <w:pPr>
        <w:pStyle w:val="TextBody"/>
        <w:bidi w:val="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existing cash, cash equivalents and marketable securities on hand as of March 31, 2026 of $379.8 million will enable us to fund our operating expenses and capital expenditure requirements into 2028. We have based this estimate on assumptions that may prove to be wrong, and we could expend our capital resources sooner than we expect. </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cash flows for each of the three month periods presented: </w:t>
      </w:r>
    </w:p>
    <w:tbl>
      <w:tblPr>
        <w:tblW w:w="8650" w:type="dxa"/>
        <w:jc w:val="left"/>
        <w:tblInd w:w="0" w:type="dxa"/>
        <w:tblLayout w:type="fixed"/>
        <w:tblCellMar>
          <w:top w:w="28" w:type="dxa"/>
          <w:left w:w="28" w:type="dxa"/>
          <w:bottom w:w="28" w:type="dxa"/>
          <w:right w:w="28" w:type="dxa"/>
        </w:tblCellMar>
      </w:tblPr>
      <w:tblGrid>
        <w:gridCol w:w="4636"/>
        <w:gridCol w:w="146"/>
        <w:gridCol w:w="229"/>
        <w:gridCol w:w="801"/>
        <w:gridCol w:w="180"/>
        <w:gridCol w:w="158"/>
        <w:gridCol w:w="229"/>
        <w:gridCol w:w="801"/>
        <w:gridCol w:w="166"/>
        <w:gridCol w:w="146"/>
        <w:gridCol w:w="211"/>
        <w:gridCol w:w="73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45,121</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$44.4 million for the three months ended March 31, 2026 compared to net cash used in operating activities of $41.7 million for the three months ended March 31, 2025. The increase in net cash used in operating activities for the three months ended March 31, 2026 was primarily due to an increase in the net loss as a result of higher operating expenses related to the advancement of our programs and personnel-related costs. The increase was partially offset by higher non-cash expenses and a decrease in operating assets and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$9.6 million for the three months ended March 31, 2026 compared to net cash provided by investing activities of $30.6 million for the three months ended March 31, 2025. The change was primarily due to a decrease in sales and maturities of marketable securities and an increase in purchases of marketable securities as compared to the three months ended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$79.8 million for the three months ended March 31, 2026 compared to net cash provided by financing activities of less than $0.1 million for the three months ended March 31, 2025. The cash provided by financing activities for the three months ended March 31, 2026 primarily consisted of $62.8 million in net proceeds received from our "at-the-market" stock offering program during the period, as well as the cash provided from the exercises of stock options of $17.6 million. The cash provided by financing activities for the three months ended March 31, 2025 consisted of the cash provided from the exercises of stock options.</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contractual obligations at March 31, 2026 and the effects that such obligations are expected to have on our liquidity and cash flows in future periods: </w:t>
      </w:r>
    </w:p>
    <w:tbl>
      <w:tblPr>
        <w:tblW w:w="8442"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571"/>
        <w:gridCol w:w="146"/>
        <w:gridCol w:w="146"/>
        <w:gridCol w:w="221"/>
        <w:gridCol w:w="709"/>
        <w:gridCol w:w="146"/>
        <w:gridCol w:w="146"/>
        <w:gridCol w:w="221"/>
        <w:gridCol w:w="709"/>
        <w:gridCol w:w="146"/>
        <w:gridCol w:w="146"/>
        <w:gridCol w:w="211"/>
        <w:gridCol w:w="67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4"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March 31, 2026. Refer to Note 7 to our audited consolidated financial statements and related notes included in our Annual Report on Form 10-K for the year ended December 31, 2025 for additional discussion of the lease. </w:t>
      </w:r>
    </w:p>
    <w:p>
      <w:pPr>
        <w:pStyle w:val="TextBody"/>
        <w:bidi w:val="0"/>
        <w:spacing w:before="240" w:after="283"/>
        <w:jc w:val="left"/>
        <w:rPr>
          <w:rFonts w:ascii="Times New Roman" w:hAnsi="Times New Roman"/>
          <w:sz w:val="20"/>
        </w:rPr>
      </w:pPr>
      <w:r>
        <w:rPr>
          <w:rFonts w:ascii="Times New Roman" w:hAnsi="Times New Roman"/>
          <w:i/>
          <w:color w:val="000000"/>
          <w:sz w:val="20"/>
        </w:rPr>
        <w:t>Purchase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with limited notice, and therefore are cancellable contracts. These payments are not included in the table above as the amount and timing of such payments are not known as of March 31, 2026. </w:t>
      </w:r>
    </w:p>
    <w:p>
      <w:pPr>
        <w:pStyle w:val="TextBody"/>
        <w:bidi w:val="0"/>
        <w:spacing w:before="240" w:after="283"/>
        <w:jc w:val="left"/>
        <w:rPr>
          <w:rFonts w:ascii="Times New Roman" w:hAnsi="Times New Roman"/>
          <w:sz w:val="20"/>
        </w:rPr>
      </w:pPr>
      <w:r>
        <w:rPr>
          <w:rFonts w:ascii="Times New Roman" w:hAnsi="Times New Roman"/>
          <w:i/>
          <w:color w:val="000000"/>
          <w:sz w:val="20"/>
        </w:rPr>
        <w:t>License Agreement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March 31, 2026 and December 31, 2025, we were unable to estimate the timing or likelihood of achieving these milestones or generating future product sales. Refer to Note 8 of our audited consolidated financial statements and related notes included in our Annual Report on Form 10-K for the year ended December 31, 2025 for a description of our license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our significant accounting policies are described in more detail in Note 2 to our audited consolidated financial statements and related notes included in our Annual Report on Form 10-K for the year ended December 31, 2025, we believe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accounting policies are those most critical to the judgments and estimates used in the preparation of our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terms of our collaboration agreements may include consideration such as non-refundable up-front payments, license fees, research extension fees, and clinical, regulatory and sales-based milestones and royalties on product sales.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recognize revenue under ASC Topic 606, </w:t>
      </w:r>
      <w:r>
        <w:rPr>
          <w:rFonts w:ascii="Times New Roman" w:hAnsi="Times New Roman"/>
          <w:i/>
          <w:color w:val="000000"/>
          <w:sz w:val="20"/>
        </w:rPr>
        <w:t>Revenue from Contracts with Customers</w:t>
      </w:r>
      <w:r>
        <w:rPr>
          <w:rFonts w:ascii="Times New Roman" w:hAnsi="Times New Roman"/>
          <w:color w:val="000000"/>
          <w:sz w:val="20"/>
        </w:rPr>
        <w:t xml:space="preserve">,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determine that multiple promises to a customer are not distinct and comprise a combined performance obligation that includes services, we recognize revenue over time using the cost-to-cost input method, based on the total estimated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to fulfill the obligation. Significant management judgment is required in determining the level of effort required under an arrangement and the period over which we are expected to complete our performance obligations under an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 </w:t>
      </w:r>
    </w:p>
    <w:p>
      <w:pPr>
        <w:pStyle w:val="TextBody"/>
        <w:bidi w:val="0"/>
        <w:spacing w:before="240" w:after="283"/>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changes to our market risks from those described in Part II, Item 7A, "Quantitative and Qualitative Disclosures About Market Risk," in our Annual Report on Form 10-K for the year ended December 31, 2025.</w:t>
      </w:r>
    </w:p>
    <w:p>
      <w:pPr>
        <w:pStyle w:val="TextBody"/>
        <w:bidi w:val="0"/>
        <w:spacing w:before="24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changes in the Company’s internal control over financial reporting identified in connection with the evaluation required by paragraph (d) of Rules 13a-15 and 15d-15(d) under the Exchange Act that occurred during the quarter ended March 31, 2026 that materially affected, or were reasonably likely to materially affect, the Company’s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not currently a party to any litigation or legal proceedings that, in the opinion of our management, are probable to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2025,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Other than as set forth below, there have been no material changes to the risk factors set forth in our Annual Report on Form 10-K for the year ended December 31, 2025 as filed with the SEC on March 5,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sz w:val="20"/>
        </w:rPr>
      </w:pPr>
      <w:r>
        <w:rPr>
          <w:rFonts w:ascii="Times New Roman" w:hAnsi="Times New Roman"/>
          <w:i/>
          <w:color w:val="000000"/>
          <w:sz w:val="20"/>
        </w:rPr>
        <w:t>(c) Insider Adoption or Termination of Trading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fiscal quarter ended March 31, 2026, none of our directors or officers informed us of the adoption, modification or termination of a “Rule 10b5-1 trading arrangement” or “non-Rule 10b5-1 trading arrangement,” as those terms are defined in Regulation S-K, Item 408.</w:t>
      </w:r>
    </w:p>
    <w:p>
      <w:pPr>
        <w:pStyle w:val="TextBody"/>
        <w:bidi w:val="0"/>
        <w:spacing w:before="240" w:after="24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12"/>
        <w:gridCol w:w="146"/>
        <w:gridCol w:w="9247"/>
      </w:tblGrid>
      <w:tr>
        <w:trPr/>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7" w:type="dxa"/>
            <w:tcBorders/>
            <w:vAlign w:val="center"/>
          </w:tcPr>
          <w:p>
            <w:pPr>
              <w:pStyle w:val="TableContents"/>
              <w:bidi w:val="0"/>
              <w:spacing w:before="0" w:after="283"/>
              <w:jc w:val="left"/>
              <w:rPr>
                <w:sz w:val="4"/>
                <w:szCs w:val="4"/>
              </w:rPr>
            </w:pPr>
            <w:r>
              <w:rPr>
                <w:sz w:val="4"/>
                <w:szCs w:val="4"/>
              </w:rPr>
            </w:r>
          </w:p>
        </w:tc>
      </w:tr>
      <w:tr>
        <w:trPr/>
        <w:tc>
          <w:tcPr>
            <w:tcW w:w="81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Amended and Restated Certificate of Incorporation of Tango Therapeutics, Inc., as amended (incorporated by reference to Exhibit 3.1 to the Registrant's Current Report on Form 10-Q filed with the SEC on August 7, 2024).</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Tango Therapeutics, Inc. (incorporated by reference to Exhibit 4.2 to the Registrant’s registration statement on Form S-8 filed with the SEC on October 14, 2021).</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80"/>
                  <w:sz w:val="20"/>
                  <w:u w:val="single"/>
                </w:rPr>
                <w:t>Certificate of Amendment to the Second Amended and Restated Certificate of Incorporation of the Registrant (incorporated by reference to Exhibit 3.1 to the Registrant's Current Report on Form 8-K filed with the SEC on June 6, 2025)</w:t>
              </w:r>
            </w:hyperlink>
            <w:r>
              <w:rPr>
                <w:rFonts w:ascii="Times New Roman" w:hAnsi="Times New Roman"/>
                <w:color w:val="0000FF"/>
                <w:sz w:val="20"/>
                <w:u w:val="single"/>
              </w:rPr>
              <w:t>.</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10_1.htm">
              <w:r>
                <w:rPr>
                  <w:rStyle w:val="InternetLink"/>
                  <w:rFonts w:ascii="Times New Roman" w:hAnsi="Times New Roman"/>
                  <w:color w:val="0000FF"/>
                  <w:sz w:val="20"/>
                  <w:u w:val="single"/>
                </w:rPr>
                <w:t>Amended and Restated Non-Employee Director Compensation Policy.</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Employment Agreement, dated as of January 8, 2026 by and between the Company and Barbara Weber (incorporated by reference to Exhibit 10.1 to the Current Report on Form 8-K filed by the Registrant on January 8, 2026).</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Employment Agreement, dated as of January 8, 2026 by and between the Company and Malte Peters (incorporated by reference to Exhibit 10.3 to the Current Report on Form 8-K filed by the Registrant on January 8, 2026).</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Employment Agreement, dated as of April 15, 2026 by and between the Company and Matthew Gall (incorporated by reference to Exhibit 10.1 to the Current Report on Form 8-K filed by the Registrant on April 15, 2026).</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as Inline XBRL with applicable taxonomy extension information contained in Exhibits 101)</w:t>
            </w:r>
          </w:p>
        </w:tc>
      </w:tr>
    </w:tbl>
    <w:p>
      <w:pPr>
        <w:pStyle w:val="TextBody"/>
        <w:pBdr>
          <w:bottom w:val="single" w:sz="4" w:space="1" w:color="000000"/>
        </w:pBdr>
        <w:bidi w:val="0"/>
        <w:jc w:val="left"/>
        <w:rPr/>
      </w:pPr>
      <w:r>
        <w:rPr/>
        <w:t> </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xml:space="preserve">** 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reference. </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b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Malte Peters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Malte Peters, MD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3092" w:type="dxa"/>
        <w:jc w:val="left"/>
        <w:tblInd w:w="0" w:type="dxa"/>
        <w:tblLayout w:type="fixed"/>
        <w:tblCellMar>
          <w:top w:w="28" w:type="dxa"/>
          <w:left w:w="28" w:type="dxa"/>
          <w:bottom w:w="28" w:type="dxa"/>
          <w:right w:w="28" w:type="dxa"/>
        </w:tblCellMar>
      </w:tblPr>
      <w:tblGrid>
        <w:gridCol w:w="161"/>
        <w:gridCol w:w="109"/>
        <w:gridCol w:w="406"/>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Therapeutics,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Gall</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Matthew Gall</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160"/>
        <w:jc w:val="center"/>
        <w:rPr/>
      </w:pPr>
      <w:bookmarkStart w:id="21" w:name="tngx-ex10_1.htm"/>
      <w:bookmarkStart w:id="22" w:name="kstngxex10_1"/>
      <w:bookmarkEnd w:id="21"/>
      <w:bookmarkEnd w:id="22"/>
      <w:r>
        <w:rPr/>
        <w:t> </w:t>
      </w:r>
      <w:r>
        <w:br w:type="page"/>
      </w:r>
    </w:p>
    <w:p>
      <w:pPr>
        <w:pStyle w:val="TextBody"/>
        <w:bidi w:val="0"/>
        <w:spacing w:before="0" w:after="160"/>
        <w:jc w:val="center"/>
        <w:rPr>
          <w:rFonts w:ascii="Times New Roman" w:hAnsi="Times New Roman"/>
          <w:b/>
          <w:caps/>
          <w:color w:val="000000"/>
          <w:sz w:val="22"/>
        </w:rPr>
      </w:pPr>
      <w:r>
        <w:rPr>
          <w:rFonts w:ascii="Times New Roman" w:hAnsi="Times New Roman"/>
          <w:b/>
          <w:caps/>
          <w:color w:val="000000"/>
          <w:sz w:val="22"/>
        </w:rPr>
        <w:t>Tango Therapeutics, Inc.</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AMENDED AND RESTATED</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br/>
        <w:t>NON-EMPLOYEE DIRECTOR COMPENSATION POLICY</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purpose of this Non-Employee Director Compensation Policy (the “Policy”) of Tango Therapeutics, Inc. (the “Company”) is to provide a total compensation package that enables the Company to attract and retain, on a long-term basis, high-caliber directors who are not employees or officers of the Company or its subsidiaries (“Outside Directors”). In furtherance of the purpose stated above, all Outside Directors shall be paid compensation for services provided to the Company as set forth below:</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Cash Retainers</w:t>
      </w:r>
    </w:p>
    <w:p>
      <w:pPr>
        <w:pStyle w:val="TextBody"/>
        <w:bidi w:val="0"/>
        <w:spacing w:before="0" w:after="160"/>
        <w:jc w:val="left"/>
        <w:rPr>
          <w:rFonts w:ascii="Times New Roman" w:hAnsi="Times New Roman"/>
          <w:sz w:val="20"/>
        </w:rPr>
      </w:pPr>
      <w:r>
        <w:rPr>
          <w:rFonts w:ascii="Times New Roman" w:hAnsi="Times New Roman"/>
          <w:color w:val="000000"/>
          <w:sz w:val="22"/>
          <w:u w:val="single"/>
        </w:rPr>
        <w:t>Annual Retainer for Board Membership</w:t>
      </w:r>
      <w:r>
        <w:rPr>
          <w:rFonts w:ascii="Times New Roman" w:hAnsi="Times New Roman"/>
          <w:color w:val="000000"/>
          <w:sz w:val="22"/>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pStyle w:val="TextBody"/>
        <w:bidi w:val="0"/>
        <w:spacing w:before="0" w:after="160"/>
        <w:jc w:val="left"/>
        <w:rPr>
          <w:rFonts w:ascii="Times New Roman" w:hAnsi="Times New Roman"/>
          <w:sz w:val="20"/>
        </w:rPr>
      </w:pPr>
      <w:r>
        <w:rPr>
          <w:rFonts w:ascii="Times New Roman" w:hAnsi="Times New Roman"/>
          <w:color w:val="000000"/>
          <w:sz w:val="22"/>
          <w:u w:val="single"/>
        </w:rPr>
        <w:t>Additional Annual Retainer for Non-Executive Chair</w:t>
      </w:r>
      <w:r>
        <w:rPr>
          <w:rFonts w:ascii="Times New Roman" w:hAnsi="Times New Roman"/>
          <w:color w:val="000000"/>
          <w:sz w:val="22"/>
        </w:rPr>
        <w:t>: $30,000</w:t>
      </w:r>
    </w:p>
    <w:p>
      <w:pPr>
        <w:pStyle w:val="TextBody"/>
        <w:bidi w:val="0"/>
        <w:spacing w:before="0" w:after="160"/>
        <w:jc w:val="left"/>
        <w:rPr>
          <w:rFonts w:ascii="Times New Roman" w:hAnsi="Times New Roman"/>
          <w:sz w:val="20"/>
        </w:rPr>
      </w:pPr>
      <w:r>
        <w:rPr>
          <w:rFonts w:ascii="Times New Roman" w:hAnsi="Times New Roman"/>
          <w:color w:val="000000"/>
          <w:sz w:val="22"/>
          <w:u w:val="single"/>
        </w:rPr>
        <w:t>Additional Annual Retainer for Lead Independent Director</w:t>
      </w:r>
      <w:r>
        <w:rPr>
          <w:rFonts w:ascii="Times New Roman" w:hAnsi="Times New Roman"/>
          <w:color w:val="000000"/>
          <w:sz w:val="22"/>
        </w:rPr>
        <w:t>: $30,000</w:t>
      </w:r>
    </w:p>
    <w:p>
      <w:pPr>
        <w:pStyle w:val="TextBody"/>
        <w:bidi w:val="0"/>
        <w:spacing w:before="0" w:after="160"/>
        <w:jc w:val="left"/>
        <w:rPr>
          <w:rFonts w:ascii="Times New Roman" w:hAnsi="Times New Roman"/>
          <w:sz w:val="20"/>
        </w:rPr>
      </w:pPr>
      <w:r>
        <w:rPr>
          <w:rFonts w:ascii="Times New Roman" w:hAnsi="Times New Roman"/>
          <w:color w:val="000000"/>
          <w:sz w:val="22"/>
          <w:u w:val="single"/>
        </w:rPr>
        <w:t>Additional Annual Retainers for Committee Membership</w:t>
      </w:r>
      <w:r>
        <w:rPr>
          <w:rFonts w:ascii="Times New Roman" w:hAnsi="Times New Roman"/>
          <w:color w:val="000000"/>
          <w:sz w:val="22"/>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Audit Committee Chair: $20,000</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Audit Committee member: $10,000</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Compensation Committee Chair: $15,000</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Compensation Committee member: $7,500</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Nominating and Corporate Governance Committee Chair: $10,000</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Nominating and Corporate Governance Committee member: $5,000</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Chair and committee member retainers are in addition to retainers for members of the Board of Directors. No additional compensation will be paid for attending individual committee meetings of the Board of Directors.</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Equity Retainers</w:t>
      </w:r>
    </w:p>
    <w:p>
      <w:pPr>
        <w:pStyle w:val="TextBody"/>
        <w:bidi w:val="0"/>
        <w:spacing w:before="0" w:after="160"/>
        <w:jc w:val="left"/>
        <w:rPr>
          <w:rFonts w:ascii="Times New Roman" w:hAnsi="Times New Roman"/>
          <w:sz w:val="20"/>
        </w:rPr>
      </w:pPr>
      <w:r>
        <w:rPr>
          <w:rFonts w:ascii="Times New Roman" w:hAnsi="Times New Roman"/>
          <w:color w:val="000000"/>
          <w:sz w:val="22"/>
          <w:u w:val="single"/>
        </w:rPr>
        <w:t>Initial Award</w:t>
      </w:r>
      <w:r>
        <w:rPr>
          <w:rFonts w:ascii="Times New Roman" w:hAnsi="Times New Roman"/>
          <w:color w:val="000000"/>
          <w:sz w:val="22"/>
        </w:rPr>
        <w:t>: An initial, one-time equity award consisting of a stock option (the “Initial Option Award”) to purchase 75,000 shares and a restricted stock unit award (the “Initial RSU Award”) to acquire 12,500 restricted stock unit awards. The Initial Option Award and the Initial RSU Award will be granted to each new Outside Director upon his or her election to the Board of Directors. The Initial Option Award shall vest in 36 substantially equal monthly installments over three years from the date of grant, provided, however, that all vesting shall cease if the director ceases to serve on the Board of Directors, unless the Board of Directors determines that the circumstances warrant continuation of vesting. The Initial Option Award shall expire not later than ten years from the date of grant, and shall have a per share exercise price equal to the Fair Market Value (as defined in the Company’s 2021 Stock Option and Incentive Plan) of the Company’s common stock on the date of grant. The Initial RSU Award shall vest in three equal annual installments over three years from the date of grant (the specific vesting dates to be established by the Compensation Committee); provided, however, that all vesting shall cease if the director ceases to serve on the Board of Directors prior to any applicable vesting of the Initial RSU Award, unless the Board of Directors determines that the circumstances warrant continuation of vesting.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Times New Roman" w:hAnsi="Times New Roman"/>
          <w:color w:val="000000"/>
          <w:sz w:val="22"/>
          <w:u w:val="single"/>
        </w:rPr>
        <w:t>Annual Award</w:t>
      </w:r>
      <w:r>
        <w:rPr>
          <w:rFonts w:ascii="Times New Roman" w:hAnsi="Times New Roman"/>
          <w:color w:val="000000"/>
          <w:sz w:val="22"/>
        </w:rPr>
        <w:t>: On each date of each Annual Meeting of Stockholders of the Company (the “Annual Meeting”), each continuing Outside Director, other than a director receiving an Initial Award, will receive: (i) an annual stock option award (the “Annual Option Award”) to purchase 37,500 shares and (ii) an annual restricted stock unit award (the “Annual RSU Award”) to acquire 6,250 shares; provided, however, that Annual Option Awards and Annual RSU Awards made to Outside Directors who were elected in the 12 months preceding the date of grant of such Annual Awards will be pro-rated on a monthly basis for time in service. The Annual Option Award shall vest in 12 substantially equal monthly installments over one year from the date of grant provided, however, that all vesting shall cease if the director ceases to serve on the Board of Directors, unless the Board of Directors determines that the circumstances warrant continuation of vesting. Such Annual Award shall expire no later than ten years from the date of grant, and shall have a per share exercise price equal to the Fair Market Value of the Company’s common stock on the date of grant. The Annual RSU Award shall vest in its entirety approximately on the first anniversary of the date of grant (the specific vesting date to be established by the Compensation Committee); provided, however, that all vesting shall cease if the director ceases to serve on the Board of Directors prior to the vesting of the Annual RSU Award, unless the Board of Directors determines that the circumstances warrant continuation of vesting.</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u w:val="single"/>
        </w:rPr>
        <w:t>Sale Event Acceleration</w:t>
      </w:r>
      <w:r>
        <w:rPr>
          <w:rFonts w:ascii="Times New Roman" w:hAnsi="Times New Roman"/>
          <w:color w:val="000000"/>
          <w:sz w:val="22"/>
        </w:rPr>
        <w:t>: All outstanding Initial Awards and Annual Awards held by an Outside Director shall become fully vested and exercisable upon a Sale Event (as defined in the Company’s 2021 Stock Option and Incentive Plan).</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Expenses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Company will reimburse all reasonable out-of-pocket expenses incurred by non-employee directors in attending meetings of the Board of Directors or any committee thereof.</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Maximum Annual Compensation</w:t>
      </w:r>
    </w:p>
    <w:p>
      <w:pPr>
        <w:pStyle w:val="TextBody"/>
        <w:bidi w:val="0"/>
        <w:spacing w:before="0" w:after="160"/>
        <w:jc w:val="left"/>
        <w:rPr>
          <w:rFonts w:ascii="Times New Roman" w:hAnsi="Times New Roman"/>
          <w:sz w:val="20"/>
        </w:rPr>
      </w:pPr>
      <w:r>
        <w:rPr>
          <w:rFonts w:ascii="Times New Roman" w:hAnsi="Times New Roman"/>
          <w:color w:val="000000"/>
          <w:sz w:val="22"/>
        </w:rPr>
        <w:t>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Adopted June 9, 2021.</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Amended: May 22, 2023, May 13, 2025, January 8, 2026</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tngx-ex31_1.htm"/>
      <w:bookmarkStart w:id="24" w:name="kstngxex31_1"/>
      <w:bookmarkEnd w:id="23"/>
      <w:bookmarkEnd w:id="24"/>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31.1</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PRINCIPAL EXECUTIVE OFFICER PURSUANT TO RULE 13a-14(a) / RULE 15d-14(a) OF THE SECURITIES EXCHANGE ACT OF 1934, AS AMENDED</w:t>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I, Malte Peters, M.D., certify that: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I have reviewed this Quarterly Report on Form 10-Q of Tango Therapeutics, Inc.;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Dated: May 13, 2026 </w:t>
      </w:r>
      <w:r>
        <w:rPr>
          <w:rFonts w:ascii="Times New Roman" w:hAnsi="Times New Roman"/>
          <w:color w:val="000000"/>
          <w:sz w:val="22"/>
          <w:u w:val="single"/>
        </w:rPr>
        <w:t>/s/ Malte Peters, M.D.</w:t>
      </w:r>
    </w:p>
    <w:p>
      <w:pPr>
        <w:pStyle w:val="TextBody"/>
        <w:bidi w:val="0"/>
        <w:jc w:val="left"/>
        <w:rPr>
          <w:rFonts w:ascii="Times New Roman" w:hAnsi="Times New Roman"/>
          <w:color w:val="000000"/>
          <w:sz w:val="22"/>
        </w:rPr>
      </w:pPr>
      <w:r>
        <w:rPr>
          <w:rFonts w:ascii="Times New Roman" w:hAnsi="Times New Roman"/>
          <w:color w:val="000000"/>
          <w:sz w:val="22"/>
        </w:rPr>
        <w:t>Malte Peters, M.D.</w:t>
      </w:r>
    </w:p>
    <w:p>
      <w:pPr>
        <w:pStyle w:val="TextBody"/>
        <w:bidi w:val="0"/>
        <w:jc w:val="left"/>
        <w:rPr>
          <w:rFonts w:ascii="Times New Roman" w:hAnsi="Times New Roman"/>
          <w:color w:val="000000"/>
          <w:sz w:val="22"/>
        </w:rPr>
      </w:pPr>
      <w:r>
        <w:rPr>
          <w:rFonts w:ascii="Times New Roman" w:hAnsi="Times New Roman"/>
          <w:color w:val="000000"/>
          <w:sz w:val="22"/>
        </w:rPr>
        <w:t>Chief Executive Officer</w:t>
      </w:r>
    </w:p>
    <w:p>
      <w:pPr>
        <w:pStyle w:val="TextBody"/>
        <w:bidi w:val="0"/>
        <w:jc w:val="left"/>
        <w:rPr>
          <w:rFonts w:ascii="Times New Roman" w:hAnsi="Times New Roman"/>
          <w:color w:val="000000"/>
          <w:sz w:val="22"/>
        </w:rPr>
      </w:pPr>
      <w:r>
        <w:rPr>
          <w:rFonts w:ascii="Times New Roman" w:hAnsi="Times New Roman"/>
          <w:color w:val="000000"/>
          <w:sz w:val="22"/>
        </w:rPr>
        <w:t>(Principal Executive Officer)</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ngx-ex31_2.htm"/>
      <w:bookmarkStart w:id="26" w:name="kstngxex31_2"/>
      <w:bookmarkEnd w:id="25"/>
      <w:bookmarkEnd w:id="26"/>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31.2</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PRINCIPAL FINANCIAL OFFICER PURSUANT TO RULE 13a-14(a) / RULE 15d-14(a) OF THE SECURITIES EXCHANGE ACT OF 1934, AS AMENDED</w:t>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I, Matthew Gall, certify that: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I have reviewed this Quarterly Report on Form 10-Q of Tango Therapeutics, Inc.;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Dated: May 13, 2026 </w:t>
      </w:r>
      <w:r>
        <w:rPr>
          <w:rFonts w:ascii="Times New Roman" w:hAnsi="Times New Roman"/>
          <w:color w:val="000000"/>
          <w:sz w:val="22"/>
          <w:u w:val="single"/>
        </w:rPr>
        <w:t>/s/ Matthew Gall</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Matthew Gall</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rFonts w:ascii="Times New Roman" w:hAnsi="Times New Roman"/>
          <w:color w:val="000000"/>
          <w:sz w:val="22"/>
        </w:rPr>
      </w:pPr>
      <w:r>
        <w:rPr>
          <w:rFonts w:ascii="Times New Roman" w:hAnsi="Times New Roman"/>
          <w:color w:val="000000"/>
          <w:sz w:val="22"/>
        </w:rPr>
        <w:t>(Principal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tngx-ex32_1.htm"/>
      <w:bookmarkStart w:id="28" w:name="kstngxex32_1"/>
      <w:bookmarkEnd w:id="27"/>
      <w:bookmarkEnd w:id="28"/>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32.1</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PURSUANT TO 18 U.S.C. SECTION 1350,</w:t>
      </w:r>
    </w:p>
    <w:p>
      <w:pPr>
        <w:pStyle w:val="TextBody"/>
        <w:bidi w:val="0"/>
        <w:jc w:val="center"/>
        <w:rPr>
          <w:rFonts w:ascii="Times New Roman" w:hAnsi="Times New Roman"/>
          <w:b/>
          <w:color w:val="000000"/>
          <w:sz w:val="22"/>
        </w:rPr>
      </w:pPr>
      <w:r>
        <w:rPr>
          <w:rFonts w:ascii="Times New Roman" w:hAnsi="Times New Roman"/>
          <w:b/>
          <w:color w:val="000000"/>
          <w:sz w:val="22"/>
        </w:rPr>
        <w:t>AS ADOPTED PURSUANT TO</w:t>
      </w:r>
    </w:p>
    <w:p>
      <w:pPr>
        <w:pStyle w:val="TextBody"/>
        <w:bidi w:val="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connection with the Quarterly Report on Form 10-Q of Tango Therapeutics, Inc. (the “Company”) for the fiscal quarter ended March 31, 2026 as filed with the Securities and Exchange Commission (the “Report”), I, Malte Peters, M.D., Chief Executive Officer of the Company, certify, pursuant to 18 U.S.C. § 1350, as adopted pursuant to § 906 of the Sarbanes-Oxley Act of 2002, to my knowledge, that:</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p>
      <w:pPr>
        <w:pStyle w:val="TextBody"/>
        <w:bidi w:val="0"/>
        <w:spacing w:before="0" w:after="120"/>
        <w:jc w:val="left"/>
        <w:rPr>
          <w:rFonts w:ascii="Times New Roman" w:hAnsi="Times New Roman"/>
          <w:sz w:val="20"/>
        </w:rPr>
      </w:pPr>
      <w:r>
        <w:rPr>
          <w:rFonts w:ascii="Times New Roman" w:hAnsi="Times New Roman"/>
          <w:color w:val="000000"/>
          <w:sz w:val="22"/>
        </w:rPr>
        <w:t xml:space="preserve">Dated: May 13, 2026 </w:t>
      </w:r>
      <w:r>
        <w:rPr>
          <w:rFonts w:ascii="Times New Roman" w:hAnsi="Times New Roman"/>
          <w:color w:val="000000"/>
          <w:sz w:val="22"/>
          <w:u w:val="single"/>
        </w:rPr>
        <w:t>/s/ Malte Peters, M.D.</w:t>
      </w:r>
    </w:p>
    <w:p>
      <w:pPr>
        <w:pStyle w:val="TextBody"/>
        <w:bidi w:val="0"/>
        <w:jc w:val="left"/>
        <w:rPr>
          <w:rFonts w:ascii="Times New Roman" w:hAnsi="Times New Roman"/>
          <w:color w:val="000000"/>
          <w:sz w:val="22"/>
        </w:rPr>
      </w:pPr>
      <w:r>
        <w:rPr>
          <w:rFonts w:ascii="Times New Roman" w:hAnsi="Times New Roman"/>
          <w:color w:val="000000"/>
          <w:sz w:val="22"/>
        </w:rPr>
        <w:t>Malte Peters, M.D.</w:t>
      </w:r>
    </w:p>
    <w:p>
      <w:pPr>
        <w:pStyle w:val="TextBody"/>
        <w:bidi w:val="0"/>
        <w:jc w:val="left"/>
        <w:rPr>
          <w:rFonts w:ascii="Times New Roman" w:hAnsi="Times New Roman"/>
          <w:color w:val="000000"/>
          <w:sz w:val="22"/>
        </w:rPr>
      </w:pPr>
      <w:r>
        <w:rPr>
          <w:rFonts w:ascii="Times New Roman" w:hAnsi="Times New Roman"/>
          <w:color w:val="000000"/>
          <w:sz w:val="22"/>
        </w:rPr>
        <w:t>Chief Executive Officer</w:t>
      </w:r>
    </w:p>
    <w:p>
      <w:pPr>
        <w:pStyle w:val="TextBody"/>
        <w:bidi w:val="0"/>
        <w:jc w:val="left"/>
        <w:rPr>
          <w:rFonts w:ascii="Times New Roman" w:hAnsi="Times New Roman"/>
          <w:color w:val="000000"/>
          <w:sz w:val="22"/>
        </w:rPr>
      </w:pPr>
      <w:r>
        <w:rPr>
          <w:rFonts w:ascii="Times New Roman" w:hAnsi="Times New Roman"/>
          <w:color w:val="000000"/>
          <w:sz w:val="22"/>
        </w:rPr>
        <w:t>(Principal Executive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tngx-ex32_2.htm"/>
      <w:bookmarkStart w:id="30" w:name="kstngxex32_2"/>
      <w:bookmarkEnd w:id="29"/>
      <w:bookmarkEnd w:id="30"/>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32.2</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PURSUANT TO 18 U.S.C. SECTION 1350,</w:t>
      </w:r>
    </w:p>
    <w:p>
      <w:pPr>
        <w:pStyle w:val="TextBody"/>
        <w:bidi w:val="0"/>
        <w:jc w:val="center"/>
        <w:rPr>
          <w:rFonts w:ascii="Times New Roman" w:hAnsi="Times New Roman"/>
          <w:b/>
          <w:color w:val="000000"/>
          <w:sz w:val="22"/>
        </w:rPr>
      </w:pPr>
      <w:r>
        <w:rPr>
          <w:rFonts w:ascii="Times New Roman" w:hAnsi="Times New Roman"/>
          <w:b/>
          <w:color w:val="000000"/>
          <w:sz w:val="22"/>
        </w:rPr>
        <w:t>AS ADOPTED PURSUANT TO</w:t>
      </w:r>
    </w:p>
    <w:p>
      <w:pPr>
        <w:pStyle w:val="TextBody"/>
        <w:bidi w:val="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connection with the Quarterly Report on Form 10-Q of Tango Therapeutics, Inc. (the “Company”) for the fiscal quarter ended March 31, 2026 as filed with the Securities and Exchange Commission (the “Report”), I, Matthew Gall, Chief Financial Officer of the Company, certify, pursuant to 18 U.S.C. § 1350, as adopted pursuant to § 906 of the Sarbanes-Oxley Act of 2002, to my knowledge, that:</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p>
      <w:pPr>
        <w:pStyle w:val="TextBody"/>
        <w:bidi w:val="0"/>
        <w:spacing w:before="0" w:after="120"/>
        <w:jc w:val="left"/>
        <w:rPr>
          <w:rFonts w:ascii="Times New Roman" w:hAnsi="Times New Roman"/>
          <w:sz w:val="20"/>
        </w:rPr>
      </w:pPr>
      <w:r>
        <w:rPr>
          <w:rFonts w:ascii="Times New Roman" w:hAnsi="Times New Roman"/>
          <w:color w:val="000000"/>
          <w:sz w:val="22"/>
        </w:rPr>
        <w:t xml:space="preserve">Dated: May 13, 2026 </w:t>
      </w:r>
      <w:r>
        <w:rPr>
          <w:rFonts w:ascii="Times New Roman" w:hAnsi="Times New Roman"/>
          <w:color w:val="000000"/>
          <w:sz w:val="22"/>
          <w:u w:val="single"/>
        </w:rPr>
        <w:t>/s/ Matthew Gall</w:t>
      </w:r>
    </w:p>
    <w:p>
      <w:pPr>
        <w:pStyle w:val="TextBody"/>
        <w:bidi w:val="0"/>
        <w:jc w:val="left"/>
        <w:rPr>
          <w:rFonts w:ascii="Times New Roman" w:hAnsi="Times New Roman"/>
          <w:color w:val="000000"/>
          <w:sz w:val="22"/>
        </w:rPr>
      </w:pPr>
      <w:r>
        <w:rPr>
          <w:rFonts w:ascii="Times New Roman" w:hAnsi="Times New Roman"/>
          <w:color w:val="000000"/>
          <w:sz w:val="22"/>
        </w:rPr>
        <w:t>Matthew Gall</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rFonts w:ascii="Times New Roman" w:hAnsi="Times New Roman"/>
          <w:color w:val="000000"/>
          <w:sz w:val="22"/>
        </w:rPr>
      </w:pPr>
      <w:r>
        <w:rPr>
          <w:rFonts w:ascii="Times New Roman" w:hAnsi="Times New Roman"/>
          <w:color w:val="000000"/>
          <w:sz w:val="22"/>
        </w:rPr>
        <w:t>(Principal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9133/000095017024092274/tngx-ex3_1.htm" TargetMode="External"/><Relationship Id="rId3" Type="http://schemas.openxmlformats.org/officeDocument/2006/relationships/hyperlink" Target="https://www.sec.gov/Archives/edgar/data/1819133/000119312521298942/d211731dex42.htm" TargetMode="External"/><Relationship Id="rId4" Type="http://schemas.openxmlformats.org/officeDocument/2006/relationships/hyperlink" Target="https://www.sec.gov/Archives/edgar/data/1819133/000119312525137032/d926935dex31.htm" TargetMode="External"/><Relationship Id="rId5" Type="http://schemas.openxmlformats.org/officeDocument/2006/relationships/hyperlink" Target="https://www.sec.gov/Archives/edgar/data/1819133/000119312526007086/d26323dex101.htm" TargetMode="External"/><Relationship Id="rId6" Type="http://schemas.openxmlformats.org/officeDocument/2006/relationships/hyperlink" Target="https://www.sec.gov/Archives/edgar/data/1819133/000119312526007086/d26323dex103.htm" TargetMode="External"/><Relationship Id="rId7" Type="http://schemas.openxmlformats.org/officeDocument/2006/relationships/hyperlink" Target="https://www.sec.gov/Archives/edgar/data/1819133/000119312526156127/d144586d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20999</Words>
  <Characters>116808</Characters>
  <CharactersWithSpaces>138332</CharactersWithSpaces>
  <Paragraphs>3818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