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47-2452488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Brookline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901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7, 2024, Tango Therapeutics, Inc. (the “Company”) disclosed that its cash, cash equivalents and marketable securities for the Company as of December 31, 2023 was $337 million (unaudited). In addition, the Company received net proceeds of $42 million from the Company’s “at-the-market” offering (pursuant to a Registration Statement on Form S-3 as filed with the U.S. Securities and Exchange Commission on September 1, 2022) in January 2024 (such proceeds were net of certain expenses, costs and fees incurred in connection with the offering). The Company estimates that, based on its cash, cash equivalents and marketable securities at December 31, 2023 and the net proceeds from the “at-the-market” offering, it has sufficient cash resources to fund the Company’s operations into late-2026. The cash, cash equivalents and marketable securities and the “at-the-market” offering net proceeds information above are based on preliminary unaudited information and management estimates. The cash, cash equivalents and marketable securities information is not a comprehensive statement of the Company’s financial results as of and for the fiscal year ended December 31, 2023 and is subject to completion of the Company’s financial closing procedures. The Company’s independent registered public accounting firm has not conducted an audit or review of, and does not express an opinion or any other form of assurance with respect to, this preliminary estimate.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are made pursuant to the safe harbor provisions of the Private Securities Litigation Reform Act of 1995, including the Company’s anticipated financial results and cash runway. The use of words such as “anticipate,” “believe,” “continue,” “could,” “endeavor,” “estimate,” “expect,” “anticipate,” “intend,” “may,” “might,” “plan,” “potential,” “predict,” “project,” “seek,” “should,” “target,” “will” or “would” or the negative of such words or other similar expressions can be used to identify forward-looking statements. Each forward-looking statement is subject to risks and uncertainties that could cause actual results to differ materially from those expressed or implied in such statement. These and other risks and uncertainties are described in additional detail in the section entitled “Risk Factors” in the Company’s Annual Report on Form 10-K filed March 27, 2023 and its other filings made with the SEC from time to time. Although the Company’s forward-looking statements reflect the good faith judgment of its management, these statements are based only on facts and factors currently known by the Company. As a result, you are cautioned not to rely on these forward-looking statements. Any forward-looking statement made in this Current Report on Form 8-K speaks only as of the date on which it is made. Except as required by applicable law, the Company undertakes no obligation to publicly update or revise any forward-looking statement, whether as a result of new information, future developments or otherwise.</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February 7,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Barry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Douglas Barry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2024-02-07T06:03:24Z</dcterms:created>
  <dcterms:modified xsi:type="dcterms:W3CDTF">2024-02-07T06:03:24Z</dcterms:modified>
</cp:coreProperties>
</file>