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0002018299</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10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835"/>
        </w:trPr>
        <w:tc>
          <w:tcPr>
            <w:tcW w:w="6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201 Brookline Ave</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2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100" w:type="dxa"/>
            <w:vAlign w:val="bottom"/>
          </w:tcPr>
          <w:p>
            <w:pPr>
              <w:spacing w:after="0"/>
              <w:rPr>
                <w:sz w:val="24"/>
                <w:szCs w:val="24"/>
                <w:color w:val="auto"/>
              </w:rPr>
            </w:pP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857-320-4900</w:t>
            </w:r>
          </w:p>
        </w:tc>
      </w:tr>
      <w:tr>
        <w:trPr>
          <w:trHeight w:val="297"/>
        </w:trPr>
        <w:tc>
          <w:tcPr>
            <w:tcW w:w="6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8"/>
              </w:rPr>
              <w:t>Boxer Capital Management,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Member of group owning over 10% of the shares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6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6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6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BofA Securities Inc.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w w:val="99"/>
              </w:rPr>
              <w:t>1111 Ave of the Americas</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4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629000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New York  NY  10036-</w:t>
            </w:r>
          </w:p>
        </w:tc>
        <w:tc>
          <w:tcPr>
            <w:tcW w:w="1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6706</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Jefferies LLC</w:t>
            </w:r>
          </w:p>
        </w:tc>
        <w:tc>
          <w:tcPr>
            <w:tcW w:w="1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6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520 Madison Ave.</w:t>
            </w:r>
          </w:p>
        </w:tc>
        <w:tc>
          <w:tcPr>
            <w:tcW w:w="124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533000</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3352570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6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24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2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10/25/2024   NASDAQ</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107144465</w:t>
        <w:tab/>
        <w:t>10/25/2024</w:t>
      </w:r>
      <w:r>
        <w:rPr>
          <w:sz w:val="20"/>
          <w:szCs w:val="20"/>
          <w:color w:val="auto"/>
        </w:rPr>
        <w:tab/>
      </w:r>
      <w:r>
        <w:rPr>
          <w:rFonts w:ascii="Times New Roman" w:cs="Times New Roman" w:eastAsia="Times New Roman" w:hAnsi="Times New Roman"/>
          <w:sz w:val="21"/>
          <w:szCs w:val="21"/>
          <w:color w:val="auto"/>
        </w:rPr>
        <w:t>NASDAQ</w:t>
      </w:r>
    </w:p>
    <w:p>
      <w:pPr>
        <w:spacing w:after="0" w:line="59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80" w:type="dxa"/>
            <w:vAlign w:val="bottom"/>
            <w:vMerge w:val="restart"/>
          </w:tcPr>
          <w:p>
            <w:pPr>
              <w:ind w:left="80"/>
              <w:spacing w:after="0"/>
              <w:rPr>
                <w:sz w:val="20"/>
                <w:szCs w:val="20"/>
                <w:color w:val="auto"/>
              </w:rPr>
            </w:pPr>
            <w:r>
              <w:rPr>
                <w:rFonts w:ascii="Times New Roman" w:cs="Times New Roman" w:eastAsia="Times New Roman" w:hAnsi="Times New Roman"/>
                <w:sz w:val="22"/>
                <w:szCs w:val="22"/>
                <w:b w:val="1"/>
                <w:bCs w:val="1"/>
                <w:color w:val="auto"/>
                <w:w w:val="99"/>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142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08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vMerge w:val="continue"/>
          </w:tcPr>
          <w:p>
            <w:pPr>
              <w:spacing w:after="0"/>
              <w:rPr>
                <w:sz w:val="19"/>
                <w:szCs w:val="19"/>
                <w:color w:val="auto"/>
              </w:rPr>
            </w:pPr>
          </w:p>
        </w:tc>
        <w:tc>
          <w:tcPr>
            <w:tcW w:w="1580" w:type="dxa"/>
            <w:vAlign w:val="bottom"/>
            <w:vMerge w:val="continue"/>
          </w:tcPr>
          <w:p>
            <w:pPr>
              <w:spacing w:after="0"/>
              <w:rPr>
                <w:sz w:val="19"/>
                <w:szCs w:val="19"/>
                <w:color w:val="auto"/>
              </w:rPr>
            </w:pPr>
          </w:p>
        </w:tc>
        <w:tc>
          <w:tcPr>
            <w:tcW w:w="5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240" w:type="dxa"/>
            <w:vAlign w:val="bottom"/>
          </w:tcPr>
          <w:p>
            <w:pPr>
              <w:jc w:val="center"/>
              <w:spacing w:after="0" w:line="221" w:lineRule="exact"/>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line="221" w:lineRule="exact"/>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Acquisition</w:t>
            </w:r>
          </w:p>
        </w:tc>
        <w:tc>
          <w:tcPr>
            <w:tcW w:w="1580" w:type="dxa"/>
            <w:vAlign w:val="bottom"/>
          </w:tcPr>
          <w:p>
            <w:pPr>
              <w:ind w:left="260"/>
              <w:spacing w:after="0" w:line="144" w:lineRule="exact"/>
              <w:rPr>
                <w:sz w:val="20"/>
                <w:szCs w:val="20"/>
                <w:color w:val="auto"/>
              </w:rPr>
            </w:pPr>
            <w:r>
              <w:rPr>
                <w:rFonts w:ascii="Times New Roman" w:cs="Times New Roman" w:eastAsia="Times New Roman" w:hAnsi="Times New Roman"/>
                <w:sz w:val="16"/>
                <w:szCs w:val="16"/>
                <w:b w:val="1"/>
                <w:bCs w:val="1"/>
                <w:color w:val="auto"/>
              </w:rPr>
              <w:t>from Whom</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Donor</w:t>
            </w:r>
          </w:p>
        </w:tc>
        <w:tc>
          <w:tcPr>
            <w:tcW w:w="122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Securities</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54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10/16/2023</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Market</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437"/>
              <w:spacing w:after="0"/>
              <w:rPr>
                <w:sz w:val="20"/>
                <w:szCs w:val="20"/>
                <w:color w:val="auto"/>
              </w:rPr>
            </w:pPr>
            <w:r>
              <w:rPr>
                <w:rFonts w:ascii="Times New Roman" w:cs="Times New Roman" w:eastAsia="Times New Roman" w:hAnsi="Times New Roman"/>
                <w:sz w:val="22"/>
                <w:szCs w:val="22"/>
                <w:color w:val="auto"/>
                <w:w w:val="99"/>
              </w:rPr>
              <w:t>375000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10/16/2023 Cash</w:t>
            </w:r>
          </w:p>
        </w:tc>
        <w:tc>
          <w:tcPr>
            <w:tcW w:w="0" w:type="dxa"/>
            <w:vAlign w:val="bottom"/>
          </w:tcPr>
          <w:p>
            <w:pPr>
              <w:spacing w:after="0"/>
              <w:rPr>
                <w:sz w:val="1"/>
                <w:szCs w:val="1"/>
                <w:color w:val="auto"/>
              </w:rPr>
            </w:pPr>
          </w:p>
        </w:tc>
      </w:tr>
      <w:tr>
        <w:trPr>
          <w:trHeight w:val="282"/>
        </w:trPr>
        <w:tc>
          <w:tcPr>
            <w:tcW w:w="142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Purchases</w:t>
            </w: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Participant</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Tango</w:t>
            </w: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720" w:type="dxa"/>
            <w:vAlign w:val="bottom"/>
            <w:gridSpan w:val="2"/>
          </w:tcPr>
          <w:p>
            <w:pPr>
              <w:ind w:left="60"/>
              <w:spacing w:after="0" w:line="243" w:lineRule="exact"/>
              <w:rPr>
                <w:sz w:val="20"/>
                <w:szCs w:val="20"/>
                <w:color w:val="auto"/>
              </w:rPr>
            </w:pPr>
            <w:r>
              <w:rPr>
                <w:rFonts w:ascii="Times New Roman" w:cs="Times New Roman" w:eastAsia="Times New Roman" w:hAnsi="Times New Roman"/>
                <w:sz w:val="22"/>
                <w:szCs w:val="22"/>
                <w:color w:val="auto"/>
              </w:rPr>
              <w:t>08/17/2020 Private Financing</w:t>
            </w:r>
          </w:p>
        </w:tc>
        <w:tc>
          <w:tcPr>
            <w:tcW w:w="158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5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437"/>
              <w:spacing w:after="0" w:line="243" w:lineRule="exact"/>
              <w:rPr>
                <w:sz w:val="20"/>
                <w:szCs w:val="20"/>
                <w:color w:val="auto"/>
              </w:rPr>
            </w:pPr>
            <w:r>
              <w:rPr>
                <w:rFonts w:ascii="Times New Roman" w:cs="Times New Roman" w:eastAsia="Times New Roman" w:hAnsi="Times New Roman"/>
                <w:sz w:val="22"/>
                <w:szCs w:val="22"/>
                <w:color w:val="auto"/>
                <w:w w:val="99"/>
              </w:rPr>
              <w:t>258000</w:t>
            </w:r>
          </w:p>
        </w:tc>
        <w:tc>
          <w:tcPr>
            <w:tcW w:w="244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08/17/2020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-727075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-307340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10/21/2024 625000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4468750</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Boxer Capital Management,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12860 El Camino Real</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492"/>
              <w:spacing w:after="0"/>
              <w:rPr>
                <w:sz w:val="20"/>
                <w:szCs w:val="20"/>
                <w:color w:val="auto"/>
              </w:rPr>
            </w:pPr>
            <w:r>
              <w:rPr>
                <w:rFonts w:ascii="Times New Roman" w:cs="Times New Roman" w:eastAsia="Times New Roman" w:hAnsi="Times New Roman"/>
                <w:sz w:val="22"/>
                <w:szCs w:val="22"/>
                <w:color w:val="auto"/>
              </w:rPr>
              <w:t>10/22/2024 250000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1660000</w:t>
            </w:r>
          </w:p>
        </w:tc>
        <w:tc>
          <w:tcPr>
            <w:tcW w:w="0" w:type="dxa"/>
            <w:vAlign w:val="bottom"/>
          </w:tcPr>
          <w:p>
            <w:pPr>
              <w:spacing w:after="0"/>
              <w:rPr>
                <w:sz w:val="1"/>
                <w:szCs w:val="1"/>
                <w:color w:val="auto"/>
              </w:rPr>
            </w:pPr>
          </w:p>
        </w:tc>
      </w:tr>
      <w:tr>
        <w:trPr>
          <w:trHeight w:val="161"/>
        </w:trPr>
        <w:tc>
          <w:tcPr>
            <w:tcW w:w="14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188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460" w:type="dxa"/>
            <w:vAlign w:val="bottom"/>
            <w:vMerge w:val="continue"/>
          </w:tcPr>
          <w:p>
            <w:pPr>
              <w:spacing w:after="0"/>
              <w:rPr>
                <w:sz w:val="7"/>
                <w:szCs w:val="7"/>
                <w:color w:val="auto"/>
              </w:rPr>
            </w:pPr>
          </w:p>
        </w:tc>
        <w:tc>
          <w:tcPr>
            <w:tcW w:w="188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San Diego  CA</w:t>
            </w:r>
          </w:p>
        </w:tc>
        <w:tc>
          <w:tcPr>
            <w:tcW w:w="1880" w:type="dxa"/>
            <w:vAlign w:val="bottom"/>
          </w:tcPr>
          <w:p>
            <w:pPr>
              <w:jc w:val="center"/>
              <w:ind w:right="1072"/>
              <w:spacing w:after="0"/>
              <w:rPr>
                <w:sz w:val="20"/>
                <w:szCs w:val="20"/>
                <w:color w:val="auto"/>
              </w:rPr>
            </w:pPr>
            <w:r>
              <w:rPr>
                <w:rFonts w:ascii="Times New Roman" w:cs="Times New Roman" w:eastAsia="Times New Roman" w:hAnsi="Times New Roman"/>
                <w:sz w:val="22"/>
                <w:szCs w:val="22"/>
                <w:color w:val="auto"/>
                <w:w w:val="98"/>
              </w:rPr>
              <w:t>92130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920" w:type="dxa"/>
            <w:vAlign w:val="bottom"/>
          </w:tcPr>
          <w:p>
            <w:pPr>
              <w:spacing w:after="0"/>
              <w:rPr>
                <w:sz w:val="24"/>
                <w:szCs w:val="24"/>
                <w:color w:val="auto"/>
              </w:rPr>
            </w:pP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10/25/2024</w:t>
            </w:r>
          </w:p>
        </w:tc>
      </w:tr>
      <w:tr>
        <w:trPr>
          <w:trHeight w:val="297"/>
        </w:trPr>
        <w:tc>
          <w:tcPr>
            <w:tcW w:w="22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9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Aaron I. Davis, Managing Member</w:t>
      </w:r>
    </w:p>
    <w:p>
      <w:pPr>
        <w:sectPr>
          <w:pgSz w:w="11900" w:h="16838" w:orient="portrait"/>
          <w:cols w:equalWidth="0" w:num="1">
            <w:col w:w="11240"/>
          </w:cols>
          <w:pgMar w:left="320" w:top="8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8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2024-10-25T20:39:18Z</dcterms:created>
  <dcterms:modified xsi:type="dcterms:W3CDTF">2024-10-25T20:39:18Z</dcterms:modified>
</cp:coreProperties>
</file>