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October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TANGO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001-39485</w:t>
            </w:r>
          </w:p>
        </w:tc>
        <w:tc>
          <w:tcPr>
            <w:tcW w:w="1720" w:type="dxa"/>
            <w:vAlign w:val="bottom"/>
          </w:tcPr>
          <w:p>
            <w:pPr>
              <w:jc w:val="center"/>
              <w:ind w:left="905"/>
              <w:spacing w:after="0"/>
              <w:rPr>
                <w:sz w:val="20"/>
                <w:szCs w:val="20"/>
                <w:color w:val="auto"/>
              </w:rPr>
            </w:pPr>
            <w:r>
              <w:rPr>
                <w:rFonts w:ascii="Times New Roman" w:cs="Times New Roman" w:eastAsia="Times New Roman" w:hAnsi="Times New Roman"/>
                <w:sz w:val="13"/>
                <w:szCs w:val="13"/>
                <w:b w:val="1"/>
                <w:bCs w:val="1"/>
                <w:color w:val="auto"/>
                <w:w w:val="95"/>
              </w:rPr>
              <w:t>85-1195036</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88" w:lineRule="exact"/>
        <w:rPr>
          <w:sz w:val="24"/>
          <w:szCs w:val="24"/>
          <w:color w:val="auto"/>
        </w:rPr>
      </w:pPr>
    </w:p>
    <w:tbl>
      <w:tblPr>
        <w:tblLayout w:type="fixed"/>
        <w:tblInd w:w="1760" w:type="dxa"/>
        <w:tblCellMar>
          <w:top w:w="0" w:type="dxa"/>
          <w:left w:w="0" w:type="dxa"/>
          <w:bottom w:w="0" w:type="dxa"/>
          <w:right w:w="0" w:type="dxa"/>
        </w:tblCellMar>
      </w:tblPr>
      <w:tr>
        <w:trPr>
          <w:trHeight w:val="152"/>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3"/>
                <w:szCs w:val="13"/>
                <w:b w:val="1"/>
                <w:bCs w:val="1"/>
                <w:color w:val="auto"/>
                <w:w w:val="96"/>
              </w:rPr>
              <w:t>201 Brookline Ave., Suite 901</w:t>
            </w:r>
          </w:p>
        </w:tc>
        <w:tc>
          <w:tcPr>
            <w:tcW w:w="1880" w:type="dxa"/>
            <w:vAlign w:val="bottom"/>
          </w:tcPr>
          <w:p>
            <w:pPr>
              <w:spacing w:after="0"/>
              <w:rPr>
                <w:sz w:val="13"/>
                <w:szCs w:val="13"/>
                <w:color w:val="auto"/>
              </w:rPr>
            </w:pPr>
          </w:p>
        </w:tc>
      </w:tr>
      <w:tr>
        <w:trPr>
          <w:trHeight w:val="159"/>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3"/>
                <w:szCs w:val="13"/>
                <w:b w:val="1"/>
                <w:bCs w:val="1"/>
                <w:color w:val="auto"/>
                <w:w w:val="99"/>
              </w:rPr>
              <w:t>Boston, MA</w:t>
            </w:r>
          </w:p>
        </w:tc>
        <w:tc>
          <w:tcPr>
            <w:tcW w:w="188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02215</w:t>
            </w:r>
          </w:p>
        </w:tc>
      </w:tr>
      <w:tr>
        <w:trPr>
          <w:trHeight w:val="132"/>
        </w:trPr>
        <w:tc>
          <w:tcPr>
            <w:tcW w:w="3080" w:type="dxa"/>
            <w:vAlign w:val="bottom"/>
          </w:tcPr>
          <w:p>
            <w:pPr>
              <w:jc w:val="center"/>
              <w:ind w:right="1361"/>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1880" w:type="dxa"/>
            <w:vAlign w:val="bottom"/>
          </w:tcPr>
          <w:p>
            <w:pPr>
              <w:jc w:val="center"/>
              <w:ind w:left="1383"/>
              <w:spacing w:after="0"/>
              <w:rPr>
                <w:sz w:val="20"/>
                <w:szCs w:val="20"/>
                <w:color w:val="auto"/>
              </w:rPr>
            </w:pPr>
            <w:r>
              <w:rPr>
                <w:rFonts w:ascii="Times New Roman" w:cs="Times New Roman" w:eastAsia="Times New Roman" w:hAnsi="Times New Roman"/>
                <w:sz w:val="10"/>
                <w:szCs w:val="10"/>
                <w:b w:val="1"/>
                <w:bCs w:val="1"/>
                <w:color w:val="auto"/>
              </w:rPr>
              <w:t>(Zip code)</w:t>
            </w:r>
          </w:p>
        </w:tc>
      </w:tr>
    </w:tbl>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857-320-4900</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118110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7"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14d-2(b)under the Exchange Act (17 CFR 240.14d-2(b))</w:t>
      </w:r>
    </w:p>
    <w:p>
      <w:pPr>
        <w:spacing w:after="0" w:line="87" w:lineRule="exact"/>
        <w:rPr>
          <w:rFonts w:ascii="MS PGothic" w:cs="MS PGothic" w:eastAsia="MS PGothic" w:hAnsi="MS PGothic"/>
          <w:sz w:val="13"/>
          <w:szCs w:val="13"/>
          <w:color w:val="auto"/>
        </w:rPr>
      </w:pPr>
    </w:p>
    <w:p>
      <w:pPr>
        <w:ind w:left="640" w:right="2459" w:hanging="3"/>
        <w:spacing w:after="0" w:line="400"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4"/>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Common stock, par value $0.001</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9"/>
              </w:rPr>
              <w:t>TNGX</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r>
        <w:trPr>
          <w:trHeight w:val="165"/>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per share</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(§230.405of this chapter) or Rule 12b-2 of the Securities Exchange Act of 1934 (§240.12b-2 of this chapter).</w:t>
      </w:r>
    </w:p>
    <w:p>
      <w:pPr>
        <w:spacing w:after="0" w:line="46" w:lineRule="exact"/>
        <w:rPr>
          <w:sz w:val="24"/>
          <w:szCs w:val="24"/>
          <w:color w:val="auto"/>
        </w:rPr>
      </w:pPr>
    </w:p>
    <w:p>
      <w:pPr>
        <w:ind w:left="68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37"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The information set forth in Item 8.01 under the caption “Preliminary, Unaudited Financial Information” is incorporated into this Item 2.02 by reference.</w:t>
      </w:r>
    </w:p>
    <w:p>
      <w:pPr>
        <w:spacing w:after="0" w:line="268"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Preliminary, Unaudited Financial Information</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On October 23, 2025, the Tango Therapeutics, Inc. (the “Company” or “Tango”) disclosed that, as of September 30, 2025, the Company estimates that it had $152.8 million of cash, cash equivalents and marketable securities.</w:t>
      </w:r>
    </w:p>
    <w:p>
      <w:pPr>
        <w:spacing w:after="0" w:line="122" w:lineRule="exact"/>
        <w:rPr>
          <w:sz w:val="20"/>
          <w:szCs w:val="20"/>
          <w:color w:val="auto"/>
        </w:rPr>
      </w:pPr>
    </w:p>
    <w:p>
      <w:pPr>
        <w:ind w:left="640" w:right="719"/>
        <w:spacing w:after="0" w:line="271" w:lineRule="auto"/>
        <w:rPr>
          <w:sz w:val="20"/>
          <w:szCs w:val="20"/>
          <w:color w:val="auto"/>
        </w:rPr>
      </w:pPr>
      <w:r>
        <w:rPr>
          <w:rFonts w:ascii="Times New Roman" w:cs="Times New Roman" w:eastAsia="Times New Roman" w:hAnsi="Times New Roman"/>
          <w:sz w:val="12"/>
          <w:szCs w:val="12"/>
          <w:color w:val="auto"/>
        </w:rPr>
        <w:t>The foregoing information is based on preliminary unaudited information and management estimates as of and for the quarter ended September 30, 2025, is not a comprehensive statement of the Company’s financial results, and is subject to completion of the Company’s financial closing procedures. During the Company’s financial closing process the Company’s estimates can differ materially from the Company’s initial estimates presented herein based on the Company’s receipt of updated information. The preliminary financial data included in this Current Report on Form 8-K has been prepared by, and is the responsibility of, the Company’s management. The Company’s independent registered public accounting firm has not audited, reviewed, examined, compiled, nor applied agreed-upon procedures with respect to the preliminary financial data. Accordingly, the Company’s independent registered public accounting firm does not express an opinion or any other form of assurance with respect thereto.</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Clinical Update</w:t>
      </w:r>
    </w:p>
    <w:p>
      <w:pPr>
        <w:spacing w:after="0" w:line="80"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On October 23, 2025, the Company made available a slide presentation relating to a clinical update from the ongoing Phase 1/2 clinical trial of vopimetostat (formerly known as TNG462), a copy of which is attached as Exhibit 99.1 to this Current Report on Form 8-K and is incorporated herein by reference. The Company undertakes no obligation to update, supplement or amend the materials attached hereto as Exhibit 99.1.</w:t>
      </w:r>
    </w:p>
    <w:p>
      <w:pPr>
        <w:spacing w:after="0" w:line="232"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Exhibit</w:t>
      </w:r>
    </w:p>
    <w:p>
      <w:pPr>
        <w:ind w:left="720"/>
        <w:spacing w:after="0"/>
        <w:tabs>
          <w:tab w:leader="none" w:pos="1220" w:val="left"/>
        </w:tabs>
        <w:rPr>
          <w:sz w:val="20"/>
          <w:szCs w:val="20"/>
          <w:color w:val="auto"/>
        </w:rPr>
      </w:pPr>
      <w:r>
        <w:rPr>
          <w:rFonts w:ascii="Times New Roman" w:cs="Times New Roman" w:eastAsia="Times New Roman" w:hAnsi="Times New Roman"/>
          <w:sz w:val="10"/>
          <w:szCs w:val="10"/>
          <w:color w:val="auto"/>
        </w:rPr>
        <w:t>No.</w:t>
      </w:r>
      <w:r>
        <w:rPr>
          <w:sz w:val="20"/>
          <w:szCs w:val="20"/>
          <w:color w:val="auto"/>
        </w:rPr>
        <w:tab/>
      </w:r>
      <w:r>
        <w:rPr>
          <w:rFonts w:ascii="Times New Roman" w:cs="Times New Roman" w:eastAsia="Times New Roman" w:hAnsi="Times New Roman"/>
          <w:sz w:val="10"/>
          <w:szCs w:val="10"/>
          <w:color w:val="auto"/>
        </w:rPr>
        <w:t>Description</w:t>
      </w:r>
    </w:p>
    <w:p>
      <w:pPr>
        <w:spacing w:after="0" w:line="57"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Corporate presentation of Tango Therapeutics, Inc.</w:t>
      </w:r>
    </w:p>
    <w:p>
      <w:pPr>
        <w:spacing w:after="0" w:line="78"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TANGO THERAPEUTICS, INC.</w:t>
      </w:r>
    </w:p>
    <w:p>
      <w:pPr>
        <w:spacing w:after="0" w:line="154" w:lineRule="exact"/>
        <w:rPr>
          <w:sz w:val="20"/>
          <w:szCs w:val="20"/>
          <w:color w:val="auto"/>
        </w:rPr>
      </w:pPr>
    </w:p>
    <w:p>
      <w:pPr>
        <w:ind w:left="640"/>
        <w:spacing w:after="0"/>
        <w:tabs>
          <w:tab w:leader="none" w:pos="4500" w:val="left"/>
          <w:tab w:leader="none" w:pos="4940" w:val="left"/>
        </w:tabs>
        <w:rPr>
          <w:sz w:val="20"/>
          <w:szCs w:val="20"/>
          <w:color w:val="auto"/>
        </w:rPr>
      </w:pPr>
      <w:r>
        <w:rPr>
          <w:rFonts w:ascii="Times New Roman" w:cs="Times New Roman" w:eastAsia="Times New Roman" w:hAnsi="Times New Roman"/>
          <w:sz w:val="13"/>
          <w:szCs w:val="13"/>
          <w:color w:val="auto"/>
        </w:rPr>
        <w:t>Dated: October 23, 2025</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9525</wp:posOffset>
            </wp:positionV>
            <wp:extent cx="21602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5715"/>
                    </a:xfrm>
                    <a:prstGeom prst="rect">
                      <a:avLst/>
                    </a:prstGeom>
                    <a:noFill/>
                  </pic:spPr>
                </pic:pic>
              </a:graphicData>
            </a:graphic>
          </wp:anchor>
        </w:drawing>
      </w:r>
    </w:p>
    <w:p>
      <w:pPr>
        <w:spacing w:after="0" w:line="14"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3"/>
          <w:szCs w:val="13"/>
          <w:color w:val="auto"/>
        </w:rPr>
        <w:t>Name:</w:t>
      </w:r>
      <w:r>
        <w:rPr>
          <w:sz w:val="20"/>
          <w:szCs w:val="20"/>
          <w:color w:val="auto"/>
        </w:rPr>
        <w:tab/>
      </w:r>
      <w:r>
        <w:rPr>
          <w:rFonts w:ascii="Times New Roman" w:cs="Times New Roman" w:eastAsia="Times New Roman" w:hAnsi="Times New Roman"/>
          <w:sz w:val="12"/>
          <w:szCs w:val="12"/>
          <w:color w:val="auto"/>
        </w:rPr>
        <w:t>Daniella Beckman</w:t>
      </w:r>
    </w:p>
    <w:p>
      <w:pPr>
        <w:spacing w:after="0" w:line="2"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3"/>
          <w:szCs w:val="13"/>
          <w:color w:val="auto"/>
        </w:rPr>
        <w:t>Title:</w:t>
        <w:tab/>
        <w:t>Chief Financial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2025-10-23T06:15:15Z</dcterms:created>
  <dcterms:modified xsi:type="dcterms:W3CDTF">2025-10-23T06:15:15Z</dcterms:modified>
</cp:coreProperties>
</file>