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00" w:space="720"/>
            <w:col w:w="402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300"/>
        <w:spacing w:after="0" w:line="196"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20"/>
          <w:szCs w:val="20"/>
          <w:color w:val="auto"/>
        </w:rPr>
        <w:t>On August 5, 2025, Tango Therapeutics, Inc. (“Tango” or the “Company”) issued a press release relating to its results of operations and financial condition for the quarter ended June 30, 2025.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6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2"/>
                <w:szCs w:val="22"/>
                <w:color w:val="auto"/>
              </w:rPr>
            </w:pPr>
          </w:p>
        </w:tc>
        <w:tc>
          <w:tcPr>
            <w:tcW w:w="10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August 5, 2025 relating to its results of operations and financial condition</w:t>
            </w:r>
          </w:p>
        </w:tc>
        <w:tc>
          <w:tcPr>
            <w:tcW w:w="60" w:type="dxa"/>
            <w:vAlign w:val="bottom"/>
          </w:tcPr>
          <w:p>
            <w:pPr>
              <w:spacing w:after="0"/>
              <w:rPr>
                <w:sz w:val="22"/>
                <w:szCs w:val="22"/>
                <w:color w:val="auto"/>
              </w:rPr>
            </w:pPr>
          </w:p>
        </w:tc>
      </w:tr>
      <w:tr>
        <w:trPr>
          <w:trHeight w:val="210"/>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for the quarter ended June 30, 2025.</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80" w:type="dxa"/>
            <w:vAlign w:val="bottom"/>
          </w:tcPr>
          <w:p>
            <w:pPr>
              <w:spacing w:after="0"/>
              <w:rPr>
                <w:sz w:val="24"/>
                <w:szCs w:val="24"/>
                <w:color w:val="auto"/>
              </w:rPr>
            </w:pPr>
          </w:p>
        </w:tc>
        <w:tc>
          <w:tcPr>
            <w:tcW w:w="846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Dated: August 5, 2025</w:t>
            </w:r>
          </w:p>
        </w:tc>
        <w:tc>
          <w:tcPr>
            <w:tcW w:w="8460" w:type="dxa"/>
            <w:vAlign w:val="bottom"/>
            <w:gridSpan w:val="3"/>
          </w:tcPr>
          <w:p>
            <w:pPr>
              <w:jc w:val="center"/>
              <w:ind w:right="416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780" w:type="dxa"/>
            <w:vAlign w:val="bottom"/>
          </w:tcPr>
          <w:p>
            <w:pPr>
              <w:spacing w:after="0"/>
              <w:rPr>
                <w:sz w:val="20"/>
                <w:szCs w:val="20"/>
                <w:color w:val="auto"/>
              </w:rPr>
            </w:pPr>
          </w:p>
        </w:tc>
        <w:tc>
          <w:tcPr>
            <w:tcW w:w="1580" w:type="dxa"/>
            <w:vAlign w:val="bottom"/>
          </w:tcPr>
          <w:p>
            <w:pPr>
              <w:ind w:left="76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Borders>
              <w:top w:val="single" w:sz="8" w:color="auto"/>
            </w:tcBorders>
          </w:tcPr>
          <w:p>
            <w:pPr>
              <w:jc w:val="center"/>
              <w:ind w:right="292"/>
              <w:spacing w:after="0" w:line="236" w:lineRule="exact"/>
              <w:rPr>
                <w:sz w:val="20"/>
                <w:szCs w:val="20"/>
                <w:color w:val="auto"/>
              </w:rPr>
            </w:pPr>
            <w:r>
              <w:rPr>
                <w:rFonts w:ascii="Times New Roman" w:cs="Times New Roman" w:eastAsia="Times New Roman" w:hAnsi="Times New Roman"/>
                <w:sz w:val="22"/>
                <w:szCs w:val="22"/>
                <w:color w:val="auto"/>
                <w:w w:val="88"/>
              </w:rPr>
              <w:t>Douglas Barry</w:t>
            </w:r>
          </w:p>
        </w:tc>
        <w:tc>
          <w:tcPr>
            <w:tcW w:w="5340" w:type="dxa"/>
            <w:vAlign w:val="bottom"/>
          </w:tcPr>
          <w:p>
            <w:pPr>
              <w:spacing w:after="0"/>
              <w:rPr>
                <w:sz w:val="20"/>
                <w:szCs w:val="20"/>
                <w:color w:val="auto"/>
              </w:rPr>
            </w:pPr>
          </w:p>
        </w:tc>
      </w:tr>
      <w:tr>
        <w:trPr>
          <w:trHeight w:val="282"/>
        </w:trPr>
        <w:tc>
          <w:tcPr>
            <w:tcW w:w="2780" w:type="dxa"/>
            <w:vAlign w:val="bottom"/>
          </w:tcPr>
          <w:p>
            <w:pPr>
              <w:spacing w:after="0"/>
              <w:rPr>
                <w:sz w:val="24"/>
                <w:szCs w:val="24"/>
                <w:color w:val="auto"/>
              </w:rPr>
            </w:pPr>
          </w:p>
        </w:tc>
        <w:tc>
          <w:tcPr>
            <w:tcW w:w="846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Title: Chief Legal Officer</w:t>
            </w:r>
          </w:p>
        </w:tc>
      </w:tr>
      <w:tr>
        <w:trPr>
          <w:trHeight w:val="967"/>
        </w:trPr>
        <w:tc>
          <w:tcPr>
            <w:tcW w:w="2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Tango Therapeutics Reports Second Quarter 2025 Financial Results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and Provides Business Highlights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 First patient dosed in combination trial of TNG462 and Revolution Medicines RAS(ON) inhibitors –</w:t>
      </w:r>
    </w:p>
    <w:p>
      <w:pPr>
        <w:spacing w:after="0" w:line="233" w:lineRule="exact"/>
        <w:rPr>
          <w:sz w:val="20"/>
          <w:szCs w:val="20"/>
          <w:color w:val="auto"/>
        </w:rPr>
      </w:pPr>
    </w:p>
    <w:p>
      <w:pPr>
        <w:jc w:val="right"/>
        <w:ind w:left="2360" w:right="2220" w:hanging="114"/>
        <w:spacing w:after="0" w:line="283" w:lineRule="auto"/>
        <w:rPr>
          <w:sz w:val="20"/>
          <w:szCs w:val="20"/>
          <w:color w:val="auto"/>
        </w:rPr>
      </w:pPr>
      <w:r>
        <w:rPr>
          <w:rFonts w:ascii="Arial" w:cs="Arial" w:eastAsia="Arial" w:hAnsi="Arial"/>
          <w:sz w:val="21"/>
          <w:szCs w:val="21"/>
          <w:i w:val="1"/>
          <w:iCs w:val="1"/>
          <w:color w:val="auto"/>
        </w:rPr>
        <w:t>– First patient dosed in Phase 1/2 trial with TNG456, a brain-penetrant MTA-cooperative PRMT5 inhibitor in development for glioblastoma –</w:t>
      </w:r>
    </w:p>
    <w:p>
      <w:pPr>
        <w:spacing w:after="0" w:line="268" w:lineRule="exact"/>
        <w:rPr>
          <w:sz w:val="20"/>
          <w:szCs w:val="20"/>
          <w:color w:val="auto"/>
        </w:rPr>
      </w:pPr>
    </w:p>
    <w:p>
      <w:pPr>
        <w:ind w:right="160"/>
        <w:spacing w:after="0" w:line="262" w:lineRule="auto"/>
        <w:rPr>
          <w:sz w:val="20"/>
          <w:szCs w:val="20"/>
          <w:color w:val="auto"/>
        </w:rPr>
      </w:pPr>
      <w:r>
        <w:rPr>
          <w:rFonts w:ascii="Arial" w:cs="Arial" w:eastAsia="Arial" w:hAnsi="Arial"/>
          <w:sz w:val="21"/>
          <w:szCs w:val="21"/>
          <w:color w:val="auto"/>
        </w:rPr>
        <w:t>BOSTON, August 5, 2025 (GLOBE NEWSWIRE) -- Tango Therapeutics, Inc. (NASDAQ: TNGX), a clinical-stage biotechnology company committed to discovering and delivering the next generation of precision cancer medicines, today reported financial results for the second quarter ended June 30, 2025, and provided business highlights.</w:t>
      </w:r>
    </w:p>
    <w:p>
      <w:pPr>
        <w:spacing w:after="0" w:line="18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“TNG462 has the potential to be a best-in-class PRMT5 inhibitor for the treatment of MTAP-del pancreatic and lung cancers, and we look forward to sharing data that support our conviction later this year,” said Barbara Weber, M.D., President and CEO of Tango Therapeutics. “We plan to present efficacy and tolerability data from the ongoing TNG462 monotherapy Phase 1/2 study that will inform the initiation of a registrational study in pancreatic cancer next year and our development strategy in lung cancer. In addition, we are now enrolling patients in the TNG462 combination clinical trial with Revolution Medicines’ RAS(ON) inhibitors. Preclinical data support the potential for these combinations to be an important new therapy for RAS-mut, MTAP-del cancers, and reinforce our belief that TNG462 has the potential to play a major role in treating patients with MTAP-del cancers.”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Update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TNG462, a potentially best-in-class MTA-cooperative PRMT5 inhibitor</w:t>
      </w:r>
    </w:p>
    <w:p>
      <w:pPr>
        <w:spacing w:after="0" w:line="100" w:lineRule="exact"/>
        <w:rPr>
          <w:sz w:val="20"/>
          <w:szCs w:val="20"/>
          <w:color w:val="auto"/>
        </w:rPr>
      </w:pPr>
    </w:p>
    <w:p>
      <w:pPr>
        <w:jc w:val="both"/>
        <w:ind w:left="1020" w:right="340" w:hanging="503"/>
        <w:spacing w:after="0" w:line="239"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June, the first patient was treated in a combination trial (NCT06922591) with TNG462 and RAS(ON) multi-selective inhibitor, daraxonrasib, and RAS(ON) G12D-selective inhibitor, zoldonrasib, (Revolution Medicines). The combination of TNG462 with each of these molecules generated deep, durable tumor responses in preclinical models.</w:t>
      </w:r>
    </w:p>
    <w:p>
      <w:pPr>
        <w:spacing w:after="0" w:line="111" w:lineRule="exact"/>
        <w:rPr>
          <w:rFonts w:ascii="Times New Roman" w:cs="Times New Roman" w:eastAsia="Times New Roman" w:hAnsi="Times New Roman"/>
          <w:sz w:val="22"/>
          <w:szCs w:val="22"/>
          <w:color w:val="auto"/>
        </w:rPr>
      </w:pPr>
    </w:p>
    <w:p>
      <w:pPr>
        <w:jc w:val="both"/>
        <w:ind w:left="1020" w:right="24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A clinical data update on the TNG462 Phase 1/2 monotherapy trial is expected in the second half of this year. This update is anticipated to provide sufficient information to inform the initiation of a registrational trial in pancreatic cancer next year and our development strategy for lung cancer.</w:t>
      </w:r>
    </w:p>
    <w:p>
      <w:pPr>
        <w:spacing w:after="0" w:line="91" w:lineRule="exact"/>
        <w:rPr>
          <w:rFonts w:ascii="Times New Roman" w:cs="Times New Roman" w:eastAsia="Times New Roman" w:hAnsi="Times New Roman"/>
          <w:sz w:val="22"/>
          <w:szCs w:val="22"/>
          <w:color w:val="auto"/>
        </w:rPr>
      </w:pPr>
    </w:p>
    <w:p>
      <w:pPr>
        <w:jc w:val="both"/>
        <w:ind w:left="1020" w:right="10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Phase 1/2 dose expansion trial is ongoing and TNG462 continues to be very well-tolerated at 250mg once-daily (QD) and below. Safety and tolerability data as of June 16, 2025 are consistent with a best-in-class profile at 250 mg QD, the planned go-forward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ind w:right="1340"/>
        <w:spacing w:after="0" w:line="272" w:lineRule="auto"/>
        <w:rPr>
          <w:sz w:val="20"/>
          <w:szCs w:val="20"/>
          <w:color w:val="auto"/>
        </w:rPr>
      </w:pPr>
      <w:r>
        <w:rPr>
          <w:rFonts w:ascii="Arial" w:cs="Arial" w:eastAsia="Arial" w:hAnsi="Arial"/>
          <w:sz w:val="22"/>
          <w:szCs w:val="22"/>
          <w:b w:val="1"/>
          <w:bCs w:val="1"/>
          <w:color w:val="auto"/>
        </w:rPr>
        <w:t>TNG456, a next-generation brain-penetrant MTA-cooperative PRMT5 inhibitor in development for glioblastoma</w:t>
      </w:r>
    </w:p>
    <w:p>
      <w:pPr>
        <w:spacing w:after="0" w:line="23" w:lineRule="exact"/>
        <w:rPr>
          <w:sz w:val="20"/>
          <w:szCs w:val="20"/>
          <w:color w:val="auto"/>
        </w:rPr>
      </w:pPr>
    </w:p>
    <w:p>
      <w:pPr>
        <w:ind w:left="1020" w:hanging="503"/>
        <w:spacing w:after="0" w:line="239" w:lineRule="auto"/>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May, the first patient was treated with TNG456 in the dose escalation portion of the Phase 1/2 clinical trial (NCT06810544) to evaluate the safety, pharmacokinetics, pharmacodynamics and antitumor activity of TNG456 as a monotherapy. The trial is currently enrolling patients with MTAP-deleted solid tumors, with a focus on glioblastoma.</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TNG260, a first-in-class, highly selective CoREST complex inhibitor</w:t>
      </w:r>
    </w:p>
    <w:p>
      <w:pPr>
        <w:spacing w:after="0" w:line="100" w:lineRule="exact"/>
        <w:rPr>
          <w:sz w:val="20"/>
          <w:szCs w:val="20"/>
          <w:color w:val="auto"/>
        </w:rPr>
      </w:pPr>
    </w:p>
    <w:p>
      <w:pPr>
        <w:ind w:left="1020" w:right="460" w:hanging="503"/>
        <w:spacing w:after="0" w:line="244"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Proof-of-mechanism has been established for TNG260 based on pharmacodynamic data from on-treatment patient biopsies, with favorable safety, tolerability and pharmacokinetic profiles shown at the expansion dose of 80 mg QD to date.</w:t>
      </w:r>
    </w:p>
    <w:p>
      <w:pPr>
        <w:spacing w:after="0" w:line="91" w:lineRule="exact"/>
        <w:rPr>
          <w:rFonts w:ascii="Times New Roman" w:cs="Times New Roman" w:eastAsia="Times New Roman" w:hAnsi="Times New Roman"/>
          <w:sz w:val="22"/>
          <w:szCs w:val="22"/>
          <w:color w:val="auto"/>
        </w:rPr>
      </w:pPr>
    </w:p>
    <w:p>
      <w:pPr>
        <w:ind w:left="1020" w:right="20" w:hanging="503"/>
        <w:spacing w:after="0" w:line="239"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The dose expansion cohort of the TNG260 Phase 1/2 trial is ongoing in STK11-mut/RAS WT lung cancer (~10% of lung adenocarcinoma). The study is evaluating the pharmacokinetics, pharmacodynamics, safety and efficacy of TNG260 in combination with pembrolizumab in patients with an STK11 loss-of-function mutation.</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present TNG260 clinical data in the second half of 2025.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Development Update</w:t>
      </w:r>
    </w:p>
    <w:p>
      <w:pPr>
        <w:spacing w:after="0" w:line="127" w:lineRule="exact"/>
        <w:rPr>
          <w:sz w:val="20"/>
          <w:szCs w:val="20"/>
          <w:color w:val="auto"/>
        </w:rPr>
      </w:pPr>
    </w:p>
    <w:p>
      <w:pPr>
        <w:ind w:left="1020" w:right="4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and Gilead mutually agreed to truncate the research term of the collaboration and license agreement between the Company and Gilead from seven to five years, concluding the research portion of the collaboration on August 4, 2025. There is no financial penalty to the Company as a result, no licensed programs are being returned to the Company, all ongoing work at Gilead on licensed programs will continue and agreements for all future milestones and royalties remain in effect. The Company has no future research obligations and the remaining unrecognized deferred revenue balance as of June 30, 2025 of $53.8 million will be recognized as revenue in the third quarter of 2025.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Milestones</w:t>
      </w:r>
    </w:p>
    <w:p>
      <w:pPr>
        <w:spacing w:after="0" w:line="30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TNG462 monotherapy Phase 1/2 clinical data update expected in 2H 2025</w:t>
      </w:r>
    </w:p>
    <w:p>
      <w:pPr>
        <w:spacing w:after="0" w:line="9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TNG260 clinical data expected in 2H 2025</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As of June 30, 2025, the Company held $180.8 million in cash, cash equivalents and marketable securities, which the Company expects to fund operations into the first quarter of 2027.</w:t>
      </w:r>
    </w:p>
    <w:p>
      <w:pPr>
        <w:spacing w:after="0" w:line="183"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Collaboration revenue was $3.2 million for the three months ended June 30, 2025, compared to $7.8 million for the same period in 2024, and $8.6 million for the six months ended June 30, 2025,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ind w:right="140"/>
        <w:spacing w:after="0" w:line="283" w:lineRule="auto"/>
        <w:rPr>
          <w:sz w:val="20"/>
          <w:szCs w:val="20"/>
          <w:color w:val="auto"/>
        </w:rPr>
      </w:pPr>
      <w:r>
        <w:rPr>
          <w:rFonts w:ascii="Arial" w:cs="Arial" w:eastAsia="Arial" w:hAnsi="Arial"/>
          <w:sz w:val="21"/>
          <w:szCs w:val="21"/>
          <w:color w:val="auto"/>
        </w:rPr>
        <w:t>to $14.2 million for the same period in 2024. Research costs incurred under the collaboration were lower during the three and six months ended June 30, 2025, which resulted in lower collaboration revenue amounts recognized.</w:t>
      </w:r>
    </w:p>
    <w:p>
      <w:pPr>
        <w:spacing w:after="0" w:line="160"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There was no license revenue for the three and six months ended June 30, 2025, compared to $12.1 million for both the three and six months ended June 30, 2024. The decrease is primarily due to licensing a drug discovery program to Gilead for $12.0 million during the second quarter of 2024.</w:t>
      </w:r>
    </w:p>
    <w:p>
      <w:pPr>
        <w:spacing w:after="0" w:line="19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Research and development expenses were $32.8 million for the three months ended June 30, 2025, compared to $38.7 million for the same period in 2024, and $69.2 million for the six months ended June 30, 2025, compared to $76.7 million for the same period in 2024. The change is due to decreased spend on discontinued clinical programs (TNG908 and TNG348) as well as lower TNG260 and discovery program expenses. This decrease was partially offset by increased spend for the advancement of TNG462, TNG456 and TNG961.</w:t>
      </w:r>
    </w:p>
    <w:p>
      <w:pPr>
        <w:spacing w:after="0" w:line="204"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General and administrative expenses were $11.3 million for the three months ended June 30, 2025, compared to $10.8 million for the same period in 2024, and $22.8 million for the six months ended June 30, 2025, compared to $21.4 million for the same period in 2024. The change was primarily due to increased spend on personnel-related costs, facilities and IT-related costs.</w:t>
      </w:r>
    </w:p>
    <w:p>
      <w:pPr>
        <w:spacing w:after="0" w:line="203"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Net loss for the three months ended June 30, 2025 was $38.9 million, or $0.35 per share, compared to a net loss of $25.6 million, or $0.24 per share, in the same period in 2024. Net loss for the six months ended June 30, 2025 was $78.7 million, or $0.71 per share, compared to a net loss of $63.5 million, or $0.58 per share, in the same period in 2024.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Therapeutics</w:t>
      </w:r>
    </w:p>
    <w:p>
      <w:pPr>
        <w:spacing w:after="0" w:line="23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9" w:right="459" w:bottom="1440" w:gutter="0" w:footer="0" w:header="0"/>
        </w:sectPr>
      </w:pPr>
    </w:p>
    <w:bookmarkStart w:id="6" w:name="page7"/>
    <w:bookmarkEnd w:id="6"/>
    <w:p>
      <w:pPr>
        <w:spacing w:after="0" w:line="242" w:lineRule="auto"/>
        <w:rPr>
          <w:sz w:val="20"/>
          <w:szCs w:val="20"/>
          <w:color w:val="auto"/>
        </w:rPr>
      </w:pPr>
      <w:r>
        <w:rPr>
          <w:rFonts w:ascii="Arial" w:cs="Arial" w:eastAsia="Arial" w:hAnsi="Arial"/>
          <w:sz w:val="21"/>
          <w:szCs w:val="21"/>
          <w:color w:val="auto"/>
        </w:rPr>
        <w:t>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Weber's statements in this press release and statements regarding: (i) the potential of the Company’s PRMT5 molecules, as both standalone treatments and in combination with RAS(ON)-inhibitors, including our belief that TNG462 has the potential to play a major role in treating patients with MTAP-del cancers; (ii) the preclinical research of the Company’s PRMT5 inhibitors, as a monotherapy and in combination, and the expectation that they may pave the way for future development opportunities, including our expectation that the combination of TNG462 with RAS(ON) inhibitors may be an important new therapy for RAS-mut, MTAP-del cancers; (iii) expectations regarding the anticipated benefits of our molecules; (iv) expectations for TNG462, including our plans to present efficacy and tolerability data from the ongoing TNG462 monotherapy in the second half of 2025 (with a focus on pancreatic and lung cancer) and our belief that TNG462 has the potential to be a best-in-class PRMT5 inhibitor for the treatment of MTAP-del pancreatic and lung cancers; (v) beliefs regarding the ability of the ongoing TNG462 clinical trial to inform the initiation of a registrational trial in pancreatic cancer next year and our development strategy in lung cancer; (vi) our plans and timing for combination trials, including the ongoing Phase 1/2 clinical trial of TNG462 with each of two RAS(ON) inhibitors from Revolution Medicines; (vii) the timing of our Phase 1/2 clinical trial in TNG456; (viii) our anticipated cash runway, including the impact of cost-saving initiatives; and (ix) the expected timing of: (a) development candidate declaration for certain targets; (b) initiating IND-enabling studies; (c) filing INDs; (d) clinical trial initiation, enrollment, dose escalation and dose expansion (including for combination studies); (e) disclosing initial, interim, updated, additional and final clinical trial results (including for combination studies), including expectations to present clinical updates for TNG462 and TNG260 in the second half of 2025; and (f) the expected benefits of the Company's development candidates and other product candidates.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line="242" w:lineRule="auto"/>
        <w:rPr>
          <w:sz w:val="20"/>
          <w:szCs w:val="20"/>
          <w:color w:val="auto"/>
        </w:rPr>
      </w:pPr>
      <w:r>
        <w:rPr>
          <w:rFonts w:ascii="Arial" w:cs="Arial" w:eastAsia="Arial" w:hAnsi="Arial"/>
          <w:sz w:val="21"/>
          <w:szCs w:val="21"/>
          <w:color w:val="auto"/>
        </w:rPr>
        <w:t>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 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8" w:name="page9"/>
    <w:bookmarkEnd w:id="8"/>
    <w:p>
      <w:pPr>
        <w:spacing w:after="0" w:line="247" w:lineRule="auto"/>
        <w:rPr>
          <w:sz w:val="20"/>
          <w:szCs w:val="20"/>
          <w:color w:val="auto"/>
        </w:rPr>
      </w:pPr>
      <w:r>
        <w:rPr>
          <w:rFonts w:ascii="Arial" w:cs="Arial" w:eastAsia="Arial" w:hAnsi="Arial"/>
          <w:sz w:val="21"/>
          <w:szCs w:val="21"/>
          <w:color w:val="auto"/>
        </w:rPr>
        <w:t>new therapeutic candidates; our success depends on our ability to obtain and maintain patent and other proprietary protection for our technology and product candidates; and the scope of 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Elizabeth Hickin</w:t>
      </w:r>
    </w:p>
    <w:p>
      <w:pPr>
        <w:spacing w:after="0" w:line="230" w:lineRule="auto"/>
        <w:rPr>
          <w:sz w:val="20"/>
          <w:szCs w:val="20"/>
          <w:color w:val="auto"/>
        </w:rPr>
      </w:pPr>
      <w:r>
        <w:rPr>
          <w:rFonts w:ascii="Arial" w:cs="Arial" w:eastAsia="Arial" w:hAnsi="Arial"/>
          <w:sz w:val="22"/>
          <w:szCs w:val="22"/>
          <w:color w:val="0000FF"/>
        </w:rPr>
        <w:t>IR@tangotx.com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9" w:right="459" w:bottom="1440" w:gutter="0" w:footer="0" w:header="0"/>
        </w:sectPr>
      </w:pPr>
    </w:p>
    <w:bookmarkStart w:id="9" w:name="page10"/>
    <w:bookmarkEnd w:id="9"/>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3"/>
                <w:szCs w:val="13"/>
                <w:color w:val="auto"/>
              </w:rPr>
            </w:pPr>
          </w:p>
        </w:tc>
        <w:tc>
          <w:tcPr>
            <w:tcW w:w="26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(40,967)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(29,552)</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(83,497)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(71,807)</w:t>
            </w:r>
          </w:p>
        </w:tc>
        <w:tc>
          <w:tcPr>
            <w:tcW w:w="0" w:type="dxa"/>
            <w:vAlign w:val="bottom"/>
          </w:tcPr>
          <w:p>
            <w:pPr>
              <w:spacing w:after="0"/>
              <w:rPr>
                <w:sz w:val="1"/>
                <w:szCs w:val="1"/>
                <w:color w:val="auto"/>
              </w:rPr>
            </w:pPr>
          </w:p>
        </w:tc>
      </w:tr>
      <w:tr>
        <w:trPr>
          <w:trHeight w:val="210"/>
        </w:trPr>
        <w:tc>
          <w:tcPr>
            <w:tcW w:w="53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(25,486)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(78,660)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(63,360)</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(38,853)</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(25,551)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(78,729)</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(63,465)</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98"/>
        </w:trPr>
        <w:tc>
          <w:tcPr>
            <w:tcW w:w="5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110,540,836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110,494,397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108,692,822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70"/>
        </w:trPr>
        <w:tc>
          <w:tcPr>
            <w:tcW w:w="5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-3188335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-3188335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-3188335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-2622550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-2622550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-2622550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-2331085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-2331085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-2331085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-1756410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-1756410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-1756410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Pr>
          <w:p>
            <w:pPr>
              <w:spacing w:after="0"/>
              <w:rPr>
                <w:sz w:val="15"/>
                <w:szCs w:val="15"/>
                <w:color w:val="auto"/>
              </w:rPr>
            </w:pPr>
          </w:p>
        </w:tc>
        <w:tc>
          <w:tcPr>
            <w:tcW w:w="1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60" w:type="dxa"/>
            <w:vAlign w:val="bottom"/>
            <w:shd w:val="clear" w:color="auto" w:fill="CFF0FC"/>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39,272</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69,530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141,513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190,100</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266,343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6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237,890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60" w:type="dxa"/>
            <w:vAlign w:val="bottom"/>
            <w:shd w:val="clear" w:color="auto" w:fill="CFF0FC"/>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23,374</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40,025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100" w:type="dxa"/>
            <w:vAlign w:val="bottom"/>
            <w:shd w:val="clear" w:color="auto" w:fill="CFF0FC"/>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34,039</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30,437</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102,936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116,975</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6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237,890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7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-2785745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-1207770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2025-08-05T06:11:34Z</dcterms:created>
  <dcterms:modified xsi:type="dcterms:W3CDTF">2025-08-05T06:11:34Z</dcterms:modified>
</cp:coreProperties>
</file>