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Times New Roman" w:cs="Times New Roman" w:eastAsia="Times New Roman" w:hAnsi="Times New Roman"/>
          <w:sz w:val="17"/>
          <w:szCs w:val="17"/>
          <w:b w:val="1"/>
          <w:bCs w:val="1"/>
          <w:color w:val="auto"/>
        </w:rPr>
        <w:t>Filed Pursuant to Rule 424(b)(4)</w:t>
      </w: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333-240237</w:t>
      </w:r>
    </w:p>
    <w:p>
      <w:pPr>
        <w:spacing w:after="0" w:line="200" w:lineRule="exact"/>
        <w:rPr>
          <w:sz w:val="24"/>
          <w:szCs w:val="24"/>
          <w:color w:val="auto"/>
        </w:rPr>
      </w:pPr>
    </w:p>
    <w:p>
      <w:pPr>
        <w:sectPr>
          <w:pgSz w:w="11900" w:h="16838" w:orient="portrait"/>
          <w:cols w:equalWidth="0" w:num="2">
            <w:col w:w="8040" w:space="720"/>
            <w:col w:w="2480"/>
          </w:cols>
          <w:pgMar w:left="320" w:top="225" w:right="339" w:bottom="1440" w:gutter="0" w:footer="0" w:header="0"/>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$145,000,000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14,500,000 SHARES OF COMMON STOCK</w:t>
      </w:r>
    </w:p>
    <w:p>
      <w:pPr>
        <w:sectPr>
          <w:pgSz w:w="11900" w:h="16838" w:orient="portrait"/>
          <w:cols w:equalWidth="0" w:num="1">
            <w:col w:w="11240"/>
          </w:cols>
          <w:pgMar w:left="320" w:top="225" w:right="339" w:bottom="1440" w:gutter="0" w:footer="0" w:header="0"/>
          <w:type w:val="continuous"/>
        </w:sectPr>
      </w:pPr>
    </w:p>
    <w:p>
      <w:pPr>
        <w:spacing w:after="0" w:line="241"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BCTG Acquisition Corp., which we refer to as “we,” “us” or “our company,” is a newly organized blank check company incorporated in Delaware and formed for the purpose of entering into a merger, share exchange, asset acquisition, stock purchase, recapitalization, reorganization or other similar business combination with one or more businesses or entities, which we refer to throughout this prospectus as our “initial business combination.” Although we are not limited to a particular industry or geographic region for purposes of consummating an initial business combination, we intend to focus on businesses that have their primary operations located in North America and Europe in the biotechnology industry.</w:t>
      </w:r>
    </w:p>
    <w:p>
      <w:pPr>
        <w:spacing w:after="0" w:line="183"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is the initial public offering of our common stock, $0.0001 par value, at an initial public offering price of $10.00 per share. Unlike certain other SPAC initial public offerings, investors in this offering will not receive warrants that would become exercisable following completion of our initial business combination.</w:t>
      </w:r>
    </w:p>
    <w:p>
      <w:pPr>
        <w:spacing w:after="0" w:line="176"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granted SVB Leerink LLC a 45-day option to purchase up to an additional 2,175,000 shares (over and above the 14,500,000 shares referred to above) solely to cover over-allotments, if any.</w:t>
      </w:r>
    </w:p>
    <w:p>
      <w:pPr>
        <w:spacing w:after="0" w:line="162" w:lineRule="exact"/>
        <w:rPr>
          <w:sz w:val="24"/>
          <w:szCs w:val="24"/>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provide the holders of our outstanding shares of common stock that were sold in this offering with the opportunity to redeem their shares of common stock upon the consummation of our initial business combination at a per-share price, payable in cash, equal to the aggregate amount then on deposit in the trust account described below, including interest (net of taxes payable), divided by the number of then outstanding shares of common stock that were sold in this offering, which we refer to as our “public shares.”</w:t>
      </w:r>
    </w:p>
    <w:p>
      <w:pPr>
        <w:spacing w:after="0" w:line="180"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24 months to consummate our initial business combination. If we are unable to consummate our initial business combination within the above time period, we will distribute the aggregate amount then on deposit in the trust account, pro rata to our public stockholders, by way of the redemption of their shares and thereafter cease all operations except for the purposes of winding up of our affairs, as further described herein.</w:t>
      </w:r>
    </w:p>
    <w:p>
      <w:pPr>
        <w:spacing w:after="0" w:line="176" w:lineRule="exact"/>
        <w:rPr>
          <w:sz w:val="24"/>
          <w:szCs w:val="24"/>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BCTG Holdings, LLC, our sponsor, has committed to purchase from us an aggregate of 490,000 shares of common stock (or 533,500 shares if the underwriter’s over-allotment option is exercised in full) at a price of $10.00 per share ($4,900,000 in the aggregate, or $5,335,000 in the aggregate if the underwriter’s over-allotment option is exercised in full), in a private placement that will close simultaneously with the closing of this offering (the “Private Placement Shares”).</w:t>
      </w:r>
    </w:p>
    <w:p>
      <w:pPr>
        <w:spacing w:after="0" w:line="180" w:lineRule="exact"/>
        <w:rPr>
          <w:sz w:val="24"/>
          <w:szCs w:val="24"/>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sponsor has entered into an agreement with us to purchase an aggregate of 2,500,000 shares of common stock for an aggregate purchase price of $25,000,000, or $10.00 per share, prior to, concurrently with, or following the closing of our business combination in a private placement. The shares of common stock issuable pursuant to the forward purchase agreement will be identical to the shares of common stock being sold in this offering, except that the holders thereof will have certain registration rights as described herein. The capital from such transaction may be used as part of the consideration to the sellers in our initial business combination, and any excess capital from such private placement would be used for working capital in the post-transaction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4, 2020, BCTG Holdings, LLC, our sponsor, purchased 3,593,750 shares for an aggregate purchase price of $25,000. On September 2, 2020, we declared a dividend of 0.16 shares for each outstanding share (an aggregate of 575,000 shares), resulting in an aggregate of 4,168,750 shares outstanding, which we refer to herein as “founder shares” or “insider shares”. The founder shares include an aggregate of up to 543,750 shares that are subject to forfeiture to the extent that the underwriter’s over-allotment option is not exercised in full or in part.</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is presently no public market for our common stock. Our common stock has been approved for listing on the Nasdaq Capital Market, or Nasdaq, under the symbol “BCTG” on or promptly after the date of this prospectus.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and will therefore be subject to reduced public company reporting requirements.</w:t>
      </w:r>
    </w:p>
    <w:p>
      <w:pPr>
        <w:spacing w:after="0" w:line="15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See “Risk Factors” beginning on page 19 of this prospectus for a discussion of information that should be considered in connection with an investment in our common stock.</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Underwriting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Proceeds,</w:t>
            </w:r>
          </w:p>
        </w:tc>
        <w:tc>
          <w:tcPr>
            <w:tcW w:w="0" w:type="dxa"/>
            <w:vAlign w:val="bottom"/>
          </w:tcPr>
          <w:p>
            <w:pPr>
              <w:spacing w:after="0"/>
              <w:rPr>
                <w:sz w:val="1"/>
                <w:szCs w:val="1"/>
                <w:color w:val="auto"/>
              </w:rPr>
            </w:pPr>
          </w:p>
        </w:tc>
      </w:tr>
      <w:tr>
        <w:trPr>
          <w:trHeight w:val="184"/>
        </w:trPr>
        <w:tc>
          <w:tcPr>
            <w:tcW w:w="7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rPr>
              <w:t>Before</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Price to</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Discounts and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0" w:type="dxa"/>
            <w:vAlign w:val="bottom"/>
          </w:tcPr>
          <w:p>
            <w:pPr>
              <w:spacing w:after="0"/>
              <w:rPr>
                <w:sz w:val="1"/>
                <w:szCs w:val="1"/>
                <w:color w:val="auto"/>
              </w:rPr>
            </w:pPr>
          </w:p>
        </w:tc>
      </w:tr>
      <w:tr>
        <w:trPr>
          <w:trHeight w:val="277"/>
        </w:trPr>
        <w:tc>
          <w:tcPr>
            <w:tcW w:w="7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400" w:type="dxa"/>
            <w:vAlign w:val="bottom"/>
            <w:gridSpan w:val="3"/>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Commissions</w:t>
            </w:r>
            <w:r>
              <w:rPr>
                <w:rFonts w:ascii="Times New Roman" w:cs="Times New Roman" w:eastAsia="Times New Roman" w:hAnsi="Times New Roman"/>
                <w:sz w:val="29"/>
                <w:szCs w:val="29"/>
                <w:b w:val="1"/>
                <w:bCs w:val="1"/>
                <w:color w:val="auto"/>
                <w:vertAlign w:val="superscript"/>
              </w:rPr>
              <w:t>(1)</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 us</w:t>
            </w:r>
          </w:p>
        </w:tc>
        <w:tc>
          <w:tcPr>
            <w:tcW w:w="0" w:type="dxa"/>
            <w:vAlign w:val="bottom"/>
          </w:tcPr>
          <w:p>
            <w:pPr>
              <w:spacing w:after="0"/>
              <w:rPr>
                <w:sz w:val="1"/>
                <w:szCs w:val="1"/>
                <w:color w:val="auto"/>
              </w:rPr>
            </w:pPr>
          </w:p>
        </w:tc>
      </w:tr>
      <w:tr>
        <w:trPr>
          <w:trHeight w:val="216"/>
        </w:trPr>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145,000,000</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7,975,000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137,025,000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hanging="332"/>
        <w:spacing w:after="0" w:line="25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$5,075,000, or $0.35 per share, equal to 3.5% of the gross proceeds of this offering (or $5,836,250 if the underwriter’s over-allotment option is exercised in full) payable to the underwriter as deferred underwriting discounts and commissions from the funds to be placed in the trust account described below. Such funds will be released to the underwriter only upon consummation of an initial business combination, as described in this prospectus. If the business combination is not consummated, such deferred discount will be forfeited by the underwriter. The underwriter will not be entitled to any interest accrued on the deferred underwriting discount.</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consummation of the offering, $10.00 per share sold to the public in this offering (whether or not the over-allotment option has been exercised in full or part) will be deposited into a United States-based trust account at Morgan Stanley, N.A., with Continental Stock Transfer &amp; Trust Company acting as trustee. Such amount includes $5,075,000, or $0.35 per share (or $5,836,250 if the underwriters’ over-allotment option is exercised in full) payable to the underwriters as deferred underwriting discounts and commissions. Except as described in this prospectus, these funds will not be released to us until the earlier of the completion of our initial business combination and our redemption of the public shares upon our failure to consummate a business combination within the required period.</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underwriters are offering the common stock on a firm commitment basis. SVB Leerink LLC, acting as the representative of the underwriters, expects to deliver the common stock to purchasers on or about September 8, 2020.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Sole Bookrunning Manager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SVB Leerink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40" w:type="dxa"/>
            <w:vAlign w:val="bottom"/>
          </w:tcPr>
          <w:p>
            <w:pPr>
              <w:ind w:left="4440"/>
              <w:spacing w:after="0"/>
              <w:rPr>
                <w:sz w:val="20"/>
                <w:szCs w:val="20"/>
                <w:color w:val="auto"/>
              </w:rPr>
            </w:pPr>
            <w:r>
              <w:rPr>
                <w:rFonts w:ascii="Times New Roman" w:cs="Times New Roman" w:eastAsia="Times New Roman" w:hAnsi="Times New Roman"/>
                <w:sz w:val="18"/>
                <w:szCs w:val="18"/>
                <w:b w:val="1"/>
                <w:bCs w:val="1"/>
                <w:color w:val="auto"/>
              </w:rPr>
              <w:t>BCTG ACQUISITION CORP.</w:t>
            </w:r>
          </w:p>
        </w:tc>
        <w:tc>
          <w:tcPr>
            <w:tcW w:w="1000" w:type="dxa"/>
            <w:vAlign w:val="bottom"/>
          </w:tcPr>
          <w:p>
            <w:pPr>
              <w:spacing w:after="0"/>
              <w:rPr>
                <w:sz w:val="20"/>
                <w:szCs w:val="20"/>
                <w:color w:val="auto"/>
              </w:rPr>
            </w:pPr>
          </w:p>
        </w:tc>
      </w:tr>
      <w:tr>
        <w:trPr>
          <w:trHeight w:val="432"/>
        </w:trPr>
        <w:tc>
          <w:tcPr>
            <w:tcW w:w="1024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4"/>
                <w:szCs w:val="24"/>
                <w:color w:val="auto"/>
              </w:rPr>
            </w:pPr>
          </w:p>
        </w:tc>
      </w:tr>
      <w:tr>
        <w:trPr>
          <w:trHeight w:val="452"/>
        </w:trPr>
        <w:tc>
          <w:tcPr>
            <w:tcW w:w="102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SUMMARY</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SUMMARY FINANCIAL DATA</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RISK FACTORS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CAUTIONARY NOTE REGARDING FORWARD-LOOKING STATEMENTS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USE OF PROCEEDS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DIVIDEND POLICY</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DILUTION</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CAPITALIZATION</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PROPOSED BUSINESS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MANAGEMENT</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PRINCIPAL STOCKHOLDERS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CERTAIN TRANSACTIONS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DESCRIPTION OF SECURITIES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SECURITIES ELIGIBLE FOR FUTURE SALE</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91">
              <w:r>
                <w:rPr>
                  <w:rFonts w:ascii="Times New Roman" w:cs="Times New Roman" w:eastAsia="Times New Roman" w:hAnsi="Times New Roman"/>
                  <w:sz w:val="18"/>
                  <w:szCs w:val="18"/>
                  <w:u w:val="single" w:color="auto"/>
                  <w:color w:val="0000EE"/>
                </w:rPr>
                <w:t>UNDERWRITING (CONFLICTS OF INTEREST)</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LEGAL MATTERS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EXPERTS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WHERE YOU CAN FIND ADDITIONAL INFORMATION</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r>
      <w:tr>
        <w:trPr>
          <w:trHeight w:val="234"/>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INDEX TO FINANCIAL STATEMENTS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7118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0730" cy="7118985"/>
                    </a:xfrm>
                    <a:prstGeom prst="rect">
                      <a:avLst/>
                    </a:prstGeom>
                    <a:noFill/>
                  </pic:spPr>
                </pic:pic>
              </a:graphicData>
            </a:graphic>
          </wp:anchor>
        </w:drawing>
        <w:t>SUMMARY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Unless otherwise stated in this prospectus:</w:t>
      </w:r>
    </w:p>
    <w:p>
      <w:pPr>
        <w:spacing w:after="0" w:line="180" w:lineRule="exact"/>
        <w:rPr>
          <w:sz w:val="20"/>
          <w:szCs w:val="20"/>
          <w:color w:val="auto"/>
        </w:rPr>
      </w:pPr>
    </w:p>
    <w:p>
      <w:pPr>
        <w:ind w:left="660" w:hanging="329"/>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“us” “our” or “our company” refers to BCTG Acquisition Corp.;</w:t>
      </w:r>
    </w:p>
    <w:p>
      <w:pPr>
        <w:spacing w:after="0" w:line="225" w:lineRule="exact"/>
        <w:rPr>
          <w:rFonts w:ascii="Times New Roman" w:cs="Times New Roman" w:eastAsia="Times New Roman" w:hAnsi="Times New Roman"/>
          <w:sz w:val="18"/>
          <w:szCs w:val="18"/>
          <w:i w:val="1"/>
          <w:iCs w:val="1"/>
          <w:color w:val="auto"/>
        </w:rPr>
      </w:pPr>
    </w:p>
    <w:p>
      <w:pPr>
        <w:ind w:left="660" w:hanging="329"/>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“directors” refers to our current directors and director nominees named in this prospectus;</w:t>
      </w:r>
    </w:p>
    <w:p>
      <w:pPr>
        <w:spacing w:after="0" w:line="225" w:lineRule="exact"/>
        <w:rPr>
          <w:rFonts w:ascii="Times New Roman" w:cs="Times New Roman" w:eastAsia="Times New Roman" w:hAnsi="Times New Roman"/>
          <w:sz w:val="18"/>
          <w:szCs w:val="18"/>
          <w:i w:val="1"/>
          <w:iCs w:val="1"/>
          <w:color w:val="auto"/>
        </w:rPr>
      </w:pPr>
    </w:p>
    <w:p>
      <w:pPr>
        <w:ind w:left="660" w:right="20" w:hanging="329"/>
        <w:spacing w:after="0" w:line="284" w:lineRule="auto"/>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“initial stockholders” refers to all of our stockholders immediately prior to the date of this prospectus, including our sponsor and officers and directors to the extent they hold such shares;</w:t>
      </w:r>
    </w:p>
    <w:p>
      <w:pPr>
        <w:spacing w:after="0" w:line="158" w:lineRule="exact"/>
        <w:rPr>
          <w:rFonts w:ascii="Times New Roman" w:cs="Times New Roman" w:eastAsia="Times New Roman" w:hAnsi="Times New Roman"/>
          <w:sz w:val="18"/>
          <w:szCs w:val="18"/>
          <w:i w:val="1"/>
          <w:iCs w:val="1"/>
          <w:color w:val="auto"/>
        </w:rPr>
      </w:pPr>
    </w:p>
    <w:p>
      <w:pPr>
        <w:jc w:val="both"/>
        <w:ind w:left="660" w:right="20" w:hanging="329"/>
        <w:spacing w:after="0" w:line="267" w:lineRule="auto"/>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“founder shares” refers to the 4,168,750 shares of common stock initially issued to our sponsor (including up to an aggregate of 543,750 shares of common stock subject to forfeiture to the extent that the underwriter’s over-allotment option is not exercised in full or in part), a portion of which were transferred by our sponsor to certain of our directors, advisors and related companies;</w:t>
      </w:r>
    </w:p>
    <w:p>
      <w:pPr>
        <w:spacing w:after="0" w:line="173" w:lineRule="exact"/>
        <w:rPr>
          <w:rFonts w:ascii="Times New Roman" w:cs="Times New Roman" w:eastAsia="Times New Roman" w:hAnsi="Times New Roman"/>
          <w:sz w:val="18"/>
          <w:szCs w:val="18"/>
          <w:i w:val="1"/>
          <w:iCs w:val="1"/>
          <w:color w:val="auto"/>
        </w:rPr>
      </w:pPr>
    </w:p>
    <w:p>
      <w:pPr>
        <w:ind w:left="660" w:right="20" w:hanging="329"/>
        <w:spacing w:after="0" w:line="284" w:lineRule="auto"/>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“private shares” or refers to the shares of common stock we are selling privately to our sponsor and/or its designees upon consummation of this offering;</w:t>
      </w:r>
    </w:p>
    <w:p>
      <w:pPr>
        <w:spacing w:after="0" w:line="158" w:lineRule="exact"/>
        <w:rPr>
          <w:rFonts w:ascii="Times New Roman" w:cs="Times New Roman" w:eastAsia="Times New Roman" w:hAnsi="Times New Roman"/>
          <w:sz w:val="18"/>
          <w:szCs w:val="18"/>
          <w:i w:val="1"/>
          <w:iCs w:val="1"/>
          <w:color w:val="auto"/>
        </w:rPr>
      </w:pPr>
    </w:p>
    <w:p>
      <w:pPr>
        <w:ind w:left="660" w:hanging="329"/>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“sponsor” refers to BCTG Holdings, LLC, a Delaware limited liability company;</w:t>
      </w:r>
    </w:p>
    <w:p>
      <w:pPr>
        <w:spacing w:after="0" w:line="225" w:lineRule="exact"/>
        <w:rPr>
          <w:rFonts w:ascii="Times New Roman" w:cs="Times New Roman" w:eastAsia="Times New Roman" w:hAnsi="Times New Roman"/>
          <w:sz w:val="18"/>
          <w:szCs w:val="18"/>
          <w:i w:val="1"/>
          <w:iCs w:val="1"/>
          <w:color w:val="auto"/>
        </w:rPr>
      </w:pPr>
    </w:p>
    <w:p>
      <w:pPr>
        <w:ind w:left="660" w:hanging="329"/>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“management” or our “management team” refers to our officers and directors;</w:t>
      </w:r>
    </w:p>
    <w:p>
      <w:pPr>
        <w:spacing w:after="0" w:line="225" w:lineRule="exact"/>
        <w:rPr>
          <w:rFonts w:ascii="Times New Roman" w:cs="Times New Roman" w:eastAsia="Times New Roman" w:hAnsi="Times New Roman"/>
          <w:sz w:val="18"/>
          <w:szCs w:val="18"/>
          <w:i w:val="1"/>
          <w:iCs w:val="1"/>
          <w:color w:val="auto"/>
        </w:rPr>
      </w:pPr>
    </w:p>
    <w:p>
      <w:pPr>
        <w:jc w:val="both"/>
        <w:ind w:left="660" w:right="20" w:hanging="329"/>
        <w:spacing w:after="0" w:line="261" w:lineRule="auto"/>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term “public stockholders” means the holders of shares of common stock which are being sold in this public offering, or “public shares,” whether they are purchased in the public offering or in the aftermarket, including any of our initial stockholders to the extent that they purchase such public shares (except that our initial stockholders will not have conversion or tender rights with respect to any public shares they own); and</w:t>
      </w:r>
    </w:p>
    <w:p>
      <w:pPr>
        <w:spacing w:after="0" w:line="179" w:lineRule="exact"/>
        <w:rPr>
          <w:rFonts w:ascii="Times New Roman" w:cs="Times New Roman" w:eastAsia="Times New Roman" w:hAnsi="Times New Roman"/>
          <w:sz w:val="18"/>
          <w:szCs w:val="18"/>
          <w:i w:val="1"/>
          <w:iCs w:val="1"/>
          <w:color w:val="auto"/>
        </w:rPr>
      </w:pPr>
    </w:p>
    <w:p>
      <w:pPr>
        <w:ind w:left="660" w:hanging="329"/>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information in this prospectus assumes that the underwriters will not exercise their over-allotment option.</w:t>
      </w:r>
    </w:p>
    <w:p>
      <w:pPr>
        <w:spacing w:after="0" w:line="225"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Certain financial information contained in this prospectus has been rounded and, as a result, certain totals shown in this prospectus may not equal the arithmetic sum of the figures that should otherwise aggregate to those totals.</w:t>
      </w:r>
    </w:p>
    <w:p>
      <w:pPr>
        <w:spacing w:after="0" w:line="15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indicated, the share and per share amounts in this prospectus reflect a dividend of 0.16 shares for each outstanding share (an aggregate of 575,000 shares) on September 2, 2020.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are a newly organized blank check company incorporated in May 2020 as a Delaware corporation formed for the purpose of effecting a merger, capital stock exchange, asset acquisition, stock purchase, reorganization or similar business combination with one or more businesses, which we refer to throughout this prospectus as our initial business combination. While we may pursue an acquisition opportunity in any business, industry, sector or geographical location, we intend to focus on innovative companies in the biotechnology sector in North America and Europe in order to most effectively leverage our management team’s background and expertise.</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995" w:right="45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51987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0730" cy="5198745"/>
                    </a:xfrm>
                    <a:prstGeom prst="rect">
                      <a:avLst/>
                    </a:prstGeom>
                    <a:noFill/>
                  </pic:spPr>
                </pic:pic>
              </a:graphicData>
            </a:graphic>
          </wp:anchor>
        </w:drawing>
        <w:t>To date, our efforts have been limited to organizational activities as well as activities related to this offering. We have generated no operating revenues to date, and we do not expect that we will generate operating revenues until we consummate our initial business combination. We have not selected any specific business combination target, and we have not, nor has anyone on our behalf, initiated any substantive discussions, directly or indirectly, with any business combination target.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Sponsor and Competitive Advantages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sponsor is an affiliate of Boxer Capital, LLC, or Boxer Capital, a private biopharmaceutical investment firm based in San Diego, California. Boxer Capital and its affiliated funds manage over $2.2 billion in assets as of July 14, 2020. Boxer Capital was founded in 2005 with approximately $6 million in seed capital from its managing founders and Tavistock Group, which is the family office of Joseph C. Lewis. Since its inception, Boxer Capital has almost exclusively focused on investment in therapeutics. Over 80% of Boxer Capital’s current asset base has been generated by fund performance. Boxer Capital has generated a 7500% cumulative 15-year return with an annualized IRR of 34.3%, including three-, five- and seven-year annualized IRRs of 69.7%, 46.9%, and 51.4%, respectively, since inception in November 2005.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Today, Tavistock Group remains the majority investor in Boxer Capital and the only significant investor besides the founding management team. Due to its majority ownership by a single investor, Boxer Capital is able to make investment decisions based on long-term value creation without the short-term distractions of fundraising or redemptions. Boxer Capital invests in the entire drug development lifecycle from early-stage preclinical discovery assets to late-stage clinical and commercial stage companies. Aaron Davis, our Chief Executive Officer and Chairman, and Christopher Fuglesang, our President, are among the co-founders of Boxer Capital and serve as its Chief Executive Officer and Managing Director, respectively.</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Boxer Capital’s investment focus is on identifying new therapeutics that will improve patient care and outcomes and investing behind these opportunities to fund their advancement. While more than 75% of Boxer Capital’s invested capital is in public corporations at any given time, the team spends a significant amount of its time reviewing private investment opportunities. Through its experience over many of years investing in therapeutics, Boxer Capital believes that there are important advantages to evaluating companies in the early stage of their development. Investing early allows Boxer Capital to learn about an asset and a management team before they become public and track their growth for subsequent consideration. Many of Boxer Capital’s largest historical and present public positions, such as Avexis, Inc, Beigene Inc., and Blueprint Medicines Corp., were built over time from pre-initial public offering investments utilizing this “crossover investing” approach. Since 2018, Boxer Capital has evaluated hundreds of private companies per year, while investing approximately $300 million in 29 private companies, 18 of which are now publicly traded. In 2020, nine of Boxer Capital’s portfolio companies have closed an initial public offering: Avidity Biosciences, Inc., Black Diamond Therapeutics, Inc., iTeos Therapeutics, Inc., Nurix Pharmaceuticals, Inc., Pandion Therapeutics, Inc., Passage Bio, Inc., Poseida Therapeutics, Inc., Relay Therapeutics, Inc., and Revolution Medicines, Inc. Boxer Capital was the lead investor for the private crossover round in four of these nine initial public offerings and has been the lead investor in nine private financings since 2018. Boxer Capital has invested substantial time and money in new company formation projects centered around licensing promising agents from pharmaceutical companies and pairing these assets with world-class managers and operators to help seed company formation. Boxer Capital has formed and/or recapitalized and rebuilt three publicly traded companies since inception, demonstrating the level of experience and direction the team can provide alongside funding to a potential combination partner.</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999" w:right="459" w:bottom="1440" w:gutter="0" w:footer="0" w:header="0"/>
        </w:sectPr>
      </w:pPr>
    </w:p>
    <w:bookmarkStart w:id="5" w:name="page6"/>
    <w:bookmarkEnd w:id="5"/>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69818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0730" cy="6981825"/>
                    </a:xfrm>
                    <a:prstGeom prst="rect">
                      <a:avLst/>
                    </a:prstGeom>
                    <a:noFill/>
                  </pic:spPr>
                </pic:pic>
              </a:graphicData>
            </a:graphic>
          </wp:anchor>
        </w:drawing>
        <w:t>A fundamental area of strength for Boxer Capital has been targeted oncology, having focused on investing in this sector of healthcare for most of the last ten years. For example, Boxer Capital has led an active effort in recapitalizing and repositioning Mirati Therapeutics, Inc. since 2012 when it was MethylGene Inc., playing an important strategic and financial role over the years with its board seat and ownership level to assist the company with its re-focus on an internally developed pipeline of KRAS inhibitor assets, alongside the repositioning of later-stage clinical assets like sitravatinib. Boxer Capital has also made large traditional investments in targeted oncology companies like Immunomedics, Inc., Ignyta Inc. (acquired by Roche in 2017), Loxo Oncology, Inc. (acquired by Eli Lilly and Company in 2019) and Array BioPharma Inc. (acquired by Pfizer in 2019). In addition to investments in already-public companies, Boxer Capital has made multiple investments in private targeted oncology companies that are now among the sector’s most promising public companies, including BeiGene, Inc., Odonate Therapeutics, Inc., SpringWorks Therapeutics, Inc., Revolution Medicines, Inc., Black Diamond Therapeutics, Inc. and Relay Therapeutics, Inc. Over time, with this heavy focus on investing in targeted oncology, Boxer Capital has built a network of research scientists, chemists, physicians, and other experts in areas like manufacturing, intellectual property and food and drug regulations who have expertise in targeted oncology and can be called upon as needed to assist with diligence. To further bolster our support in this area, we have assembled a board of individuals who each have particular expertise in the area of targeted oncology, among other areas. Although we may pursue an acquisition opportunity in any business, industry, or sector, we believe targeted oncology is an area of particular strength where we may have a competitive advantage in finding, evaluating and capitalizing an attractive target company.</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team at Boxer Capital is comprised of individuals with backgrounds in finance, drug development, medicine and science. The majority of the team has doctorates in medicine and science, and some have been responsible for multiple Investigational New Drug Applications and New Drug Applications. The in-house team is supplemented by a proprietary network of key opinion leaders, expert consultants, healthcare executives, and biotechnology investors. We believe their holistic approach will enable us to identify and evaluate innovative companies that can address unmet needs in healthcare.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independent directors have very broad experience within targeted oncology, spanning biology, chemistry, preclinical models and translation, clinical enrichment and development strategy, regulatory strategy, manufacturing, intellectual property, operational and management leadership within multiple successful publicly traded and previously acquired oncology companies. Our independent directors have led the discovery and clinical development of multiple targeted oncology drugs treating cancer patients worldwide. As we evaluate prospective candidates for our initial business combination, we believe that their breadth of experience will assist in our ability to source and evaluate prospective business combination candidates. After we execute our initial business combination, we believe their operational and strategic expertise will strongly support the drug development efforts of our target, as well as any potential future acquisitions and strategic transactions.</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to identifying and capitalizing an attractive target, we believe that the sector expertise and broad relationship network of our management team and board of directors will allow them to add significant value after consummation of an initial transaction by (1) providing strategic guidance on clinical development, competitive positioning, financing and partnerships, (2) assisting in the recruitment of key executives, (3) providing an investor perspective on market information and investor relations and (4) corporate governance and public company readiness.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past performance of the members of our management team, Boxer Capital or its affiliates is not a guarantee that we will be able to identify a suitable candidate for our initial business combination or of success with respect to any business combination we may consummate. You should not rely on the historical record or the performance of our management, Boxer Capital or any of its affiliates’ or managed fund’s performance as indicative of our future performance.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Management and Board of Directors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Aaron I. Davis </w:t>
      </w:r>
      <w:r>
        <w:rPr>
          <w:rFonts w:ascii="Times New Roman" w:cs="Times New Roman" w:eastAsia="Times New Roman" w:hAnsi="Times New Roman"/>
          <w:sz w:val="18"/>
          <w:szCs w:val="18"/>
          <w:color w:val="auto"/>
        </w:rPr>
        <w:t>has served as our Chief Executive Officer and Chairman of our board of directors since May 2020. Mr. Davis co-founded Boxer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(“Boxer Capital”), the healthcare arm of the Tavistock Group, where he has served as portfolio manager since 2005 and as Chief Executive Officer since 2012. At Boxer Capital, Mr. Davis is responsible for identifying, evaluating and structuring investment opportunities in private and public biotechnology companies. Mr. Davis serves as a member of the board of directors of Mirati Therapeutics, Inc. (Nasdaq:MRTX), Odonate Therapeutics, Inc. (Nasdaq:ODT), iTeos Therapeutics, Inc. (Nasdaq:ITOS), and Sojournix, Inc. and serves as the Executive Chairman of CiVi Biopharma Holdings, Inc. Prior to joining the Tavistock Group, Mr. Davis worked in the Global Healthcare Investment Banking and Private Equity Groups at UBS Warburg, LLC. Mr. Davis received an M.A. degree in biotechnology from Columbia University and a B.B.A. degree in finance from Emory University.</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999" w:right="459" w:bottom="1440" w:gutter="0" w:footer="0" w:header="0"/>
        </w:sectPr>
      </w:pPr>
    </w:p>
    <w:bookmarkStart w:id="6" w:name="page7"/>
    <w:bookmarkEnd w:id="6"/>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10730" cy="6158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0730" cy="6158865"/>
                    </a:xfrm>
                    <a:prstGeom prst="rect">
                      <a:avLst/>
                    </a:prstGeom>
                    <a:noFill/>
                  </pic:spPr>
                </pic:pic>
              </a:graphicData>
            </a:graphic>
          </wp:anchor>
        </w:drawing>
        <w:t xml:space="preserve">Christopher Fuglesang, Ph.D., J.D., </w:t>
      </w:r>
      <w:r>
        <w:rPr>
          <w:rFonts w:ascii="Times New Roman" w:cs="Times New Roman" w:eastAsia="Times New Roman" w:hAnsi="Times New Roman"/>
          <w:sz w:val="18"/>
          <w:szCs w:val="18"/>
          <w:color w:val="auto"/>
        </w:rPr>
        <w:t>has served as our President and as a member of our board of directors since May 2020. Dr. Fuglesang joined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Tavistock Group in 2005 as a vice president and was a co-founder of Boxer Capital, where he has been a managing director since 2012. At Boxer Capital, Dr. Fuglesang assists in managing the firm’s research team, deal structuring and securities compliance. Prior to joining Boxer Capital, Dr. Fuglesang was vice president at Eidogen-Sertanty, Inc., a structural proteomics software company, and an attorney at Perkins Coie LLC. Dr. Fuglesang is a member of the board of directors of Pandion Therapeutics, Inc. (Nasdaq:PAND), CiVi Biopharma Holdings, Inc. and Eidogen-Sertanty, Inc. Dr. Fuglesang served as a member of the board of directors of Kalypsys, Inc. from 2007 to 2013 and of Ambrx Inc. from 2011 to 2015. Dr. Fuglesang received a B.S. in chemistry and physics from the University of California at Los Angeles, a Ph.D. in theoretical chemical physics from the University of California at Los Angeles, and a J.D. from Boston University.</w:t>
      </w:r>
    </w:p>
    <w:p>
      <w:pPr>
        <w:spacing w:after="0" w:line="18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Michael Beauchamp </w:t>
      </w:r>
      <w:r>
        <w:rPr>
          <w:rFonts w:ascii="Times New Roman" w:cs="Times New Roman" w:eastAsia="Times New Roman" w:hAnsi="Times New Roman"/>
          <w:sz w:val="18"/>
          <w:szCs w:val="18"/>
          <w:color w:val="auto"/>
        </w:rPr>
        <w:t>has served as our Chief Financial Officer and Treasurer since May 2020. Mr. Beauchamp has served as Vice President of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Boxer Capital since January 2016, where he is responsible for the firm’s back office operations, including finance, tax, audit and administration. Prior to joining Boxer Capital, Mr. Beauchamp worked in the assurance practice at PricewaterhouseCoopers from 2012 to 2016. Mr. Beauchamp received a Bachelor of Accountancy degree from the University of San Diego.</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Andrew Ellis, M.D., J.D., </w:t>
      </w:r>
      <w:r>
        <w:rPr>
          <w:rFonts w:ascii="Times New Roman" w:cs="Times New Roman" w:eastAsia="Times New Roman" w:hAnsi="Times New Roman"/>
          <w:sz w:val="18"/>
          <w:szCs w:val="18"/>
          <w:color w:val="auto"/>
        </w:rPr>
        <w:t>has served as our Chief Operating Officer and Secretary since May 2020. Dr. Ellis has served as Senior Counsel and Head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at Boxer Capital since July 2018, where he is responsible for securities compliance, deal structuring and due diligence for investments in private and public healthcare companies. Prior to joining Boxer Capital, Dr. Ellis was a corporate and securities attorney at Wilson Sonsini Goodrich &amp; Rosati, P.C. from 2013 to 2018, where he worked with life sciences companies and investors on a variety of corporate transactions. Dr. Ellis received an M.D. and general surgery training at Baylor College of Medicine, a J.D. from New York University School of Law, and a B.S. degree in Biology from Baylor University.</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Carole L. Nuechterlein, J.D., </w:t>
      </w:r>
      <w:r>
        <w:rPr>
          <w:rFonts w:ascii="Times New Roman" w:cs="Times New Roman" w:eastAsia="Times New Roman" w:hAnsi="Times New Roman"/>
          <w:sz w:val="18"/>
          <w:szCs w:val="18"/>
          <w:color w:val="auto"/>
        </w:rPr>
        <w:t>has agreed to serve on our board of directors following the completion of this offering. Ms. Nuechterlein joined 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Hoffmann-La Roche Ltd. in 2001 and currently serves as a Deputy Director and head of Roche Venture Fund. Prior to that, from 1998 to 2001, Ms. Nuechterlein served as General Counsel for SangStat, Inc., a biopharmaceutical company. Ms. Nuechterlein has served as a member of the board of directors of Millendo Therapeutics, Inc. (Nasdaq:MLND) since March 2017. Ms. Nuechterlein serves and has served as a member of the boards of directors of a number of private biotechnology companies, including Entrada Therapeutics since April 2020, Aligos Therapeutics since August 2018, Vivet Therapeutics SAS since April 2017, CiVi BioPharma, Inc. since March 2017, Mission Therapeutics Ltd. since January 2017, Arch Oncology Inc. since August 2016 and Second Genome, Inc. since April 2016. She also served as a member of the board of directors of AveXis Inc., a biotechnology company (Nasdaq:AVXS), from October 2014 to May 2017. Ms. Nuechterlein received a B.A. from Valparaiso University and a J.D. from University of Michigan.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Richard Heyman, Ph.D., </w:t>
      </w:r>
      <w:r>
        <w:rPr>
          <w:rFonts w:ascii="Times New Roman" w:cs="Times New Roman" w:eastAsia="Times New Roman" w:hAnsi="Times New Roman"/>
          <w:sz w:val="18"/>
          <w:szCs w:val="18"/>
          <w:color w:val="auto"/>
        </w:rPr>
        <w:t>has agreed to serve on our board of directors following the completion of this offering. Dr. Heyman is chairman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and co-founder of Metacrine, Inc., a biotechnology company developing new therapeutics for the treatment of liver and gastrointestinal diseases. He also is on the board of directors of Gritstone Oncology, Inc. (Nasdaq:GRTS) and is the co-founder and chairman of the board of directors of ORIC Pharmaceuticals, Inc. (Nasdaq:ORIC). Previously, Dr. Heyman served as president and chief executive officer of Seragon Pharmaceuticals Inc., or Seragon, a privately-held biotechnology company, which was acquired by Genentech in 2014. Prior to Seragon, he co-founded and served as president and chief executive officer of Aragon Pharmaceuticals, Inc., or Aragon, until it was purchased by Johnson &amp; Johnson in 2013. Dr. Heyman is a venture partner for Arch Ventures and also serves on the boards of directors for private life sciences companies Yumanity Therapeutics, Inc., Vividion Therapeutics, Inc., PMV Pharmaceuticals, Inc. and Amunix Inc. He is Vice Chair of the Board of Trustees at the Salk Institute, on the Board Foundation for the American Association for Cancer Research, or AACR, and on the Board of Visitors at the University of California at San Diego Moores Cancer Center. Dr. Heyman received a B.S. in chemistry from the University of Connecticut and a Ph.D. in pharmacology from the University of Minnesota. He was an NIH post-doctoral fellow and staff scientist at the Salk Institute.</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995" w:right="459" w:bottom="1440" w:gutter="0" w:footer="0" w:header="0"/>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10730" cy="5764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0730" cy="5764530"/>
                    </a:xfrm>
                    <a:prstGeom prst="rect">
                      <a:avLst/>
                    </a:prstGeom>
                    <a:noFill/>
                  </pic:spPr>
                </pic:pic>
              </a:graphicData>
            </a:graphic>
          </wp:anchor>
        </w:drawing>
        <w:t xml:space="preserve">Charles M. Baum, M.D., Ph.D., </w:t>
      </w:r>
      <w:r>
        <w:rPr>
          <w:rFonts w:ascii="Times New Roman" w:cs="Times New Roman" w:eastAsia="Times New Roman" w:hAnsi="Times New Roman"/>
          <w:sz w:val="18"/>
          <w:szCs w:val="18"/>
          <w:color w:val="auto"/>
        </w:rPr>
        <w:t>has agreed to serve on our board of directors following the completion of this offering. Dr. Baum has been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Executive Officer and a member of the board of directors of Mirati Therapeutics, Inc. since November 2012. From June 2003 to September 2012, he was at Pfizer as Senior Vice President for Biotherapeutic Clinical Research within Pfizer’s Worldwide Research &amp; Development division and as Vice President and Head of Oncology Development and Chief Medical Officer for Pfizer’s Biotherapeutics and Bioinnovation Center. From 2000 to 2003, he was responsible for the development of several oncology compounds at Schering-Plough Corporation (acquired by Merck). His career has included academic and hospital positions at Stanford University and Emory University, as well as positions of increasing responsibility within the pharmaceutical industry at SyStemix, Inc. (acquired by Novartis AG), G.D. Searle &amp; Company (acquired by Pfizer), Schering-Plough Corporation (acquired by Merck) and Pfizer. Dr. Baum has served on the board of directors of Immunomedics, Inc. (Nasdaq:IMMU) since February 2019 and was on the board of directors of Array BioPharma Inc. from 2014 until its acquisition by Pfizer in July 2019. Dr. Baum received his M.D. and Ph.D. (Immunology) degrees from Washington University School of Medicine in St. Louis, Missouri and completed his post-doctoral training at Stanford University.</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Jamie G. Christensen, Ph.D., </w:t>
      </w:r>
      <w:r>
        <w:rPr>
          <w:rFonts w:ascii="Times New Roman" w:cs="Times New Roman" w:eastAsia="Times New Roman" w:hAnsi="Times New Roman"/>
          <w:sz w:val="18"/>
          <w:szCs w:val="18"/>
          <w:color w:val="auto"/>
        </w:rPr>
        <w:t>has agreed to serve on our board of directors following the completion of this offering. Dr. Christensen has been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Vice President and Chief Scientific Officer of Mirati Therapeutics, Inc. since June 2013. In his role at Mirati, he is responsible for drug discovery, translational research, drug manufacturing and companion diagnostics research and teams. While at Mirati, Dr. Christensen led activities related to the discovery and advancement of the KRAS G12C inhibitor, MRTX849, as well as the spectrum-selective receptor tyrosine kinase (RTK) inhibitor, sitravatinib, through IND and clinical development. Prior to Mirati, Dr. Christensen most recently was the head of Oncology Precision Medicine and member of the executive leadership team in the Oncology Research Unit at Pfizer. While at Pfizer, Dr Christensen led key aspects of the nonclinical and clinical development of sunitinib (Sutent®), crizotinib (Xalkori®), and palbociclib (Ibrance®). Prior to his time at Pfizer, he held positions at SUGEN/Pharmacia as a Group Leader on the Preclinical Research and Exploratory Development team. Dr. Christensen initiated his industry experience at Warner Lambert/Parke-Davis with research focus in RTK biology and pathway biomarker development in the oncology therapeutic area. Dr. Christensen received his Ph.D. focusing in Molecular Pharmacology from North Carolina State University with dissertation research directed toward characterization of mechanisms of apoptosis dysregulation during the process of carcinogenesis.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 Opportunity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biotechnology sector represents a tremendous opportunity for growth, with many promising pre-commercial companies seeking funding and guidance from knowledgeable investment firms. There are multiple trends in the sector that contribute to this growth potential, and we believe they will enable us to identify and acquire an attractive target. These trends include the following:</w:t>
      </w:r>
    </w:p>
    <w:p>
      <w:pPr>
        <w:spacing w:after="0" w:line="203" w:lineRule="exact"/>
        <w:rPr>
          <w:sz w:val="20"/>
          <w:szCs w:val="20"/>
          <w:color w:val="auto"/>
        </w:rPr>
      </w:pPr>
    </w:p>
    <w:p>
      <w:pPr>
        <w:jc w:val="both"/>
        <w:ind w:left="660" w:right="20" w:hanging="329"/>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Rising U.S. healthcare costs</w:t>
      </w:r>
      <w:r>
        <w:rPr>
          <w:rFonts w:ascii="Times New Roman" w:cs="Times New Roman" w:eastAsia="Times New Roman" w:hAnsi="Times New Roman"/>
          <w:sz w:val="18"/>
          <w:szCs w:val="18"/>
          <w:color w:val="auto"/>
        </w:rPr>
        <w:t>. According to the Centers for Medicare and Medicaid Services, or CMS, national healthcare expenditures reached $3.6 trillion in 2018 and accounted for 17.7% of the U.S. GDP. CMS projects that healthcare expenditures will grow at an average rate of 5.4% per year until 2028, when they are predicted to reach $6.2 trillion, or 20% of the U.S. GDP. We believe these budgetary pressures will support the demand for biotechnology companies that create more efficient and effective medical treatments.</w:t>
      </w:r>
    </w:p>
    <w:p>
      <w:pPr>
        <w:spacing w:after="0" w:line="179" w:lineRule="exact"/>
        <w:rPr>
          <w:rFonts w:ascii="Times New Roman" w:cs="Times New Roman" w:eastAsia="Times New Roman" w:hAnsi="Times New Roman"/>
          <w:sz w:val="18"/>
          <w:szCs w:val="18"/>
          <w:color w:val="auto"/>
        </w:rPr>
      </w:pPr>
    </w:p>
    <w:p>
      <w:pPr>
        <w:jc w:val="both"/>
        <w:ind w:left="660" w:right="20" w:hanging="329"/>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Technological progress driving innovation</w:t>
      </w:r>
      <w:r>
        <w:rPr>
          <w:rFonts w:ascii="Times New Roman" w:cs="Times New Roman" w:eastAsia="Times New Roman" w:hAnsi="Times New Roman"/>
          <w:sz w:val="18"/>
          <w:szCs w:val="18"/>
          <w:color w:val="auto"/>
        </w:rPr>
        <w:t>. Biotechnology innovation has accelerated in recent years due to new technology, including advances in computing, artificial intelligence, genetics and cellular engineering. Biotechnology companies have used these tools in many ways, particularly for breakthrough discoveries in the areas of targeted oncology, gene therapy, gene editing and cell therapy. We believe the pace of this advancement can persist and even grow, which could result in many new therapies that address unmet needs.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995" w:right="459" w:bottom="1440" w:gutter="0" w:footer="0" w:header="0"/>
        </w:sectPr>
      </w:pPr>
    </w:p>
    <w:bookmarkStart w:id="8" w:name="page9"/>
    <w:bookmarkEnd w:id="8"/>
    <w:p>
      <w:pPr>
        <w:jc w:val="both"/>
        <w:ind w:left="660" w:right="20" w:hanging="329"/>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10730" cy="6758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0730" cy="6758940"/>
                    </a:xfrm>
                    <a:prstGeom prst="rect">
                      <a:avLst/>
                    </a:prstGeom>
                    <a:noFill/>
                  </pic:spPr>
                </pic:pic>
              </a:graphicData>
            </a:graphic>
          </wp:anchor>
        </w:drawing>
        <w:t>Private and public financing activity</w:t>
      </w:r>
      <w:r>
        <w:rPr>
          <w:rFonts w:ascii="Times New Roman" w:cs="Times New Roman" w:eastAsia="Times New Roman" w:hAnsi="Times New Roman"/>
          <w:sz w:val="18"/>
          <w:szCs w:val="18"/>
          <w:color w:val="auto"/>
        </w:rPr>
        <w:t>. The biotechnology IPO “window” has long served as a bellwether for the health of the sector, and recent IPO activity has been strong. According to Renaissance Capital, there were 58 biotechnology IPOs in 2018 and 51 in 2019, raising an aggregate of $6.3 billion and $5.2 billion, respectively. As of July 14, 2020, 29 biotechnology companies have launched successful IPOs year-to-date to raise an aggregate of $4.8 billion. Encouraged by the prospect of a similar result, demand for private financings has also remained strong in 2020. These market dynamics reflect investors’ belief in the long-term growth of the biotechnology industry.</w:t>
      </w:r>
    </w:p>
    <w:p>
      <w:pPr>
        <w:spacing w:after="0" w:line="183" w:lineRule="exact"/>
        <w:rPr>
          <w:rFonts w:ascii="Times New Roman" w:cs="Times New Roman" w:eastAsia="Times New Roman" w:hAnsi="Times New Roman"/>
          <w:sz w:val="18"/>
          <w:szCs w:val="18"/>
          <w:color w:val="auto"/>
        </w:rPr>
      </w:pPr>
    </w:p>
    <w:p>
      <w:pPr>
        <w:jc w:val="both"/>
        <w:ind w:left="660" w:right="20" w:hanging="329"/>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M&amp;A activity</w:t>
      </w:r>
      <w:r>
        <w:rPr>
          <w:rFonts w:ascii="Times New Roman" w:cs="Times New Roman" w:eastAsia="Times New Roman" w:hAnsi="Times New Roman"/>
          <w:sz w:val="18"/>
          <w:szCs w:val="18"/>
          <w:color w:val="auto"/>
        </w:rPr>
        <w:t>. In recent years, large pharmaceutical companies have increasingly outsourced certain research and development functions by investing in and acquiring companies and assets to supplement their pipelines. 2019 was a particularly strong year for biotechnology mergers and acquisitions, or M&amp;A, with $217.2 billion in M&amp;A deals according to EvaluatePharma. While M&amp;A activity has slowed thus far in 2020, and the full effect of the COVID-19 pandemic is not yet determinable, we believe the need for large pharmaceutical companies to replenish their drug pipelines will persist and will continue to support growth in the biotechnology industry.</w:t>
      </w:r>
    </w:p>
    <w:p>
      <w:pPr>
        <w:spacing w:after="0" w:line="183" w:lineRule="exact"/>
        <w:rPr>
          <w:rFonts w:ascii="Times New Roman" w:cs="Times New Roman" w:eastAsia="Times New Roman" w:hAnsi="Times New Roman"/>
          <w:sz w:val="18"/>
          <w:szCs w:val="18"/>
          <w:color w:val="auto"/>
        </w:rPr>
      </w:pPr>
    </w:p>
    <w:p>
      <w:pPr>
        <w:jc w:val="both"/>
        <w:ind w:left="660" w:right="20" w:hanging="329"/>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 more accommodating FDA</w:t>
      </w:r>
      <w:r>
        <w:rPr>
          <w:rFonts w:ascii="Times New Roman" w:cs="Times New Roman" w:eastAsia="Times New Roman" w:hAnsi="Times New Roman"/>
          <w:sz w:val="18"/>
          <w:szCs w:val="18"/>
          <w:color w:val="auto"/>
        </w:rPr>
        <w:t>. According to a recent article in Journal of the American Medical Association, the U.S. Food and Drug Administration, or FDA, has approved more drugs on an average annual basis in this decade than in any decade since 1990. A recent article in Nature noted that, after hitting a record-breaking 59 novel drug approvals in 2018, the FDA’s Center for Drug Evaluation and Research, or CDER, approved 48 novel drugs in 2019, which was the third largest number of approvals in the past 25 years. This is due in part to the increased use of special approval and development programs such as fast track designation, breakthrough therapy designation and accelerated approval, but it also reflects the FDA’s increased flexibility as it relates to factors like biomarkers and trial design. A continuance of this trend would support drug development efforts and investment.</w:t>
      </w:r>
    </w:p>
    <w:p>
      <w:pPr>
        <w:spacing w:after="0" w:line="188" w:lineRule="exact"/>
        <w:rPr>
          <w:rFonts w:ascii="Times New Roman" w:cs="Times New Roman" w:eastAsia="Times New Roman" w:hAnsi="Times New Roman"/>
          <w:sz w:val="18"/>
          <w:szCs w:val="18"/>
          <w:color w:val="auto"/>
        </w:rPr>
      </w:pPr>
    </w:p>
    <w:p>
      <w:pPr>
        <w:jc w:val="both"/>
        <w:ind w:left="660" w:right="20" w:hanging="329"/>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Strength despite COVID-19</w:t>
      </w:r>
      <w:r>
        <w:rPr>
          <w:rFonts w:ascii="Times New Roman" w:cs="Times New Roman" w:eastAsia="Times New Roman" w:hAnsi="Times New Roman"/>
          <w:sz w:val="18"/>
          <w:szCs w:val="18"/>
          <w:color w:val="auto"/>
        </w:rPr>
        <w:t>. The Nasdaq Biotech Index (NBI) has outperformed the general market thus far in 2020, with a 12% return for the NBI versus a 1% decline for the S&amp;P 500 as of July 14, 2020. We believe this demand is fueled in part by a renewed focus on the biotechnology sector as a result of the COVID-19 pandemic, which has served as a reminder of the important role biotechnology plays in solving global health problems. We believe this paradigm can serve as an additional tailwind for the growth of promising, innovative biopharmaceutical companies.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becoming publicly traded presents several major benefits for private biotechnology companies, including greater access to capital, more liquid securities and increased customer awareness. Furthermore, we believe an acquisition by a special purpose acquisition company with a respected management team that is well-known to a biotechnology investors and management teams can be a very attractive mechanism for accessing the public markets due to the increased deal certainty, transparency and efficiency it can provide.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Acquisition Strategy &amp; Investment Criteria</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strategy is to leverage our management team’s expertise and network of key opinion leaders, expert consultants, healthcare executives, biotechnology investors and investment bankers to identify and acquire an attractive target business in the biotechnology industry. We believe that Boxer Capital’s reputation and track record of favorable investments are an additional competitive advantage that will make us an attractive partner for companies in this competitive environment.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our overall strategy, we have identified a set of criteria by which we will evaluate prospective target businesses. While we may enter into a business combination with a company that does not meet all of these criteria, we intend to focus on companies that we believe:</w:t>
      </w:r>
    </w:p>
    <w:p>
      <w:pPr>
        <w:spacing w:after="0" w:line="189" w:lineRule="exact"/>
        <w:rPr>
          <w:sz w:val="20"/>
          <w:szCs w:val="20"/>
          <w:color w:val="auto"/>
        </w:rPr>
      </w:pPr>
    </w:p>
    <w:p>
      <w:pPr>
        <w:ind w:left="660" w:right="20" w:hanging="329"/>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identified a unique mechanism, developed a novel approach to a known mechanism, or made another scientific or technological leap that provides them with a competitive advantage versus current standard of care;</w:t>
      </w:r>
    </w:p>
    <w:p>
      <w:pPr>
        <w:spacing w:after="0" w:line="188" w:lineRule="exact"/>
        <w:rPr>
          <w:rFonts w:ascii="Times New Roman" w:cs="Times New Roman" w:eastAsia="Times New Roman" w:hAnsi="Times New Roman"/>
          <w:sz w:val="18"/>
          <w:szCs w:val="18"/>
          <w:color w:val="auto"/>
        </w:rPr>
      </w:pPr>
    </w:p>
    <w:p>
      <w:pPr>
        <w:ind w:left="660" w:right="20" w:hanging="329"/>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competent management team with the experience and skillset that is necessary to successfully develop and commercialize promising drug candidates;</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999" w:right="459" w:bottom="1440" w:gutter="0" w:footer="0" w:header="0"/>
        </w:sectPr>
      </w:pPr>
    </w:p>
    <w:bookmarkStart w:id="9" w:name="page10"/>
    <w:bookmarkEnd w:id="9"/>
    <w:p>
      <w:pPr>
        <w:ind w:left="660" w:hanging="329"/>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10730" cy="7427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0730" cy="7427595"/>
                    </a:xfrm>
                    <a:prstGeom prst="rect">
                      <a:avLst/>
                    </a:prstGeom>
                    <a:noFill/>
                  </pic:spPr>
                </pic:pic>
              </a:graphicData>
            </a:graphic>
          </wp:anchor>
        </w:drawing>
        <w:t>are attractively valued due to being overlooked, misunderstood or undercapitalized, leaving ample upside for our stockholders;</w:t>
      </w:r>
    </w:p>
    <w:p>
      <w:pPr>
        <w:spacing w:after="0" w:line="252"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thesis that can be understood and appreciated by public investors in the current environment; and</w:t>
      </w:r>
    </w:p>
    <w:p>
      <w:pPr>
        <w:spacing w:after="0" w:line="252"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benefit from our capital, guidance and network and the public market access we can provide.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criteria are not meant to be exhaustive, and our management team may adopt new or unique criteria over time and depending on each particular situation.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Private Placements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4, 2020, our sponsor purchased 3,593,750 shares for an aggregate purchase price of $25,000. In August 2020, our sponsor transferred an aggregate of 105,000 founder shares to our directors or at their direction, and an aggregate of 75,000 shares to certain persons who will act as our scientific advisors. Such transferred shares will not be subject to forfeiture in the event the underwriter’s over-allotment option is not exercised. On September 2, 2020, we declared a dividend of 0.16 shares for each outstanding share (an aggregate of 575,000 shares), resulting in an aggregate of 4,168,750 shares outstanding, which we refer to herein as “founder shares” or “insider shares.” The founder shares include an aggregate of up to 543,750 shares held by our sponsor that are subject to forfeiture to the extent that the underwriter’s over-allotment option is not exercised in full or in part, so that our initial stockholders will collectively own 20% of our issued and outstanding shares after this offering (excluding the sale of the private shares and assuming our initial stockholders do not purchase public shares in this offering). None of our initial stockholders has indicated any intention to purchase public shares in this offering.</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founder shares are identical to the public shares. However, our initial stockholders have agreed (A) to vote their founder shares in favor of any proposed business combination, (B)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24 months of the closing of this offering, unless we provide public stockholders an opportunity to redeem their public shares in conjunction with any such amendment, (C) not to redeem any shares, including founder shares into the right to receive cash from the trust account in connection with a stockholder vote to approve our proposed initial business combination or sell any shares to us in any tender offer in connection with our proposed initial business combination, and (D) that the founder shares shall not participate in any liquidating distribution upon winding up if a business combination is not consummated.</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the date of this prospectus, the founder shares will be placed into an escrow account maintained by Continental Stock Transfer &amp; Trust Company acting as escrow agent. Founder shares will not be transferred, assigned, sold or released from escrow until the earlier of (i) 1 year after the date of the consummation of our initial business combination or (ii) the date on which the closing price of our shares of common stock equals or exceeds $12.00 per share (as adjusted for stock splits, stock dividends, reorganizations and recapitalizations) for any 20 trading days within any 30-trading day period commencing at least 150 days after our initial business combination, or earlier if, subsequent to our initial business combination, we consummate a subsequent liquidation, merger, stock exchange or other similar transaction which results in all of our stockholders having the right to exchange their shares of common stock for cash, securities or other property. During the escrow period, the holders of these shares will not be able to sell or transfer their securities except (1) to any persons (including their affiliates and stockholders) participating in the private placement of the private shares, officers, directors, stockholders, employees and members of our sponsor and its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 (6) pursuant to a qualified domestic relations order, (7) by certain pledges to secure obligations incurred in connection with purchases of our securities, (8) by private sales at prices no greater than the price at which the shares were originally purchased or (9) for the cancellation of up to 543,750 shares of common stock subject to forfeiture to the extent that the underwriter’s over-allotment is not exercised in full or in part or in connection with the consummation of our initial business combination, in each case (except for clause 9 or with our prior consent) where the transferee agrees to the terms of the escrow agreement and the insider letter.</w:t>
      </w:r>
    </w:p>
    <w:p>
      <w:pPr>
        <w:spacing w:after="0" w:line="19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BCTG Holdings, LLC, our sponsor, has committed to purchase from us an aggregate of 490,000 shares of common stock (or 533,500 shares if the underwriter’s over-allotment option is exercised in full) at a price of $10.00 per share ($4,900,000 in the aggregate, or $5,335,000 in the aggregate if the underwriter’s over-allotment option is exercised in full), in a private placement that will close simultaneously with the closing of this offering.</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999" w:right="459" w:bottom="1440" w:gutter="0" w:footer="0" w:header="0"/>
        </w:sectPr>
      </w:pPr>
    </w:p>
    <w:bookmarkStart w:id="10" w:name="page11"/>
    <w:bookmarkEnd w:id="10"/>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7393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0730" cy="7393305"/>
                    </a:xfrm>
                    <a:prstGeom prst="rect">
                      <a:avLst/>
                    </a:prstGeom>
                    <a:noFill/>
                  </pic:spPr>
                </pic:pic>
              </a:graphicData>
            </a:graphic>
          </wp:anchor>
        </w:drawing>
        <w:t>The proceeds from the private placement will be added to the proceeds of this offering and placed in a trust account in the United States with Morgan Stanley, N.A., maintained by Continental Stock Transfer &amp; Trust Company, as trustee. If we do not complete our initial business combination within 24 months, the proceeds from the private placement will be included in the liquidating distribution to the holders of our public shares. The private shares are identical to the shares of common stock sold in this offering.</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sponsor has entered into an agreement with us to purchase an aggregate of 2,500,000 shares of common stock for an aggregate purchase price of $25,000,000, or $10.00 per share of common stock, prior to, concurrently with, or following the closing of our business combination in a private placement. The capital from such transaction may be used as part of the consideration to the sellers in our initial business combination, and any excess capital from such private placement would be used for working capital in the post-transaction company. If we sell shares to our sponsor (or any other investor) in connection with our initial business combination, the equity interest of investors in this offering in the combined company may be diluted and the market prices for our securities may be adversely affected. In addition, if the per share trading price of our shares of common stock is greater than the price per share paid in the private placement, the private placement will result in value dilution to you, in addition to the immediate dilution that you will experience in connection with the consummation of this offering. See “Dilution.”</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public shares of commons stock are purchased by any of our directors, officers or initial stockholders, they will be entitled to funds from the trust account to the same extent as any public stockholder upon our liquidation but will not have redemption rights related thereto.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executive offices are located at 11682 El Camino Real, Suite 320, San Diego, CA 92130, and our telephone number is (858) 400-3114.</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0" w:lineRule="exact"/>
        <w:rPr>
          <w:sz w:val="20"/>
          <w:szCs w:val="20"/>
          <w:color w:val="auto"/>
        </w:rPr>
      </w:pPr>
    </w:p>
    <w:p>
      <w:pPr>
        <w:jc w:val="both"/>
        <w:ind w:right="20" w:firstLine="324"/>
        <w:spacing w:after="0" w:line="257"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June 30, and</w:t>
      </w:r>
    </w:p>
    <w:p>
      <w:pPr>
        <w:spacing w:after="0" w:line="1" w:lineRule="exact"/>
        <w:rPr>
          <w:sz w:val="20"/>
          <w:szCs w:val="20"/>
          <w:color w:val="auto"/>
        </w:rPr>
      </w:pPr>
    </w:p>
    <w:p>
      <w:pPr>
        <w:ind w:right="20" w:firstLine="7"/>
        <w:spacing w:after="0" w:line="260" w:lineRule="auto"/>
        <w:tabs>
          <w:tab w:leader="none" w:pos="26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during the prior three-year period. References herein to “emerging growth company” will have the meaning associated with it in the JOBS Act.</w:t>
      </w:r>
    </w:p>
    <w:p>
      <w:pPr>
        <w:spacing w:after="0" w:line="1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30th, or (2) our annual revenues exceeded $100 million during such completed fiscal year and the market value of our common stock held by non-affiliates exceeds $700 million as of the prior June 30.</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date of this prospectus, we will file a Registration Statement on Form 8-A with the SEC to voluntarily register our securities under Section 12 of the Securities Exchange Act of 1934, as amended, or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999" w:right="45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508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0730" cy="5087620"/>
                    </a:xfrm>
                    <a:prstGeom prst="rect">
                      <a:avLst/>
                    </a:prstGeom>
                    <a:noFill/>
                  </pic:spPr>
                </pic:pic>
              </a:graphicData>
            </a:graphic>
          </wp:anchor>
        </w:drawing>
        <w:t>The Offering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making your decision on whether to invest in our common stock,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beginning on page 19 of this prospectus.</w:t>
      </w:r>
    </w:p>
    <w:p>
      <w:pPr>
        <w:sectPr>
          <w:pgSz w:w="11900" w:h="16838" w:orient="portrait"/>
          <w:cols w:equalWidth="0" w:num="1">
            <w:col w:w="11020"/>
          </w:cols>
          <w:pgMar w:left="420" w:top="995" w:right="45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offered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our securities and proposed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Shares of common stock issued and outstanding before this offering</w:t>
      </w:r>
    </w:p>
    <w:p>
      <w:pPr>
        <w:spacing w:after="0" w:line="15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Shares of common stock to be issued and outstanding after this offering and the sale of private shares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14,500,000 shares of common stock, at $10.00 per share.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anticipate the shares of common stock will be listed on Nasdaq under the symbol “BCTG.”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common stock is expected to begin trading on or promptly after the date of this prospectus.</w:t>
      </w:r>
    </w:p>
    <w:p>
      <w:pPr>
        <w:spacing w:after="0" w:line="16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We will file a Current Report on Form 8-K with the SEC, including an audited balance sheet, promptly upon the consummation of this offering, which is anticipated to take place two business days from the date the common stock commences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Form 8-K or a new Form 8-K to provide updated financial information to reflect the exercise of the over-allotment option.</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4,168,750</w:t>
      </w:r>
      <w:r>
        <w:rPr>
          <w:rFonts w:ascii="Times New Roman" w:cs="Times New Roman" w:eastAsia="Times New Roman" w:hAnsi="Times New Roman"/>
          <w:sz w:val="29"/>
          <w:szCs w:val="29"/>
          <w:color w:val="auto"/>
          <w:vertAlign w:val="superscript"/>
        </w:rPr>
        <w:t>(1)</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18,615,000 shares</w:t>
      </w:r>
      <w:r>
        <w:rPr>
          <w:rFonts w:ascii="Times New Roman" w:cs="Times New Roman" w:eastAsia="Times New Roman" w:hAnsi="Times New Roman"/>
          <w:sz w:val="29"/>
          <w:szCs w:val="29"/>
          <w:color w:val="auto"/>
          <w:vertAlign w:val="superscript"/>
        </w:rPr>
        <w:t>(2)</w:t>
      </w:r>
    </w:p>
    <w:p>
      <w:pPr>
        <w:spacing w:after="0" w:line="176" w:lineRule="exact"/>
        <w:rPr>
          <w:sz w:val="20"/>
          <w:szCs w:val="20"/>
          <w:color w:val="auto"/>
        </w:rPr>
      </w:pPr>
    </w:p>
    <w:p>
      <w:pPr>
        <w:sectPr>
          <w:pgSz w:w="11900" w:h="16838" w:orient="portrait"/>
          <w:cols w:equalWidth="0" w:num="2">
            <w:col w:w="4200" w:space="320"/>
            <w:col w:w="6500"/>
          </w:cols>
          <w:pgMar w:left="420" w:top="995" w:right="459" w:bottom="1440" w:gutter="0" w:footer="0" w:header="0"/>
          <w:type w:val="continuous"/>
        </w:sectPr>
      </w:pPr>
    </w:p>
    <w:p>
      <w:pPr>
        <w:ind w:left="340" w:right="20" w:hanging="333"/>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number includes an aggregate of up to 543,750 shares of common stock held by our sponsor that are subject to forfeiture if the over-allotment option is not fully exercised by the underwriters.</w:t>
      </w:r>
    </w:p>
    <w:p>
      <w:pPr>
        <w:spacing w:after="0" w:line="161" w:lineRule="exact"/>
        <w:rPr>
          <w:rFonts w:ascii="Times New Roman" w:cs="Times New Roman" w:eastAsia="Times New Roman" w:hAnsi="Times New Roman"/>
          <w:sz w:val="18"/>
          <w:szCs w:val="18"/>
          <w:color w:val="auto"/>
        </w:rPr>
      </w:pPr>
    </w:p>
    <w:p>
      <w:pPr>
        <w:ind w:left="340" w:right="20" w:hanging="333"/>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over-allotment option has not been exercised and an aggregate of 543,750 shares of common stock held by our sponsor have been forfeited. If the over-allotment option is exercised in full, there will be a total of 21,377,250 shares of common stock issued and outstanding.</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995" w:right="45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20"/>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Offering proceeds to be held in trust</w:t>
            </w: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$145,000,000 of the net proceeds of this offering (or $166,750,000 if the over-allotment</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option is exercised in full), including $4,900,000 (or $5,335,000 if the over-allotment</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option is exercised in full) we will receive from the sale of the private shares, or $10.00</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per share sold to the public in this offering, will be placed in a trust account at Morgan</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Stanley, N.A., maintained by Continental Stock Transfer &amp; Trust Company, acting as</w:t>
            </w:r>
          </w:p>
        </w:tc>
      </w:tr>
      <w:tr>
        <w:trPr>
          <w:trHeight w:val="234"/>
        </w:trPr>
        <w:tc>
          <w:tcPr>
            <w:tcW w:w="3660" w:type="dxa"/>
            <w:vAlign w:val="bottom"/>
          </w:tcPr>
          <w:p>
            <w:pPr>
              <w:spacing w:after="0"/>
              <w:rPr>
                <w:sz w:val="20"/>
                <w:szCs w:val="20"/>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trustee pursuant to an agreement to be signed on the date of this prospectus.</w:t>
            </w:r>
          </w:p>
        </w:tc>
      </w:tr>
      <w:tr>
        <w:trPr>
          <w:trHeight w:val="481"/>
        </w:trPr>
        <w:tc>
          <w:tcPr>
            <w:tcW w:w="3660" w:type="dxa"/>
            <w:vAlign w:val="bottom"/>
          </w:tcPr>
          <w:p>
            <w:pPr>
              <w:spacing w:after="0"/>
              <w:rPr>
                <w:sz w:val="24"/>
                <w:szCs w:val="24"/>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Except as set forth below, the proceeds in the trust account will not be released until the</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earlier of: (1) the completion of an initial business combination within the required time</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period and (2) our redemption of 100% of the outstanding public shares if we have not</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completed a business combination in the required time period. Therefore, unless and until</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our initial business combination is consummated, the proceeds held in the trust account</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will not be available for our use for any expenses related to this offering or expenses</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which we may incur related to the investigation and selection of a target business and the</w:t>
            </w:r>
          </w:p>
        </w:tc>
      </w:tr>
      <w:tr>
        <w:trPr>
          <w:trHeight w:val="234"/>
        </w:trPr>
        <w:tc>
          <w:tcPr>
            <w:tcW w:w="3660" w:type="dxa"/>
            <w:vAlign w:val="bottom"/>
          </w:tcPr>
          <w:p>
            <w:pPr>
              <w:spacing w:after="0"/>
              <w:rPr>
                <w:sz w:val="20"/>
                <w:szCs w:val="20"/>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negotiation of an agreement to acquire a target business.</w:t>
            </w:r>
          </w:p>
        </w:tc>
      </w:tr>
      <w:tr>
        <w:trPr>
          <w:trHeight w:val="414"/>
        </w:trPr>
        <w:tc>
          <w:tcPr>
            <w:tcW w:w="3660" w:type="dxa"/>
            <w:vAlign w:val="bottom"/>
          </w:tcPr>
          <w:p>
            <w:pPr>
              <w:spacing w:after="0"/>
              <w:rPr>
                <w:sz w:val="24"/>
                <w:szCs w:val="24"/>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w w:val="99"/>
              </w:rPr>
              <w:t>Notwithstanding the foregoing, there can be released to us, from time to time, any interest</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w w:val="99"/>
              </w:rPr>
              <w:t>earned on the funds in the trust account that we may need to pay our tax obligations. With</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this exception, expenses incurred by us may be paid prior to a business combination only</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from the net proceeds of this offering not held in the trust account of approximately</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$1,250,000 provided, however, that in order to meet our working capital needs following</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the consummation of this offering if the funds not held in the trust account are</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insufficient, our initial stockholders, officers and directors or their affiliates may, but are</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not obligated to, loan us funds, from time to time or at any time, in whatever amount they</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deem reasonable in their sole discretion. Each loan would be evidenced by a promissory</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note. The notes would either be paid upon consummation of our initial business</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combination, without interest, or, at the lender’s discretion, up to $1,500,000 of the notes</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may be converted upon consummation of our business combination into additional</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private shares at a price of $10.00 per share (which, for example, would result in the</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holders being issued 50,000 private shares if $500,000 of notes were so converted). Such</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private shares will be identical to the private shares to be issued at the closing of this</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offering. Our stockholders have approved the issuance of the private shares upon</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conversion of such notes, to the extent the holder wishes to so convert them at the time of</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the consummation of our initial business combination. If we do not complete a business</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combination, the loans will only be repaid with funds not held in the trust account, to the</w:t>
            </w:r>
          </w:p>
        </w:tc>
      </w:tr>
      <w:tr>
        <w:trPr>
          <w:trHeight w:val="234"/>
        </w:trPr>
        <w:tc>
          <w:tcPr>
            <w:tcW w:w="3660" w:type="dxa"/>
            <w:vAlign w:val="bottom"/>
          </w:tcPr>
          <w:p>
            <w:pPr>
              <w:spacing w:after="0"/>
              <w:rPr>
                <w:sz w:val="20"/>
                <w:szCs w:val="20"/>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extent available.</w:t>
            </w:r>
          </w:p>
        </w:tc>
      </w:tr>
      <w:tr>
        <w:trPr>
          <w:trHeight w:val="454"/>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Limited payments to insiders</w:t>
            </w: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Prior  to  the  consummation  of  a  business  combination,  there  will  be  no  fees,</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w w:val="99"/>
              </w:rPr>
              <w:t>reimbursements or other cash payments paid to our initial stockholders, officers, directors</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or their affiliates prior to, or for any services they render in order to effectuate, the</w:t>
            </w:r>
          </w:p>
        </w:tc>
      </w:tr>
      <w:tr>
        <w:trPr>
          <w:trHeight w:val="216"/>
        </w:trPr>
        <w:tc>
          <w:tcPr>
            <w:tcW w:w="3660" w:type="dxa"/>
            <w:vAlign w:val="bottom"/>
          </w:tcPr>
          <w:p>
            <w:pPr>
              <w:spacing w:after="0"/>
              <w:rPr>
                <w:sz w:val="18"/>
                <w:szCs w:val="18"/>
                <w:color w:val="auto"/>
              </w:rPr>
            </w:pPr>
          </w:p>
        </w:tc>
        <w:tc>
          <w:tcPr>
            <w:tcW w:w="7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consummation of a business combination (regardless of the type of transaction that it is)</w:t>
            </w:r>
          </w:p>
        </w:tc>
      </w:tr>
      <w:tr>
        <w:trPr>
          <w:trHeight w:val="234"/>
        </w:trPr>
        <w:tc>
          <w:tcPr>
            <w:tcW w:w="3660" w:type="dxa"/>
            <w:vAlign w:val="bottom"/>
          </w:tcPr>
          <w:p>
            <w:pPr>
              <w:spacing w:after="0"/>
              <w:rPr>
                <w:sz w:val="20"/>
                <w:szCs w:val="20"/>
                <w:color w:val="auto"/>
              </w:rPr>
            </w:pPr>
          </w:p>
        </w:tc>
        <w:tc>
          <w:tcPr>
            <w:tcW w:w="16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than:</w:t>
            </w:r>
          </w:p>
        </w:tc>
        <w:tc>
          <w:tcPr>
            <w:tcW w:w="566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73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   repayment of loans of up to $300,000 made to us by our sponsor;</w:t>
            </w:r>
          </w:p>
        </w:tc>
      </w:tr>
      <w:tr>
        <w:trPr>
          <w:trHeight w:val="414"/>
        </w:trPr>
        <w:tc>
          <w:tcPr>
            <w:tcW w:w="3660" w:type="dxa"/>
            <w:vAlign w:val="bottom"/>
          </w:tcPr>
          <w:p>
            <w:pPr>
              <w:spacing w:after="0"/>
              <w:rPr>
                <w:sz w:val="24"/>
                <w:szCs w:val="24"/>
                <w:color w:val="auto"/>
              </w:rPr>
            </w:pPr>
          </w:p>
        </w:tc>
        <w:tc>
          <w:tcPr>
            <w:tcW w:w="16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of $10,000 per month to an affiliate of our sponsor for office space</w:t>
            </w:r>
          </w:p>
        </w:tc>
      </w:tr>
      <w:tr>
        <w:trPr>
          <w:trHeight w:val="234"/>
        </w:trPr>
        <w:tc>
          <w:tcPr>
            <w:tcW w:w="3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related services, subject to deferral as described herein;</w:t>
            </w:r>
          </w:p>
        </w:tc>
      </w:tr>
      <w:tr>
        <w:trPr>
          <w:trHeight w:val="414"/>
        </w:trPr>
        <w:tc>
          <w:tcPr>
            <w:tcW w:w="3660" w:type="dxa"/>
            <w:vAlign w:val="bottom"/>
          </w:tcPr>
          <w:p>
            <w:pPr>
              <w:spacing w:after="0"/>
              <w:rPr>
                <w:sz w:val="24"/>
                <w:szCs w:val="24"/>
                <w:color w:val="auto"/>
              </w:rPr>
            </w:pPr>
          </w:p>
        </w:tc>
        <w:tc>
          <w:tcPr>
            <w:tcW w:w="73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   repayment of loans which may be made by our insiders, officers, directors or</w:t>
            </w:r>
          </w:p>
        </w:tc>
      </w:tr>
      <w:tr>
        <w:trPr>
          <w:trHeight w:val="216"/>
        </w:trPr>
        <w:tc>
          <w:tcPr>
            <w:tcW w:w="3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any of its or their affiliates to finance transaction costs in connection with an</w:t>
            </w:r>
          </w:p>
        </w:tc>
      </w:tr>
      <w:tr>
        <w:trPr>
          <w:trHeight w:val="234"/>
        </w:trPr>
        <w:tc>
          <w:tcPr>
            <w:tcW w:w="3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initial business combination, the terms of which have not been determined;</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7496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0730" cy="7496175"/>
                    </a:xfrm>
                    <a:prstGeom prst="rect">
                      <a:avLst/>
                    </a:prstGeom>
                    <a:noFill/>
                  </pic:spPr>
                </pic:pic>
              </a:graphicData>
            </a:graphic>
          </wp:anchor>
        </w:drawing>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1022" w:right="4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reimbursement of out-of-pocket expenses incurred by them in connection</w:t>
            </w:r>
          </w:p>
        </w:tc>
      </w:tr>
      <w:tr>
        <w:trPr>
          <w:trHeight w:val="216"/>
        </w:trPr>
        <w:tc>
          <w:tcPr>
            <w:tcW w:w="4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with certain activities on our behalf, such as identifying and investigating</w:t>
            </w:r>
          </w:p>
        </w:tc>
      </w:tr>
      <w:tr>
        <w:trPr>
          <w:trHeight w:val="234"/>
        </w:trPr>
        <w:tc>
          <w:tcPr>
            <w:tcW w:w="4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possible business targets and business combinations; and</w:t>
            </w:r>
          </w:p>
        </w:tc>
      </w:tr>
      <w:tr>
        <w:trPr>
          <w:trHeight w:val="414"/>
        </w:trPr>
        <w:tc>
          <w:tcPr>
            <w:tcW w:w="4260" w:type="dxa"/>
            <w:vAlign w:val="bottom"/>
          </w:tcPr>
          <w:p>
            <w:pPr>
              <w:spacing w:after="0"/>
              <w:rPr>
                <w:sz w:val="24"/>
                <w:szCs w:val="24"/>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repayment upon consummation of our initial business combination of any</w:t>
            </w:r>
          </w:p>
        </w:tc>
      </w:tr>
      <w:tr>
        <w:trPr>
          <w:trHeight w:val="216"/>
        </w:trPr>
        <w:tc>
          <w:tcPr>
            <w:tcW w:w="4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loans which may be made by our initial stockholders or their affiliates or our</w:t>
            </w:r>
          </w:p>
        </w:tc>
      </w:tr>
      <w:tr>
        <w:trPr>
          <w:trHeight w:val="216"/>
        </w:trPr>
        <w:tc>
          <w:tcPr>
            <w:tcW w:w="4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officers and directors to finance transaction costs in connection with an</w:t>
            </w:r>
          </w:p>
        </w:tc>
      </w:tr>
      <w:tr>
        <w:trPr>
          <w:trHeight w:val="216"/>
        </w:trPr>
        <w:tc>
          <w:tcPr>
            <w:tcW w:w="4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intended initial business combination. Up to $1,500,000 of such loans may be</w:t>
            </w:r>
          </w:p>
        </w:tc>
      </w:tr>
      <w:tr>
        <w:trPr>
          <w:trHeight w:val="216"/>
        </w:trPr>
        <w:tc>
          <w:tcPr>
            <w:tcW w:w="4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convertible into private shares at a price of $10.00 per share at the option of</w:t>
            </w:r>
          </w:p>
        </w:tc>
      </w:tr>
      <w:tr>
        <w:trPr>
          <w:trHeight w:val="234"/>
        </w:trPr>
        <w:tc>
          <w:tcPr>
            <w:tcW w:w="4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lender.</w:t>
            </w:r>
          </w:p>
        </w:tc>
      </w:tr>
      <w:tr>
        <w:trPr>
          <w:trHeight w:val="414"/>
        </w:trPr>
        <w:tc>
          <w:tcPr>
            <w:tcW w:w="4260" w:type="dxa"/>
            <w:vAlign w:val="bottom"/>
          </w:tcPr>
          <w:p>
            <w:pPr>
              <w:spacing w:after="0"/>
              <w:rPr>
                <w:sz w:val="24"/>
                <w:szCs w:val="24"/>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There is no limit on the amount of out-of-pocket expenses reimbursable by us; provided,</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however, that to the extent such expenses exceed the available proceeds not deposited in</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trust account and the interest income earned on the amounts held in the trust account</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available to us, such expenses would not be reimbursed by us unless we consummate an</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initial  business  combination.  Our  audit  committee  will  review  and  approve  all</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reimbursements and payments made to any initial stockholder or member of our</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management team, or their respective affiliates, and any reimbursements and payments</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made to members of our audit committee will be reviewed and approved by our board of</w:t>
            </w:r>
          </w:p>
        </w:tc>
      </w:tr>
      <w:tr>
        <w:trPr>
          <w:trHeight w:val="234"/>
        </w:trPr>
        <w:tc>
          <w:tcPr>
            <w:tcW w:w="4260" w:type="dxa"/>
            <w:vAlign w:val="bottom"/>
          </w:tcPr>
          <w:p>
            <w:pPr>
              <w:spacing w:after="0"/>
              <w:rPr>
                <w:sz w:val="20"/>
                <w:szCs w:val="20"/>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directors, with any interested director abstaining from such review and approval.</w:t>
            </w:r>
          </w:p>
        </w:tc>
      </w:tr>
      <w:tr>
        <w:trPr>
          <w:trHeight w:val="41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Transfer Restriction on Founder Shares and Private</w:t>
            </w: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Except as described herein, our initial stockholders have agreed not to transfer, assign or</w:t>
            </w:r>
          </w:p>
        </w:tc>
      </w:tr>
      <w:tr>
        <w:trPr>
          <w:trHeight w:val="22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Placement Shares</w:t>
            </w: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sell any of their founder shares until the earliest of (A) one year after the completion of</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our initial business combination and (B) subsequent to our initial business combination,</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(x) if the closing price of our common stock equals or exceeds $12.00 per share (as</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adjusted for share splits, share capitalizations, reorganizations, recapitalizations and the</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like) for any 20 trading days within any 30-trading day period commencing at least 150</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days after our initial business combination, or (y) the date on which we complete a</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liquidation, merger, share exchange, reorganization or other similar transaction that</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results in all of our public shareholders having the right to exchange their shares of</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common stock for cash, securities or other property. Any permitted transferees would be</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subject to the same restrictions and other agreements of our initial stockholders with</w:t>
            </w:r>
          </w:p>
        </w:tc>
      </w:tr>
      <w:tr>
        <w:trPr>
          <w:trHeight w:val="234"/>
        </w:trPr>
        <w:tc>
          <w:tcPr>
            <w:tcW w:w="4260" w:type="dxa"/>
            <w:vAlign w:val="bottom"/>
          </w:tcPr>
          <w:p>
            <w:pPr>
              <w:spacing w:after="0"/>
              <w:rPr>
                <w:sz w:val="20"/>
                <w:szCs w:val="20"/>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respect to any founder shares.</w:t>
            </w:r>
          </w:p>
        </w:tc>
      </w:tr>
      <w:tr>
        <w:trPr>
          <w:trHeight w:val="414"/>
        </w:trPr>
        <w:tc>
          <w:tcPr>
            <w:tcW w:w="4260" w:type="dxa"/>
            <w:vAlign w:val="bottom"/>
          </w:tcPr>
          <w:p>
            <w:pPr>
              <w:spacing w:after="0"/>
              <w:rPr>
                <w:sz w:val="24"/>
                <w:szCs w:val="24"/>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private placement shares will not be transferable, assignable or salable until 30 days</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after the completion of our initial business combination (except with respect to permitted</w:t>
            </w:r>
          </w:p>
        </w:tc>
      </w:tr>
      <w:tr>
        <w:trPr>
          <w:trHeight w:val="234"/>
        </w:trPr>
        <w:tc>
          <w:tcPr>
            <w:tcW w:w="4260" w:type="dxa"/>
            <w:vAlign w:val="bottom"/>
          </w:tcPr>
          <w:p>
            <w:pPr>
              <w:spacing w:after="0"/>
              <w:rPr>
                <w:sz w:val="20"/>
                <w:szCs w:val="20"/>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transferees as described herein).</w:t>
            </w:r>
          </w:p>
        </w:tc>
      </w:tr>
      <w:tr>
        <w:trPr>
          <w:trHeight w:val="414"/>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Potential revisions to agreements with insiders</w:t>
            </w: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We could seek to amend certain agreements made by our insiders disclosed in this</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prospectus without the approval of stockholders, although we have no intention to do so.</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 example, restrictions on our executives relating to the voting of securities owned by</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them, the agreement of our management team to remain with us until the closing of a</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business combination, the obligation of our management team to not propose certain</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changes to our organizational documents or the obligation of the management team and</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its affiliates to not receive any compensation in connection with a business combination</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could be modified without obtaining stockholder approval. Although stockholders would</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not be given the opportunity to redeem their shares in connection with such changes, in</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 event would we be able to modify the redemption or liquidation rights of our</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stockholders without permitting our stockholders the right to redeem their shares in</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connection with any such change. We will not agree to any such changes unless we</w:t>
            </w:r>
          </w:p>
        </w:tc>
      </w:tr>
      <w:tr>
        <w:trPr>
          <w:trHeight w:val="216"/>
        </w:trPr>
        <w:tc>
          <w:tcPr>
            <w:tcW w:w="4260" w:type="dxa"/>
            <w:vAlign w:val="bottom"/>
          </w:tcPr>
          <w:p>
            <w:pPr>
              <w:spacing w:after="0"/>
              <w:rPr>
                <w:sz w:val="18"/>
                <w:szCs w:val="18"/>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believed that such changes were in the best interests of our stockholders (for example, if</w:t>
            </w:r>
          </w:p>
        </w:tc>
      </w:tr>
      <w:tr>
        <w:trPr>
          <w:trHeight w:val="234"/>
        </w:trPr>
        <w:tc>
          <w:tcPr>
            <w:tcW w:w="4260" w:type="dxa"/>
            <w:vAlign w:val="bottom"/>
          </w:tcPr>
          <w:p>
            <w:pPr>
              <w:spacing w:after="0"/>
              <w:rPr>
                <w:sz w:val="20"/>
                <w:szCs w:val="20"/>
                <w:color w:val="auto"/>
              </w:rPr>
            </w:pPr>
          </w:p>
        </w:tc>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such a modification were necessary to complete a business combination).</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7547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0730" cy="7547610"/>
                    </a:xfrm>
                    <a:prstGeom prst="rect">
                      <a:avLst/>
                    </a:prstGeom>
                    <a:noFill/>
                  </pic:spPr>
                </pic:pic>
              </a:graphicData>
            </a:graphic>
          </wp:anchor>
        </w:drawing>
      </w: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1026"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Purchase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Times New Roman" w:cs="Times New Roman" w:eastAsia="Times New Roman" w:hAnsi="Times New Roman"/>
          <w:sz w:val="18"/>
          <w:szCs w:val="18"/>
          <w:color w:val="auto"/>
        </w:rPr>
        <w:t>Our sponsor has entered into an agreement with us to purchase at least an aggregate of 2,500,000 shares of common stock for an aggregate purchase price of $25,000,000, or $10.00 per share of common stock, prior to, concurrently with, or following the closing of our business combination in a private placement. The capital from such transaction may be used as part of the consideration to the sellers in our initial business combination, and any excess capital from such private placement would be used for working capital in the post-transaction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-1160145</wp:posOffset>
            </wp:positionV>
            <wp:extent cx="7110730" cy="5473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0730" cy="5473065"/>
                    </a:xfrm>
                    <a:prstGeom prst="rect">
                      <a:avLst/>
                    </a:prstGeom>
                    <a:noFill/>
                  </pic:spPr>
                </pic:pic>
              </a:graphicData>
            </a:graphic>
          </wp:anchor>
        </w:drawing>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connection with any proposed initial business combination, we will either (1) seek stockholder approval of such initial business combination at a meeting called for such purpose at which public stockholders may seek to convert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pro rata share of the aggregate amount then on deposit in the trust account. If we determine to engage in a tender offer, such tender offer will be structured so that each public stockholder may tender any or all of his, her or its public shares rather than some pro rata portion of his, her or its shares. If enough stockholders tender their shares so that we are unable to satisfy any applicable closing condition set forth in the definitive agreement related to our initial business combination, or we are unable to maintain net tangible assets of at least $5,000,001, we will not consummate such initial business combination. The decision as to whether we will seek stockholder approval of a proposed business combination or will allow stockholders to sell their shares to us in a tender offer will be made by us based on a variety of factors such as the timing of the transaction or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the business combination.</w:t>
      </w:r>
    </w:p>
    <w:p>
      <w:pPr>
        <w:spacing w:after="0" w:line="200" w:lineRule="exact"/>
        <w:rPr>
          <w:sz w:val="20"/>
          <w:szCs w:val="20"/>
          <w:color w:val="auto"/>
        </w:rPr>
      </w:pPr>
    </w:p>
    <w:p>
      <w:pPr>
        <w:sectPr>
          <w:pgSz w:w="11900" w:h="16838" w:orient="portrait"/>
          <w:cols w:equalWidth="0" w:num="2">
            <w:col w:w="4160" w:space="360"/>
            <w:col w:w="6480"/>
          </w:cols>
          <w:pgMar w:left="420" w:top="995" w:right="479" w:bottom="1440" w:gutter="0" w:footer="0" w:header="0"/>
        </w:sect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5" w:right="479" w:bottom="1440" w:gutter="0" w:footer="0" w:header="0"/>
          <w:type w:val="continuous"/>
        </w:sectPr>
      </w:pPr>
    </w:p>
    <w:bookmarkStart w:id="15" w:name="page16"/>
    <w:bookmarkEnd w:id="15"/>
    <w:p>
      <w:pPr>
        <w:jc w:val="both"/>
        <w:ind w:left="35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5627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0730" cy="5627370"/>
                    </a:xfrm>
                    <a:prstGeom prst="rect">
                      <a:avLst/>
                    </a:prstGeom>
                    <a:noFill/>
                  </pic:spPr>
                </pic:pic>
              </a:graphicData>
            </a:graphic>
          </wp:anchor>
        </w:drawing>
        <w:t>We have determined not to consummate any business combination unless we have net tangible assets of at least $5,000,001 upon such consummation in order to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190" w:lineRule="exact"/>
        <w:rPr>
          <w:sz w:val="20"/>
          <w:szCs w:val="20"/>
          <w:color w:val="auto"/>
        </w:rPr>
      </w:pPr>
    </w:p>
    <w:p>
      <w:pPr>
        <w:jc w:val="both"/>
        <w:ind w:left="3500"/>
        <w:spacing w:after="0" w:line="251" w:lineRule="auto"/>
        <w:rPr>
          <w:sz w:val="20"/>
          <w:szCs w:val="20"/>
          <w:color w:val="auto"/>
        </w:rPr>
      </w:pPr>
      <w:r>
        <w:rPr>
          <w:rFonts w:ascii="Times New Roman" w:cs="Times New Roman" w:eastAsia="Times New Roman" w:hAnsi="Times New Roman"/>
          <w:sz w:val="18"/>
          <w:szCs w:val="18"/>
          <w:color w:val="auto"/>
        </w:rPr>
        <w:t>Our initial stockholders have agreed (A) to vote their founder shares and any public shares in favor of any proposed business combination, (B)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24 months unless we provide public stockholder an opportunity to redeem their public shares in conjunction with any such amendment, (C) not to convert any shares (including the founder shares) into the right to receive cash from the trust account in connection with a stockholder vote to approve our proposed initial business combination or sell any shares to us in a tender offer in connection with our proposed initial business combination, and (D) that the founder shares shall not participate in any liquidating distribution upon winding up if a business combination is not consummated. None of our initial stockholders or their affiliates has indicated any intention to purchase public shares in this offering or any shares of common stock in the open market or in private transactions. However, if a significant number of stockholders vote, or indicate an intention to vote, against a proposed business combination, our initial stockholders, officers, directors or their affiliates could make such purchases in the open market or in private transactions in order to influence the vote. Our initial stockholders, officers, directors and their affiliates could purchase sufficient shares so that the initial business combination may be approved without the majority vote of public shares held by non-affiliates. Notwithstanding the foregoing, our officers, directors, initial stockholders and their affiliates will not make purchases of shares of common stock if the purchases would violate Section 9(a)(2) or Rule 10b-5 of the Exchange Act, which are rules designed to stop potential manipulation of a company’s stock or purchasing shares when the buyer is in possession of material non-public information about the Company.</w:t>
      </w:r>
    </w:p>
    <w:p>
      <w:pPr>
        <w:spacing w:after="0" w:line="200" w:lineRule="exact"/>
        <w:rPr>
          <w:sz w:val="20"/>
          <w:szCs w:val="20"/>
          <w:color w:val="auto"/>
        </w:rPr>
      </w:pPr>
    </w:p>
    <w:p>
      <w:pPr>
        <w:spacing w:after="0" w:line="34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80"/>
          </w:cols>
          <w:pgMar w:left="1440" w:top="999" w:right="479" w:bottom="1440" w:gutter="0" w:footer="0" w:header="0"/>
        </w:sectPr>
      </w:pPr>
    </w:p>
    <w:bookmarkStart w:id="16" w:name="page17"/>
    <w:bookmarkEnd w:id="16"/>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Conditions to completing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there is no limitation on our ability to raise funds privately or through loans in connection with our initial business combination. Our initial business combination must occur with one or more target businesses that together have an aggregate fair market value of at least 80% of the value of the trust account (excluding any deferred underwriter’s fees and taxes payable on the income earned on the trust account) at the time of the agreement to enter into the initial business combination. If we are no longer listed on Nasdaq, we will not be required to satisfy the 80%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-1160145</wp:posOffset>
            </wp:positionV>
            <wp:extent cx="7110730" cy="7273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0730" cy="7273290"/>
                    </a:xfrm>
                    <a:prstGeom prst="rect">
                      <a:avLst/>
                    </a:prstGeom>
                    <a:noFill/>
                  </pic:spPr>
                </pic:pic>
              </a:graphicData>
            </a:graphic>
          </wp:anchor>
        </w:drawing>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our board is not able to independently determine the fair market value of the target business or businesses, we may obtain an opinion from an independent investment banking or accounting firm as to the fair market value of the target business. We will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Even if the post-transaction company owns 50% or more of the voting securities of the target, our stockholders prior to the business combination may collectively own a minority interest in the post business combination company, depending on valuations ascribed to the target and us in the business combination transaction. 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any stockholder meeting called to approve a proposed initial business combination, each public stockholder will have the right, regardless of whether he, she or it is voting for or against such proposed business combination, to demand that we convert his, her or its public shares into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trust account upon consummation of the business combination.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require public stockholders wishing to exercise conversion rights, whether they are a record holder or hold their shares in “street name,” to either tender the certificates they are seeking to convert to our transfer agent or to deliver the shares they are seeking to convert to the transfer agent electronically using Depository Trust Company’s DWAC (Deposit/Withdrawal At Custodian) System, at the holder’s option, at any time at or prior to the vote on the business combination. 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to deliver their shares prior to the vote on the business combination in order to exercise conversion rights. This is because a holder would need to deliver shares to exercise conversion rights regardless of the timing of when such delivery must be effectuated. However, in the event we require stockholders to deliver their shares prior to the vote on the proposed business combination and the proposed business combination is not consummated, this may result in an increased cost to stockholders. The conversion rights will include the requirement that a beneficial holder must identify itself in order to validly redeem its shares.</w:t>
      </w:r>
    </w:p>
    <w:p>
      <w:pPr>
        <w:spacing w:after="0" w:line="200" w:lineRule="exact"/>
        <w:rPr>
          <w:sz w:val="20"/>
          <w:szCs w:val="20"/>
          <w:color w:val="auto"/>
        </w:rPr>
      </w:pPr>
    </w:p>
    <w:p>
      <w:pPr>
        <w:sectPr>
          <w:pgSz w:w="11900" w:h="16838" w:orient="portrait"/>
          <w:cols w:equalWidth="0" w:num="2">
            <w:col w:w="3800" w:space="720"/>
            <w:col w:w="6480"/>
          </w:cols>
          <w:pgMar w:left="420" w:top="995" w:right="479" w:bottom="1440" w:gutter="0" w:footer="0" w:header="0"/>
        </w:sect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5" w:right="479" w:bottom="1440" w:gutter="0" w:footer="0" w:header="0"/>
          <w:type w:val="continuous"/>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Release of funds in trust account upon closing of our initial business combination</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Under Delaware law, we may be required to give a minimum of only ten days’ notice for each general meeting. As a result, if we require public stockholders who wish to convert their shares of common stock into the right to receive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-1177290</wp:posOffset>
            </wp:positionV>
            <wp:extent cx="7110730" cy="5901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0730" cy="5901690"/>
                    </a:xfrm>
                    <a:prstGeom prst="rect">
                      <a:avLst/>
                    </a:prstGeom>
                    <a:noFill/>
                  </pic:spPr>
                </pic:pic>
              </a:graphicData>
            </a:graphic>
          </wp:anchor>
        </w:drawing>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require public stockholders who wish to convert their shares of common stock to comply with specific delivery requirements for conversion described above and such proposed business combination is not consummated, we will promptly return such certificates to the tendering public stockholders.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the completion of our initial business combination, all amounts held in the trust account will be released to us. We will use these funds to pay amounts due to any public stockholders who exercise their conversion rights as described above under “— Conversion rights” to pay all or a portion of the consideration payable to the target or targets or owners of the target or targets of our initial business combination and to pay other expenses associated with our initial business combination. If our initial business combination is paid for using stock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83" w:lineRule="exact"/>
        <w:rPr>
          <w:sz w:val="20"/>
          <w:szCs w:val="20"/>
          <w:color w:val="auto"/>
        </w:rPr>
      </w:pPr>
    </w:p>
    <w:p>
      <w:pPr>
        <w:sectPr>
          <w:pgSz w:w="11900" w:h="16838" w:orient="portrait"/>
          <w:cols w:equalWidth="0" w:num="2">
            <w:col w:w="4040" w:space="480"/>
            <w:col w:w="6480"/>
          </w:cols>
          <w:pgMar w:left="420" w:top="1026" w:right="479" w:bottom="1440" w:gutter="0" w:footer="0" w:header="0"/>
        </w:sectPr>
      </w:pPr>
    </w:p>
    <w:p>
      <w:pPr>
        <w:spacing w:after="0"/>
        <w:tabs>
          <w:tab w:leader="none" w:pos="4500" w:val="left"/>
        </w:tabs>
        <w:rPr>
          <w:sz w:val="20"/>
          <w:szCs w:val="20"/>
          <w:color w:val="auto"/>
        </w:rPr>
      </w:pPr>
      <w:r>
        <w:rPr>
          <w:rFonts w:ascii="Times New Roman" w:cs="Times New Roman" w:eastAsia="Times New Roman" w:hAnsi="Times New Roman"/>
          <w:sz w:val="18"/>
          <w:szCs w:val="18"/>
          <w:b w:val="1"/>
          <w:bCs w:val="1"/>
          <w:color w:val="auto"/>
        </w:rPr>
        <w:t>Liquidation if no business combination</w:t>
      </w:r>
      <w:r>
        <w:rPr>
          <w:sz w:val="20"/>
          <w:szCs w:val="20"/>
          <w:color w:val="auto"/>
        </w:rPr>
        <w:tab/>
      </w:r>
      <w:r>
        <w:rPr>
          <w:rFonts w:ascii="Times New Roman" w:cs="Times New Roman" w:eastAsia="Times New Roman" w:hAnsi="Times New Roman"/>
          <w:sz w:val="18"/>
          <w:szCs w:val="18"/>
          <w:color w:val="auto"/>
        </w:rPr>
        <w:t>If we are unable to complete our initial business combination within 24 months from the</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closing of this offering, we will (i) cease all operations except for the purpose of winding</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up, (ii) as promptly as reasonably possible but not more than five business days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thereafter, redeem 100% of the outstanding public shares (including any public shares in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this offering or any public shares that our initial stockholders or their affiliates purchased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 this offering or later acquired in the open market or in private transactions), which</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redemption will completely extinguish public stockholders’ rights as stockholders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(including the right to receive further liquidation distributions, if any), subject to</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applicable law, and (iii) as promptly as reasonably practicable following such redemption,</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subject to the approval of our remaining holders of common stock and our board of</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directors, proceed to commence a voluntary liquidation and thereby a formal dissolution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of the Company, subject (in the case of (ii) and (iii) above) to our obligations to provide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for claims of creditors and the requirements of applicable law.</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1026" w:right="479" w:bottom="1440" w:gutter="0" w:footer="0" w:header="0"/>
          <w:type w:val="continuous"/>
        </w:sectPr>
      </w:pPr>
    </w:p>
    <w:bookmarkStart w:id="18" w:name="page19"/>
    <w:bookmarkEnd w:id="18"/>
    <w:p>
      <w:pPr>
        <w:jc w:val="both"/>
        <w:ind w:left="35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50615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0730" cy="5061585"/>
                    </a:xfrm>
                    <a:prstGeom prst="rect">
                      <a:avLst/>
                    </a:prstGeom>
                    <a:noFill/>
                  </pic:spPr>
                </pic:pic>
              </a:graphicData>
            </a:graphic>
          </wp:anchor>
        </w:drawing>
        <w:t>In connection with our redemption of 100% of our outstanding public shares for a portion of the funds held in the trust account, each holder will receive a full pro rata portion of the amount then in the trust account, plus any pro rata interest earned on the funds held in the trust account and not necessary to pay our taxes payable on such funds.</w:t>
      </w:r>
    </w:p>
    <w:p>
      <w:pPr>
        <w:spacing w:after="0" w:line="180" w:lineRule="exact"/>
        <w:rPr>
          <w:sz w:val="20"/>
          <w:szCs w:val="20"/>
          <w:color w:val="auto"/>
        </w:rPr>
      </w:pPr>
    </w:p>
    <w:p>
      <w:pPr>
        <w:jc w:val="both"/>
        <w:ind w:left="3500"/>
        <w:spacing w:after="0" w:line="254" w:lineRule="auto"/>
        <w:rPr>
          <w:sz w:val="20"/>
          <w:szCs w:val="20"/>
          <w:color w:val="auto"/>
        </w:rPr>
      </w:pPr>
      <w:r>
        <w:rPr>
          <w:rFonts w:ascii="Times New Roman" w:cs="Times New Roman" w:eastAsia="Times New Roman" w:hAnsi="Times New Roman"/>
          <w:sz w:val="18"/>
          <w:szCs w:val="18"/>
          <w:color w:val="auto"/>
        </w:rPr>
        <w:t>We may not have funds sufficient to pay or provide for all creditors’ claims. Although we will seek to have all third parties (including any vendors or other entities we engage after this offering, other than our independent registered public accounting firm) and any prospective target businesses enter into valid and enforceable agreements with us waiving any right, title, interest or claim of any kind in or to any monies held in the trust account, there is no guarantee that they will execute such agreements. There is also no guarantee that the third parties would not challenge the enforceability of these waivers and bring claims against the trust account for monies owed them.</w:t>
      </w:r>
    </w:p>
    <w:p>
      <w:pPr>
        <w:spacing w:after="0" w:line="192" w:lineRule="exact"/>
        <w:rPr>
          <w:sz w:val="20"/>
          <w:szCs w:val="20"/>
          <w:color w:val="auto"/>
        </w:rPr>
      </w:pPr>
    </w:p>
    <w:p>
      <w:pPr>
        <w:jc w:val="both"/>
        <w:ind w:left="3500"/>
        <w:spacing w:after="0" w:line="266" w:lineRule="auto"/>
        <w:rPr>
          <w:sz w:val="20"/>
          <w:szCs w:val="20"/>
          <w:color w:val="auto"/>
        </w:rPr>
      </w:pPr>
      <w:r>
        <w:rPr>
          <w:rFonts w:ascii="Times New Roman" w:cs="Times New Roman" w:eastAsia="Times New Roman" w:hAnsi="Times New Roman"/>
          <w:sz w:val="18"/>
          <w:szCs w:val="18"/>
          <w:color w:val="auto"/>
        </w:rPr>
        <w:t>The holders of the founder shares and private shares will not participate in any redemption distribution with respect to their founder shares and private shares, but may have any public shares redeemed upon liquidation.</w:t>
      </w:r>
    </w:p>
    <w:p>
      <w:pPr>
        <w:spacing w:after="0" w:line="176" w:lineRule="exact"/>
        <w:rPr>
          <w:sz w:val="20"/>
          <w:szCs w:val="20"/>
          <w:color w:val="auto"/>
        </w:rPr>
      </w:pPr>
    </w:p>
    <w:p>
      <w:pPr>
        <w:jc w:val="both"/>
        <w:ind w:left="3500"/>
        <w:spacing w:after="0" w:line="252" w:lineRule="auto"/>
        <w:rPr>
          <w:sz w:val="20"/>
          <w:szCs w:val="20"/>
          <w:color w:val="auto"/>
        </w:rPr>
      </w:pPr>
      <w:r>
        <w:rPr>
          <w:rFonts w:ascii="Times New Roman" w:cs="Times New Roman" w:eastAsia="Times New Roman" w:hAnsi="Times New Roman"/>
          <w:sz w:val="18"/>
          <w:szCs w:val="18"/>
          <w:color w:val="auto"/>
        </w:rPr>
        <w:t>If we are unable to conclude our initial business combination and we expend all of the net proceeds of this offering not deposited in the trust account, without taking into account any interest earned on the trust account, we expect that the initial per-share redemption price will be approximately $10.00. The proceeds deposited in the trust account could, however, become subject to claims of our creditors that are in preference to the claims of our stockholders. Furthermore, our underwriters may seek recourse against the proceeds in the trust account relating to any future claims they may have against us.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the actual per-share redemption price may be less than approximately $10.00. We will pay the costs of any subsequent liquidation from our remaining assets outside of the trust account. If such funds are insufficient, our sponsor has agreed to pay the funds necessary to complete such liquidation and has agreed not to seek repayment for such expenses. We currently do not anticipate that such funds will be insufficient.</w:t>
      </w:r>
    </w:p>
    <w:p>
      <w:pPr>
        <w:spacing w:after="0" w:line="200" w:lineRule="exact"/>
        <w:rPr>
          <w:sz w:val="20"/>
          <w:szCs w:val="20"/>
          <w:color w:val="auto"/>
        </w:rPr>
      </w:pPr>
    </w:p>
    <w:p>
      <w:pPr>
        <w:spacing w:after="0" w:line="3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80"/>
          </w:cols>
          <w:pgMar w:left="1440" w:top="999" w:right="47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16332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0730" cy="1633220"/>
                    </a:xfrm>
                    <a:prstGeom prst="rect">
                      <a:avLst/>
                    </a:prstGeom>
                    <a:noFill/>
                  </pic:spPr>
                </pic:pic>
              </a:graphicData>
            </a:graphic>
          </wp:anchor>
        </w:drawing>
        <w:t>RISKS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newly formed company that has conducted no operations and has generated no revenues. Until we complete our initial business combination, we will have no operations and will generate no operating revenues. In making your decision on whether to invest in our securities, you should take into account not only the background of our management team, but also the special risks we face as a blank check company,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this offering, please see “</w:t>
      </w:r>
      <w:r>
        <w:rPr>
          <w:rFonts w:ascii="Times New Roman" w:cs="Times New Roman" w:eastAsia="Times New Roman" w:hAnsi="Times New Roman"/>
          <w:sz w:val="18"/>
          <w:szCs w:val="18"/>
          <w:i w:val="1"/>
          <w:iCs w:val="1"/>
          <w:color w:val="auto"/>
        </w:rPr>
        <w:t>Proposed Business — Comparison to offerings of blank check companies subject to Rule 419</w:t>
      </w:r>
      <w:r>
        <w:rPr>
          <w:rFonts w:ascii="Times New Roman" w:cs="Times New Roman" w:eastAsia="Times New Roman" w:hAnsi="Times New Roman"/>
          <w:sz w:val="18"/>
          <w:szCs w:val="18"/>
          <w:color w:val="auto"/>
        </w:rPr>
        <w:t>.” You should carefully consider these and the other risks set forth in the section entitled “Risk Factors” beginning on page 19 of this prospectus.</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995" w:right="4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10730" cy="23615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0730" cy="2361565"/>
                    </a:xfrm>
                    <a:prstGeom prst="rect">
                      <a:avLst/>
                    </a:prstGeom>
                    <a:noFill/>
                  </pic:spPr>
                </pic:pic>
              </a:graphicData>
            </a:graphic>
          </wp:anchor>
        </w:drawing>
        <w:t>SUMMARY FINANCIAL DATA</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are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5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100" w:type="dxa"/>
            <w:vAlign w:val="bottom"/>
          </w:tcPr>
          <w:p>
            <w:pPr>
              <w:spacing w:after="0"/>
              <w:rPr>
                <w:sz w:val="20"/>
                <w:szCs w:val="20"/>
                <w:color w:val="auto"/>
              </w:rPr>
            </w:pP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(deficiency)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(13,972)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141,199,528</w:t>
            </w: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63,493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146,274,528</w:t>
            </w: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38,965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5,075,000</w:t>
            </w: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Value of common stock subject to possible redemption</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136,199,520</w:t>
            </w: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24,528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5,000,008</w:t>
            </w:r>
          </w:p>
        </w:tc>
      </w:tr>
    </w:tbl>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5" w:right="47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common stock.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a newly formed blank check company in the early stage with no operating history and no revenues, and you have no basis on which to evaluate our ability to achieve our business objective.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recently formed blank check company with no operating results, and we will not commence operations until obtaining funding through this offering and consummating our initial business combination.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our initial business combination and may be unable to complete our initial business combination. If we fail to complete our initial business combination, we will never generate any operating revenues.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performance by Boxer Capital, including our management team, may not be indicative of future performance of an investment in 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Information regarding performance by, or businesses associated with, Boxer Capital is presented for informational purposes only. Any past experience and performance of Boxer Capital or our management team is not a guarantee either: (1) that we will be able to successfully identify a suitable candidate for our initial business combination; or (2) of any results with respect to any initial business combination we may consummate. You should not rely on the historical record of Boxer Capital or our management team’s performance as indicative of the future performance of an investment in us or the returns we will, or are likely to, generate going forward. An investment in us is not an investment in Boxer Capital. None of our sponsor, officers, directors or Boxer Capital has had experience with a blank check company or special purpose acquisition company in the past.</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requirement that the target business or businesses that we acquire must collectively have a fair market value equal to at least 80% of the balance of the funds in the trust account (excluding any taxes payable) at the time of the execution of a definitive agreement for our initial business combination may limit the type and number of companies with which we may complete such a business combination.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Nasdaq listing rules, the target business or businesses that we acquire must collectively have a fair market value equal to at least 80% of the balance of the funds in the trust account (excluding any taxes payable) at the time of the execution of a definitive agreement for our initial business combination. This restriction may limit the type and number of companies that we may complete a business combination with. If we are unable to locate a target business or businesses that satisfy this fair market value test, we may be forced to liquidate and you will only be entitled to receive your pro rata portion of the funds in the trust account, which may be less than $10.00 per share.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public stockholders may not be afforded an opportunity to vote on our proposed business combination, which means we may consummate our initial business combination even though a majority of our public stockholders do not support such a combination.</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 stockholder vote is not required, we may conduct redemptions via a tender offer. Accordingly, we may consummate our initial business combination even if holders of a majority of our public shares do not approve the business combination.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Your only opportunity to affect the investment decision regarding a potential business combination may be limited to the exercise of your right to redeem your shares from us for cash.</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the time of your investment in us, you will not be provided with an opportunity to evaluate the specific merits or risks of one or more target businesses. Because our board of directors may consummate our initial business combination without seeking stockholder approval, public stockholders may not have the right or opportunity to vote on the business combination.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business combination.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ability of our public stockholders to redeem their shares for cash may make our financial condition unattractive to potential business combination targets, which may make it difficult for us to enter into our initial business combination with a target.</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enter into a transaction agreement with a prospective target that requires as a closing condition that we have a minimum net worth or a certain amount of cash. If too many public stockholders exercise their redemption rights, we may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would be aware of these risks and, thus, may be reluctant to enter into our initial business combination transaction with us.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ability of a large number of our stockholders to exercise redemption rights may not allow us to consummate the most desirable business combination or optimize our capital structure.</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successful consummation of our business combination, we may redeem up to that number of shares of common stock that would permit us to maintain net tangible assets of $5,000,001. If our business combination requires us to use substantially all of our cash to pay the purchase price, the redemption threshold may be further limited. Alternatively, we may need to arrange third party financing to help fund our business combination in case a larger percentage of stockholders exercise their redemption rights than we expect. If the acquisition involves the issuance of our shares as consideration, we may be required to issue a higher percentage of our shares to the target or its stockholders to make up for the failure to satisfy a minimum cash requirement.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requirement that we maintain a minimum net worth or retain a certain amount of cash could increase the probability that we cannot consummate our business combination and that you would have to wait for liquidation in order to redeem your shares.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pursuant to the terms of our proposed business combination, we are required to maintain a minimum net worth or retain a certain amount of cash in trust in order to consummate the business combination and regardless of whether we proceed with redemptions under the tender offer or proxy rules, the probability that we cannot consummate our business combination is increased. If we do not consummate our business combination, you would not receive your pro rata portion of the trust account until we liquidate. If you are in need of immediate liquidity, you could attempt to sell your shares in the open market; however, at such time our shares may trade at a discount to the pro rata amount in our trust account. In either situation, you may suffer a material loss on your investment or lose the benefit of funds expected in connection with our redemption until we liquidate or you are able to sell your shares in the open market.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requirement that we complete our initial business combination within 24 months from the closing of this offering may give potential target businesses leverage over us in negotiating our initial business combination.</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potential target business with which we enter into negotiations concerning our initial business combination will be aware that we must consummate our initial business combination within 24 months from the closing of this offering. Consequently, such target businesses may obtain leverage over us in negotiating our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consummate our initial business combination within the required time period, in which case we would cease all operations except for the purpose of winding up and we would redeem our public shares and liquidate.</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sponsor, officers and directors have agreed that we must complete our initial business combination within 24 months from the closing of this offering. We may not be able to find a suitable target business and consummate our initial business combination within such time period. If we are unable to consummate our initial business combination within the required time period, we will, as promptly as reasonably possible but not more than five business days thereafter (subject to our certificate of incorporation and Delaware law), distribute the aggregate amount then on deposit in the trust account (net of taxes payable), pro rata to our public stockholders by way of redemption and cease all operations except for the purposes of winding up of our affairs, as further described herein. This redemption of public stockholders from the trust account shall be effected as required by function of our certificate of incorporation and prior to any voluntary winding up.</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seek stockholder approval of our business combination, our sponsor, directors, officers, advisors and their affiliates may elect to purchase shares from stockholders, in which case they may influence a vote in favor of a proposed business combination that you do not support.</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seek stockholder approval of our business combination and we do not conduct redemptions in connection with our business combination pursuant to the tender offer rules, our sponsor, directors, officers, advisors or their affiliates may purchase shares in privately negotiated transactions either prior to or following the consummation of our initial business combination. Such purchases will not be made if our sponsor, directors, officers, advisors or their affiliates are in possession of any material non-public information that has not been disclosed to the selling stockholder. Such a purchase would include a contractual acknowledgement that such stockholder, although still the record holder of our shares is no longer the beneficial owner thereof and therefore agrees not to exercise its redemption rights. In the event that our sponsor, directors, officers, advisors or their affiliates purchase shares in privately negotiated transactions from public stockholders who have already elected to exercise their redemption rights, such selling stockholders would be required to revoke their prior elections to redeem their shares. It is intended that, if Rule 10b-18 would apply to purchases by our sponsor, directors, officers, advisors or their affiliates, then such purchases will comply with Rule 10b-18 under the Exchange Act, to the extent it applies, which provides a safe harbor for purchases made under certain conditions, including with respect to timing, pricing and volume of purchases.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purpose of such purchases would be to (1) increase the likelihood of obtaining stockholder approval of the business combination or (2) satisfy a closing condition in an agreement with a target that requires us to have a minimum net worth or a certain amount of cash at the closing of the business combination, where it appears that such requirement would otherwise not be met. This may result in the consummation of an initial business combination that may not otherwise have been possible.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Purchases of shares of common stock in the open market or in privately negotiated transactions by our sponsor, directors, officers, advisors or their affiliates may make it difficult for us to maintain the listing of our shares on a national securities exchange following the consummation of an initial business combination.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our sponsor, directors, officers, advisors or their affiliates purchase shares of common stock in the open market or in privately negotiated transactions, the public “float” of our shares of common stock and the number of beneficial holders of our securities would both be reduced, possibly making it difficult to maintain the listing or trading of our securities on a national securities exchange following consummation of the business combination.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You will not have any rights or interests in funds from the trust account, except under certain limited circumstances. To liquidate your investment, therefore, you may be forced to sell your public shares, potentially at a loss.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public stockholders shall be entitled to receive funds from the trust account only in the event of a redemption to public stockholders prior to any winding up in the event we do not consummate our initial business combination or our liquidation, if they redeem their shares in connection with an initial business combination that we consummate or if we seek to amend our certificate of incorporation to affect the substance or timing of our redemption obligation to redeem all public shares if we cannot complete an initial business combination within 24 months of the closing of this offering. In no other circumstances will a stockholder have any right or interest of any kind to the funds in the trust account. Accordingly, to liquidate your investment, you may be forced to sell your public shares, potentially at a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 will not be entitled to protections normally afforded to investors of many other blank check companies.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Because the net proceeds of this offering are intended to be used to complete our initial business combination with a target business that has not been identified, we may be deemed to be a “blank check” company under the United States securities laws. However, because we will have net tangible assets in excess of $5,000,000 upon the successful consummation of this offering and will expect to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common stock will be immediately tradable and we will have a longer period of time to complete our initial business combination than do companies subject to Rule 419. Moreover, offerings subject to Rule 419 would prohibit the release of any interest earned on funds held in the trust account to us. For a more detailed comparison of our offering to offerings that comply with Rule 419, please see “Proposed Business — Comparison of This Offering to Those of Blank Check Companies Subject to Rule 419.”</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seek stockholder approval of our business combination and we do not conduct redemptions pursuant to the tender offer rules, and if you or a “group” of stockholders are deemed to hold in excess of 20% of our shares of common stock, you will lose the ability to redeem all such shares in excess of 20% of our shares of common stock.</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seek stockholder approval of our initial business combination and we do not conduct redemptions in connection with our business combination pursuant to the tender offer rules, our certificate of incorporation provides that a public stockholder, individually or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this offering. Your inability to redeem more than an aggregate of 20% of the shares sold in this offering will reduce your influence over our ability to consummate our initial business combination and you could suffer a material loss on your investment in us if you sell such excess shares in open market transactions. As a result, you will continue to hold that number of shares exceeding 20% and, in order to dispose of such shares, you would be required to sell your shares in open market transaction, potentially at a loss.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the net proceeds of this offering not being held in the trust account are insufficient to allow us to operate for at least the next 24 months, we may be unable to complete our initial business combination.</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funds available to us outside of the trust account may not be sufficient to allow us to operate for at least the next 24 months, assuming that our initial business combination is not consummated during that time.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are unable to fund such down payments or “no shop” provisions, our ability to close a contemplated transaction could be impaired. Furthermore,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only receive a pro rata portion of the amount then in the trust account (which may be less than $10.00 per share) (whether or not the underwriter’s over-allotment option is exercised in full) on our redemption.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Subsequent to our consummation of our initial business combination, we may be required to take write-downs or write-offs, restructuring and impairment or other charges.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Even if we conduct thorough due diligence on a target business with which we combine, this diligence may not surface all material issues that may be present inside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directors may decide not to enforce indemnification obligations against BCTG Holdings, LLC, our sponsor, resulting in a reduction in the amount of funds in the trust account available for distribution to our public stockholders.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$10.00 per share (whether or not the underwriter’s over-allotment option is exercised in full) and BCTG Holdings, LLC, our sponsor, asserts that it is unable to satisfy its obligations or that it has no indemnification obligations related to a particular claim, our independent directors would determine on our behalf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If our independent directors choose not to enforce these indemnification obligations on our behalf, the amount of funds in the trust account available for distribution to our public stockholders may be reduced below $10.00 per share.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deemed to be an investment company under the Investment Company Act, our activities may be restricted, including restrictions on the nature of our investments and restrictions on the issuance of securities, each of which may make it difficult for us to complete our initial business combination. In addition, we may have imposed upon us burdensome requirements, including registration as an investment company, adoption of a specific form of corporate structure and reporting, record keeping, voting, proxy and disclosure requirements and other rules and regulations.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were deemed to be subject to the Investment Company Act, compliance with these additional regulatory burdens would require additional expenses for which we have not allotted funds and may hinder our ability to consummate our initial business combination.</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Changes in laws or regulations, or a failure to comply with any laws and regulations, may adversely affect our business, investments and results of operations.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in particular, the Securities Exchange and Commission, or the “SEC”. Compliance with, and monitoring of, applicable laws and regulations may be difficult, time consuming and costly. Those laws and regulations and their interpretation and application also may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consummate our initial business combination, our public stockholders may be forced to wait up to 24 months or longer before redemption from our trust account.</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are unable to consummate our initial business combination within 24 months from the closing of this offering, we will, as promptly as reasonably possible but not more than five business days thereafter (subject to our certificate of incorporation and applicable law), distribute the aggregate amount then on deposit in the trust account (net of taxes payable), pro rata to our public stockholders by way of redemption and cease all operations except for the purposes of winding up of our affairs by way of a voluntary liquidation, as further described herein. Any redemption of public stockholders from the trust account shall be effected as required by our certificate of incorporation prior to our commencing any voluntary liquidation. Except as otherwise described herein, we have no obligation to return funds to investors prior to the date of any redemption required as a result of our failure to consummate our initial business combination within the period described above or our liquidation, unless we consummate our initial business combination prior thereto and only then in cases where investors have sought to redeem their shares of common stock. Only upon any such redemption of public shares as we are required to effect or any liquidation will public stockholders be entitled to distributions if we are unable to complete our initial business combination.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grant of registration rights to our initial stockholders may make it more difficult to complete our initial business combination, and the future exercise of such rights may adversely affect the market price of our shares of common stock.</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an agreement to be entered into on the date of this prospectus, our initial stockholders, our sponsor (and/or our sponsor’s designees) and their permitted transferees can demand that we register the founder shares, the private shares. We will bear the cost of registering these securities. The registration and availability of such a significant number of securities for trading in the public market may have an adverse effect on the market price of our shares of common stock. In addition, the existence of the registration rights may make our initial business combination more costly or difficult to conclude. This is because the stockholder of the target business may increase the equity stake they seek in the combined entity or ask for more cash consideration to offset the negative impact on the market price of our shares of common stock that is expected when the securities owned by our sponsor, holders of our private shares or their respective permitted transferees are registered.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we have not selected a particular business or specific geographic location or any specific target businesses with which to pursue our initial business combination, you will be unable to ascertain the merits or risks of any particular target business’ operations.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Although we have a stated focus on certain target businesses in a specific geographic location as indicated elsewhere in this prospectus, we may pursue acquisition opportunities in any geographic region, but may rely upon our management team’s background. While we may pursue an acquisition opportunity in any business industry or sector, we intend to initially focus on those industries or sectors that complement our management team’s background. Except for the limitations that a target business have a fair market value of at least 80% of the value of the trust account (excluding any taxes payable) and that we are not permitted to effectuate our initial business combination with another blank check company or similar company with nominal operations, we will have virtually unrestricted flexibility in identifying and selecting a prospective acquisition candidate. Because we have not yet identified or approached any specific target business with respect to our initial business combination, there is no basis to evaluate the possible merits or risks of any particular target business’s operations, results of operations, cash flows, liquidity, financial condition or prospects. To the extent we consummate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may not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In addition, investors will be relying on the business judgment of our board of directors, which will have significant discretion in choosing the standard used to establish the fair market value of a particular target business. An investment in our common stock may not ultimately prove to be more favorable to investors than a direct investment, if such opportunity were available, in an acquisition target.</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seek investment opportunities outside our management’s area of expertise and our management may not be able to adequately ascertain or assess all significant risks associated with the target company.</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is no limitation on the industry or business sector we may consider when contemplating our initial business combination. We may therefore be presented with a business combination candidate in an industry unfamiliar to our management team, but determine that such candidate offers an attractive investment opportunity for our company. In the event we elect to pursue an investment outside of our management’s expertise, our management’s experience may not be directly applicable to the target business or their evaluation of its operations.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Although we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we have identified specific criteria and guidelines for evaluating prospective target businesses, it is possible that a target business with which we enter into our initial business combination will not have all of these positive attributes. If we consummate our initial business combination with a target that does not meet some or all of these guidelines, such combination may not be as successful as a combination with a business that does meet all of our general criteria and guidelines. In addition, if we announce our initial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law or Nasdaq,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only receive $10.00 per share or even less (whether or not the underwriter’s over-allotment option is exercised in full) on our redemption.</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Management’s flexibility in identifying and selecting a prospective acquisition candidate, along with our management’s financial interest in consummating our initial business combination, may lead management to enter into an acquisition agreement that is not in the best interest of our stockholders.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Subject to the requirement that our initial business combination must be with one or more target businesses or assets having an aggregate fair market value of at least 80% of the value of the trust account (excluding any taxes payable) at the time of the agreement to enter into such initial business combination, we will have virtually unrestricted flexibility in identifying and selecting a prospective acquisition candidate. Investors will be relying on management’s ability to identify business combinations, evaluate their merits, conduct or monitor diligence and conduct negotiations. Management’s flexibility in identifying and selecting a prospective acquisition candidate, along with management’s financial interest in consummating our initial business combination, may lead management to enter into an acquisition agreement that is not in the best interest of our stockholders, which would be the case if the trading price of our shares of common stock after giving effect to such business combination was less than the per-share trust liquidation value that our stockholders would have received if we had dissolved without consummating our initial business combination.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not required to obtain an opinion from an independent investment banking firm, and consequently, an independent source may not confirm that the price we are paying for the business is fair to our stockholders from a financial point of view.</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Unless we consummate our initial business combination with an affiliated entity, we are not required to obtain an opinion from an independent investment banking firm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 could be wasted in researching acquisitions that are not consummated.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consummate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only receive $10.00 per share or even less (whether or not the underwriter’s over-allotment option is exercised in full) on our redemption.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successfully effect our initial business combination and to be successful thereafter will be largely dependent upon the efforts of our officers, directors and key personnel, some of whom may join us following our initial business combination.</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operations are dependent upon a relatively small group of individuals and, in particular, our officers and directors. We believe that our success depends on the continued service of our officers and directors, at least until we have consummated our initial business combination. In addition, our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We do not have an employment agreement with, or key-man insurance on the life of, any of our directors or officers. The unexpected loss of the services of one or more of our directors or officers could have a detrimental effect on us.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role of such persons in the target business, however, cannot presently be ascertained. Although some of such persons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our assessment of these individuals may not prove to be correct. These individuals may be unfamiliar with the requirements of operating a company regulated by the SEC, which could cause us to have to expend time and resources helping them become familiar with such requirements.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key personnel may be able to remain with us after the consummation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consummation of the business combination. The personal and financial interests of such individuals may influence their motivation in identifying and selecting a target business. However, we believe the ability of such individuals to remain with us after the consummation of our initial business combination will not be the determining factor in our decision as to whether or not we will proceed with any potential business combination. There is no certainty, however, that any of our key personnel will remain with us after the consummation of our initial business combination. Our key personnel may not remain in senior management or advisory positions with us. The determination as to whether any of our key personnel will remain with us will be made at the time of our initial business combination. In addition, pursuant to an agreement to be entered into concurrently with the issuance and sale of the securities in this offering, our sponsor, upon consummation of an initial business combination, will be entitled to nominate three individuals for election to our board of directors.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search for a business combination, and any target business with which we ultimately consummate a business combination, may be materially adversely affected by the recent COVID-19 coronavirus pandemic and the status of debt and equity markets.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COVID-19 pandemic could materially and adversely affect the business of any potential target business with which we consummate a business combination. Furthermore, we may be unable to complete a business combination if continued concerns relating to COVID-19 restrict travel, limit the ability to have meetings with potential investors, if the target company’s personnel, vendors and service providers are unavailable to negotiate and consummate a transaction in a timely manner, or if COVID-19 causes a prolonged economic downturn.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ability to consummate a business combination may be dependent on the ability to raise equity and debt financing which may be impacted by COVID-19 and other events.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shareholders are entitled to receive their prorate share of the proceeds held in the trust account, plus any interest income, net of taxes paid or payable (less, in the case we are unable to complete our initial business combination, $100,000 of interest). Negative interest rates could reduce the value of the assets held in trust such that the per-share redemption amount received by public shareholders may be less than $10.00 per share.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we intend to seek a business combination with a target business in the healthcare industry, we expect our future operations to be subject to risks associated with the healthcare industry.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Healthcare and biotechnology related companies are generally subject to greater governmental regulation than most other industries at the U.S. state and federal levels, and internationally. In recent years, both local and national governmental budgets have come under pressure to reduce spending and control healthcare costs, which could both adversely affect regulatory processes and public funding available for healthcare products, services and facilities. In March 2010, comprehensive healthcare reform legislation was enacted in the United States. These laws are intended to increase health insurance coverage through individual and employer mandates, subsidies offered to lower income individuals, tax credits available to smaller employers and broadening of Medicaid eligibility.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one intent of healthcare reform is to expand health insurance coverage to more individuals, it may also involve additional regulatory mandates and other measures designed to constrain medical costs, including coverage and reimbursement for healthcare services. Healthcare reform has had a significant impact on the healthcare industry in the United States and consequently has the ability to affect companies within the healthcare industry and the biotechnology sector. The ultimate effects of federal healthcare reform or any future legislation or regulation, or healthcare initiatives, if any, on the healthcare industry, including the biotechnology sector, whether implemented at the federal or state level or internationally, cannot be predicted with certainty and such reform, legislation, regulation or initiatives may adversely affect the performance of a potential business combination.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governmental policies may have a material effect on the demand for or costs of certain products and services. A healthcare or biotechnology related company must receive government approval before introducing new drugs and medical devices or procedures. This process may delay the introduction of these products and services to the marketplace, resulting in increased development costs, delayed cost recovery and loss of competitive advantage to the extent that rival companies have developed competing products or procedures, adversely affecting the company’s revenues and profitability. Failure to obtain governmental approval of a key drug or device or other regulatory action could have a material adverse effect on the business of a target company. Additionally, expansion of facilities by healthcare related providers is subject to “determinations of need” by the appropriate government authorities. This process not only increases the time and cost involved in these expansions, but also makes expansion plans uncertain, limiting the revenue and profitability growth potential of healthcare related facilities operators.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spacing w:after="0" w:line="254" w:lineRule="auto"/>
        <w:rPr>
          <w:sz w:val="20"/>
          <w:szCs w:val="20"/>
          <w:color w:val="auto"/>
        </w:rPr>
      </w:pPr>
      <w:r>
        <w:rPr>
          <w:rFonts w:ascii="Times New Roman" w:cs="Times New Roman" w:eastAsia="Times New Roman" w:hAnsi="Times New Roman"/>
          <w:sz w:val="18"/>
          <w:szCs w:val="18"/>
          <w:color w:val="auto"/>
        </w:rPr>
        <w:t>Certain healthcare and biotechnology related companies depend on the exclusive rights or patents for the products they develop and distribute. Patents have a limited duration and, upon expiration, other companies may market substantially similar “generic” products that are typically sold at a lower price than the patented product, causing the original developer of the product to lose market share and/or reduce the price charged for the product, resulting in lower profits for the original developer. As a result, the expiration of patents may adversely affect the profitability of these companies. The profitability of healthcare and biotechnology related companies may also be affected, among other factors, by restrictions on government reimbursement for medical expenses, rising or falling costs of medical products and services, pricing pressure, an increased emphasis on outpatient services, a limited product offering, industry innovation, changes in technologies and other market developments. Finally, because the products and services of healthcare and biotechnology related companies affect the health and well-being of many individuals, these companies are especially susceptible to product liability lawsuits.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healthcare industry and the biotechnology sector spend heavily on research and development. Research findings (e.g., regarding side effects or comparative benefits of one or more particular treatments, services or products) and technological innovation (together with patent expirations) may make any particular treatment, service or product less attractive if previously unknown or underappreciated risks are revealed, or if a more effective, less costly or less risky solution is or becomes available. Any such development could have a material adverse effect on the companies that are target businesses for investment.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have a limited ability to assess the management of a prospective target business and, as a result, may effectuate our initial business combination with a target business whose management may not have the skills, qualifications or abilities to manage a public company.</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When evaluating the desirability of effecting our initial business combination with a prospective target business, our ability to assess the target business’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officers and directors of an acquisition candidate may resign upon consummation of our initial business combination. The loss of an acquisition target’s key personnel could negatively impact the operations and profitability of our post-combination business.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role of an acquisition candidate’s key personnel upon the consummation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some members of the management team of an acquisition candidate will not wish to remain in place.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Certain of our officers and directors are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Following the completion of this offering and until we consummate our business combination, we intend to engage in the business of identifying and combining with one or more businesses. Certain of our executive officers and directors are affiliated with entities that are engaged in a similar business.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officers may become aware of business opportunities which may be appropriate for presentation to us and the other entities to which they owe certain fiduciary duties. Accordingly, they may have conflicts of interest in determining to which entity a particular business opportunity should be presented.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340"/>
        <w:spacing w:after="0"/>
        <w:rPr>
          <w:sz w:val="20"/>
          <w:szCs w:val="20"/>
          <w:color w:val="auto"/>
        </w:rPr>
      </w:pPr>
      <w:r>
        <w:rPr>
          <w:rFonts w:ascii="Times New Roman" w:cs="Times New Roman" w:eastAsia="Times New Roman" w:hAnsi="Times New Roman"/>
          <w:sz w:val="18"/>
          <w:szCs w:val="18"/>
          <w:color w:val="auto"/>
        </w:rPr>
        <w:t>Any conflict of interest may not be resolved in our favor and potential target businesses may be presented to another entity prior to its presentation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shares beneficially owned by our officers and directors will not participate in liquidation distributions and, therefore, our officers and directors may have a conflict of interest in determining whether a particular target business is appropriate for our initial business combination.</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officers and directors have waived their right to redeem any shares in connection with our initial business combination, or to receive distributions with respect to their founder shares upon our liquidation if we are unable to consummate our initial business combination. Accordingly, these securities will be worthless if we do not consummate our initial business combination. 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engage in our initial business combination with one or more target businesses that have relationships with entities that may be affiliated with our executive officers, directors or existing holders, which may raise potential conflicts of interest.</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light of the involvement of our sponsor, officers and directors with other entities, we may decide to acquire one or more businesses affiliated with our sponsor, officers and directors. Our directors also serve as officers and board members for other entities. Our sponsor, officers and directors are not currently aware of any specific opportunities for us to consummate our initial business combination with any entities with which they are affiliated, and there have been no preliminary discussions concerning a business combination with any entity or entities. Although we will not be specifically focusing on, or targeting, any transaction with any affiliated entities, we would pursue such a transaction if we determined that such affiliated entity met our criteria for our initial business combination as set forth in “Proposed Business — Effecting our initial business combination — Selection of a target business and structuring of our initial business combination” and such transaction was approved by a majority of our disinterested directors. Despite our agreement to obtain an opinion from an independent investment banking firm, or another independent entity that commonly renders valuation opinions on the type of target business we seek to acquire, regarding the fairness to our stockholders from a financial point of view of a business combination with one or more domestic or international businesses affiliated with our executive officers, directors or existing holders, potential conflicts of interest still may exist and, as a result, the terms of the business combination may not be as advantageous to our public stockholders as they would be absent any conflicts of interest. Our directors have a fiduciary duty to act in the best interests of our stockholders, whether or not a conflict of interest may exist.</w:t>
      </w:r>
    </w:p>
    <w:p>
      <w:pPr>
        <w:spacing w:after="0" w:line="19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Because our sponsor will lose its entire initial investment in us if our initial business combination is not consummated and our officers and directors have significant financial interests in us, a conflict of interest may arise in determining whether a particular acquisition target is appropriate for our initial business combination.</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4, 2020 our sponsor purchased 3,593,750 shares for an aggregate purchase price of $25,000. In August 2020, our sponsor transferred an aggregate of 105,000 founder shares to our directors or at their direction, and an aggregate of 75,000 shares to certain persons who will act as our scientific advisors. Such transferred shares will not be subject to forfeiture in the event the underwriter’s over-allotment option is not exercised. On September 2, 2020, we declared a dividend of 0.16 shares for each outstanding share (an aggregate of 575,000 shares), resulting in an aggregate of 4,168,750 shares outstanding, which we refer to herein as “founder shares” or “insider shares,” The founder shares include an aggregate of up to 543,750 shares held by our sponsor that are subject to forfeiture to the extent that the underwriter’s over-allotment option is not exercised in full or in part. The founder shares will be worthless if we do not consummate an initial business combination. In addition, our sponsor has committed to purchase from us an aggregate of 490,000 shares of common stock (or 533,500 shares if the underwriter’s over-allotment option is exercised in full), in a private placement that will close simultaneously with the closing of this offering at a purchase price of $10.00 per share. We refer to these shares as the “private shares”. The aggregate purchase price of $4,900,000 (or $5,335,000 if the underwriter’s over-allotment option is exercised in full) for the private shares will also be worthless if we do not consummate our initial business combination.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issue notes or other debt securities, or otherwise incur substantial debt, to complete our initial business combination, which may adversely affect our financial condition and thus negatively impact the value of our stockholders’ investment in us.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Although we have no commitments as of the date of this prospectus to issue any notes or other debt securities, or to otherwise incur outstanding debt, we may choose to incur substantial debt to complete our initial business combination. If we incur any indebtedness without a waiver from the lender of any right, title, interest or claim of any kind in or to any monies held in the trust account, the incurrence of debt could have a variety of negative effects, including:</w:t>
      </w:r>
    </w:p>
    <w:p>
      <w:pPr>
        <w:spacing w:after="0" w:line="18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our initial business combination are insufficient to repay our debt obligations;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security contains covenants restricting our ability to obtain such financing while the debt security is outstanding;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shares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shares of common stock if declared, expenses, capital expenditures, acquisitions and other general corporate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may only be able to complete one business combination with the proceeds of this offering, which will cause us to be solely dependent on a single business, which may have a limited number of products or services. This lack of diversification may negatively impact our operations and profitability.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net proceeds from this offering together with the funds we will receive from the sale of the private shares (excluding $1,250,000 of net proceeds that will not be held in the trust account) will provide us with approximately $145,000,000 (or approximately $166,750,000 if the underwriter’s over-allotment option is exercised in full) that we may use to complete our initial business combination.</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effectuate our initial business combination with a single target business or multiple target businesses simultaneously.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consummating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 solely dependent upon the performance of a single business, property or asset, or dependent upon the development or market acceptance of a single or limited number of products or services. This lack of diversification may subject us to numerous economic, competitive and regulatory developments, any or all of which may have a substantial adverse impact upon the particular industry in which we may operate subsequent to our initial business combination.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may attempt to simultaneously consummate business combinations with multiple prospective targets, which may hinder our ability to consummate our initial business combination and give rise to increased costs and risks that could negatively impact our operations and profitability.</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the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attempt to consummate our initial business combination with a private company about which little information is available.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pursuing our acquisition strategy, we may seek to effectuate our initial business combination with a privately held company. By definition, very little public information exists about private companies, and we could be required to make our decision on whether to pursue a potential initial business combination on the basis of limited information, which may result in our initial business combination with a company that is not as profitable as we suspected, if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maintain control of a target business after our initial business combination.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structure our initial business combination to acquire less than 100% of the equity interests or assets of a target business, but we will only consummate such business combination if we will become the majority stockholder of the target (or control the target through contractual arrangements in limited circumstances for regulatory compliance purposes)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Even though we may own a majority interest in the target, our stockholders prior to the business combination may collectively own a minority interest in the post business combination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acquire a 100% controlling interest in the target. However, as a result of the issuance of a substantial number of new shares, our stockholders immediately prior to such transaction could own less than a majority of our outstanding shares subsequent to such transaction. In addition, other minority stockholders may subsequently combine their holdings resulting in a single person or group obtaining a larger share of the company’s stock than we initially acquired. Accordingly, this may make it more likely that we will not be able to maintain our control of the target business.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ability of our public stockholders to exercise their redemption rights may not allow us to effectuate the most desirable business combination or optimize our capital structure.</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our initial business combination requires us to use substantially all of our cash to pay the purchase price, because we will not know how many public stockholders may exercise redemption rights, we may either need to reserve part of the trust account for possible payment upon such redemption, or we may need to arrange third party financing to help fund our initial business combination. In the event that the acquisition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 connection with any meeting held to approve an initial business combination, we will offer each public stockholder the option to vote in favor of the proposed business combination and still seek redemption of his, her or its shares.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any meeting held to approve an initial business combination, we will offer each public stockholder (but not our initial stockholders, officers or directors) the right to have his, her or its shares of common stock redeemed for cash (subject to the limitations described elsewhere in this prospectus) regardless of whether such stockholder votes for or against such proposed business combination; provided that a stockholder must in fact vote for or against a proposed business combination in order to have his, her or its shares of common stock redeemed for cash. If a stockholder fails to vote for or against a proposed business combination, that stockholder would not be able to have his shares of common stock so redeemed. We will consummate our initial business combination only if we have net tangible assets of at least $5,000,001 upon such consummation and a majority of the outstanding shares of common stock voted are voted in favor of the business combination. This is different than other similarly structured blank check companies where stockholders are offered the right to redeem their shares only when they vote against a proposed business combination. This threshold and the ability to seek redemption while voting in favor of a proposed business combination may make it more likely that we will consummate our initial business combination.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public stockholder who fails to vote either in favor of or against a proposed business combination will not be able to have his shares redeemed for cash.</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order for a public stockholder to have his shares redeemed for cash in connection with any proposed business combination, that public stockholder must vote either in favor of or against a proposed business combination. If a public stockholder fails to vote in favor of or against a proposed business combination, whether that stockholder abstains from the vote or simply does not vote, that stockholder would not be able to have his shares of common stock so redeemed to cash in connection with such business combination.</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will require public stockholders who wish to redeem their shares of common stock in connection with a proposed business combination or amendment to our certificate of incorporation to effect the substance or timing of their redemption obligation if we fail to timely complete a business combination to comply with specific requirements for redemption that may make it more difficult for them to exercise their redemption rights prior to the deadline for exercising their rights.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will require our public stockholders seeking to exercise their redemption rights, whether they are record holders or hold their shares in “street name,” to either tender their certificates to our transfer agent prior to the expiration date set forth in the tender offer documents mailed to such holders, or in the event we distribute proxy materials, up to two business days prior to the vote on the proposal to approve the business combination or amendment to our certificate of incorporation to affect the substance or timing of our redemption obligation to redeem all public shares if we cannot complete an initial business combination, or to deliver their shares to the transfer agent electronically using Depository Trust Company’s DWAC (Deposit/Withdrawal At Custodian) System, at the holder’s option.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this may not be the case. Under our certificate of incorporation, we are required to provide at least 10 days advance notice of any stockholder meeting, which would be the minimum amount of time a stockholder would have to determine whether to exercise redemption rights. Accordingly, if it takes longer than we anticipate for stockholders to deliver their shares, stockholders who wish to redeem may be unable to meet the deadline for exercising their redemption rights and thus may be unable to redeem their shares.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Redeeming stockholders may be unable to sell their securities when they wish to in the event that the proposed business combination is not approved.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require public stockholders who wish to redeem their shares of common stock in connection with any proposed business combination to comply with the delivery requirements discussed above for redemption. If such proposed business combination is not consummated, we will promptly return such certificates to the tendering public stockholders. Accordingly, investors who attempted to redeem their shares in such a circumstance will be unable to sell their securities after the failed acquisition until we have returned their securities to them. The market price for our shares of common stock may decline during this time and you may not be able to sell your securities when you wish, even while other stockholders that did not seek redemption may be able to sell their securities.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Because of our structure, other companies may have a competitive advantage and we may not be able to consummate an attractive business combination.</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acquiring certain sizable target businesses may be limited by our available financial resources. This inherent competitive limitation gives others an advantage in pursuing the acquisition of certain target businesses. Furthermore, seeking stockholder approval of our initial business combination may delay the consummation of a transaction. Additionally, our rights, and the future dilution they represent (entitling the holders to receive shares of common stock on consummation of our initial business combination), may not be viewed favorably by certain target businesses. Any of the foregoing may place us at a competitive disadvantage in successfully negotiating our initial business combination.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amended and restated certificate of incorporation contains provisions that prohibit our engaging in business combinations with interested stockholders in certain circumstances.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76"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66⅔% of the outstanding voting stock that is not owned by the interested stockholder.</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certain other transactions with the interested stockholder. Subject to certain exceptions, an “interested stockholder” is a person who, together with that person’s affiliates and associates, owns, or within the previous three years owned, 20% or more of our voting stock</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sponsor and its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stockholders may only receive $10.00 per share or even less (whether or not the underwriter’s over-allotment option is exercised in full) on our redemption.</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Although we believe that the net proceeds of this offering will be sufficient to allow us to consummate our initial business combination, because we have not yet identified any prospective target business we cannot ascertain the capital requirements for any particular transaction or our costs to operate or locate a transaction. If the net proceeds of this offering prove to be insufficient, either because of the size of our initial business combination, the depletion of the available net proceeds in search of a target business, the obligation to repurchase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Financing may not be available on acceptable terms, if at all. The current economic environment has made it especially difficult for companies to obtain acquisition financing. To the extent that additional financing proves to be unavailable when needed to consummate our initial business combination, we would be compelled to either restructure the transaction or abandon that particular initial business combination and seek an alternative target business candidate. If we are unable to complete our initial business combination, our public stockholders may only receive $10.00 per share or even less (whether or not the underwriter’s over-allotment option is exercised in full) on our redemption. In addition, even if we do not need additional financing to consummate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sponsor controls a substantial interest in us and thus may exert a substantial influence on actions requiring a stockholder vote, potentially in a manner that you do not support.</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 upon closing of this offering, our initial stockholders and our sponsor (and/its designees) collectively will own 20% of our issued and outstanding shares of common stock (assuming they do not purchase any shares in this offering). Accordingly, they may exert a substantial influence on actions requiring a stockholder vote, potentially in a manner that you do not support, including amendments to our certificate of incorporation. If our sponsor purchases any shares in this offering or if we or our sponsor purchase any additional shares of common stock in the aftermarket or in privately negotiated transactions, this would increase their control. Neither our sponsor nor, to our knowledge, any of our officers or directors, has any current intention to purchase additional securities. Factors that would be considered in making such additional purchases would include consideration of the current trading price of our shares of common stock.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initial stockholders paid an aggregate of $25,000, or approximately $0.006 per founder share and, accordingly, you will experience immediate and substantial dilution from the purchase of our shares of common stock.</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difference between the public offering price per share and the pro forma net tangible book value per share after this offering constitutes the dilution to you and the other investors in this offering. Our initial stockholders acquired the founder shares at a nominal price, significantly contributing to this dilution. Upon closing of this offering, you and the other public stockholders will incur an immediate and substantial dilution of approximately 90.0% or $9.00 per share (the difference between the pro forma net tangible book value per share of $1.00 and the initial offering price of $10.00 per share immediately upon the closing of this offering), or approximately 91.2% dilution or $9.12 per share (the difference between the pro forma net tangible book value per share of $0.88 and the initial offering price of $10.00 per share) if the over-allotment is fully exercised.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determination of the offering price of our common stock and the size of this offering is more arbitrary than the pricing of securities and size of an offering of an operating company in a particular industry.</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any of our securities. The public offering price of the shares was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shares of common stock include:</w:t>
      </w:r>
    </w:p>
    <w:p>
      <w:pPr>
        <w:spacing w:after="0" w:line="18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prospects of companies whose principal business is the acquisition of other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offerings of those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acquiring an operating business at attractive values;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debt to equity ratios in leveraged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and their experience in identifying operating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of the securities markets at the time of this offering;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as were deemed relevant.</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There is currently no market for our securities and a market for our securities may not develop, which would adversely affect the liquidity and price of our securities.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there is currently no market for our securities. Prospective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An active trading market for our securities may never develop or, if developed, it may not be sustained. Additionally, if our securities become delisted from Nasdaq for any reason, and are quoted on the OTC Bulletin Board, an inter-dealer automated quotation system for equity securities not listed on a national exchange, the liquidity and price of our securities may be more limited than if we were listed on Nasdaq or another national exchange. You may be unable to sell your securities unless a market can be established and sustained.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securities may not continue to be listed on Nasdaq in the future, which could limit investors’ ability to make transactions in our securities and subject us to additional trading restrictions.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common stock has been approved for listing on Nasdaq. However, we cannot assure you of this or that our securities will continue to be listed on Nasdaq in the future. Additionally, in connection with our business combination, Nasdaq may require us to file a new initial listing application and meet its initial listing requirements as opposed to its more lenient continued listing requirements. We cannot assure you that we will be able to meet those initial listing requirements at that time. If Nasdaq delists our securities from trading on its exchange, we could face significant material adverse consequences, including:</w:t>
      </w:r>
    </w:p>
    <w:p>
      <w:pPr>
        <w:spacing w:after="0" w:line="18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reduced liquidity with respect to our securities;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shares of common stock are a “penny stock” which will require brokers trading in our shares of common stock to adhere to more stringent rules, possibly resulting in a reduced level of trading activity in the secondary trading market for our shares of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our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Because we must furnish our stockholders with target business financial statements prepared in accordance with U.S. generally accepted accounting principles or international financial reporting standards, we may lose the ability to complete an otherwise advantageous initial business combination with some prospective target businesses.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federal proxy rules, which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as issued by the International Accounting Standards Board or the IASB, depending on the circumstances and the historical financial statements may be required to be audited in accordance with the standards of the Public Company Accounting Oversight Board (United States), or PCAOB. We will include the substantially the same financial statement disclosure in connection with any tender offer documents we use, whether or not they are required under the tender offer rules. These financial statement requirements may limit the pool of potential target businesses we may consummate our initial business combination with because some targets may be unable to provide such statements in time for us to disclose such statements in accordance with federal proxy rules and complete our initial business combination within the prescribed time frame.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Compliance obligations under the Sarbanes-Oxley Act of 2002 may make it more difficult for us to effectuate our initial business combination, require substantial financial and management resources, and increase the time and costs of completing an acquisition.</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Section 404 of the Sarbanes-Oxley Act of 2002, or the Sarbanes-Oxley Act, requires that we evaluate and report on our system of internal controls beginning with our Annual Report on Form 10-K for the year ending December 31, 2021. The fact that we are a blank check company makes compliance with the requirements of the Sarbanes-Oxley Act particularly burdensome on us as compared to all public companies because a target company with which we seek to complete our initial business combination may not be in compliance with the provisions of the Sarbanes-Oxley Act regarding adequacy of its internal controls. The development of the internal controls of any such entity to achieve compliance with the Sarbanes-Oxley Act may increase the time and costs necessary to complete any such acquisition.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and we cannot be certain if the reduced disclosure requirements applicable to emerging growth companies will make our securities less attractive to investors.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for up to five years. However, if our non-convertible debt issued within a three-year period or revenues exceeds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being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 Additionally,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 We cannot predict if investors will find our shares less attractive because we may rely on these provisions. If some investors find our shares less attractive as a result, there may be a less active trading market for our shares and our share price may be more volatile.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will not adopt the new or revised standard until the time private companies are required to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a favorable judicial forum for disputes with our company or our company’s directors, officers or other employees.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will not be deemed to be a waiver by our stockholders of our obligation to comply with federal securities laws, rules and regulations, and the provisions of this paragraph will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any shares of our capital stock shall be deemed to have notice of and to have consented to the forum provisions in our amended and restated certificate of incorporation. If any action the subject matter of which is within the scope the forum provisions is filed in a court other than a court located within the State of Delaware (a “foreign action”) in the name of any stockholder, such stockholder shall be deemed to have consented to: (x) the personal jurisdiction of the state and federal courts located within the State of Delaware in connection with any action brought in any such court to enforce the forum provisions (an “enforcement action”), and (y) having service of process made upon such stockholder in any such enforcement action by service upon such stockholder’s counsel in the foreign action as agent for such stockholder.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stockholder’s ability to bring a claim in a judicial forum that it finds favorable for disputes with our company or its directors, officers or other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Acquiring and Operating a Business outside of the United States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effect our initial business combination with a company located outside of the United States.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effect our initial business combination with a company located outside of the United States, we would be subject to any special considerations or risks associated with companies operating in the target business’ home jurisdiction, including any of the following:</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or currency redemption or corporate withholding taxes on individuals;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governing the manner in which future business combinations may be effected;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listing and/or delisting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coronavirus outbreak;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related to customs and import/export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such as tax law changes and variations in tax laws as compared to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exchange controls;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inflation;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collecting accounts receivable;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language differences;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crime, strikes, riots, civil disturbances, terrorist attacks and wars;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political relations with the United States. We may not be able to adequately address these additional risks. If we were unable to do so, our operations might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are costs and difficulties inherent in managing cross-border business operations.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Managing a business, operations, personnel or assets in another country is challenging and costly. Any management that we may have (whether based abroad or in the United States) may be inexperienced in cross-border business practices and unaware of significant differences in accounting rules, legal regimes and labor practices. Even with a seasoned and experienced management team, the costs and difficulties inherent in managing cross-border business operations, personnel and assets can be significant (and much higher than in a purely domestic business) and may negatively impact our financial and operational performance.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Social unrest, acts of terrorism, regime changes, changes in laws and regulations, political upheaval, or policy changes or enactments may occur in a country in which we may operate after we effect our initial business combination.</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Political events in another country may significantly affect our business, assets or operations. Social unrest, acts of terrorism, regime changes, changes in laws and regulations, political upheaval, and policy changes or enactments could negatively impact our business in a particular country.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Many countries have difficult and unpredictable legal systems and underdeveloped laws and regulations that are unclear and subject to corruption and inexperience.</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ability to seek and enforce legal protections, including with respect to intellectual property and other property rights, or to defend ourselves with regard to legal actions taken against us in a given country, may be difficult or impossible, which could adversely impact our operations, assets or financial condition.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Rules and regulations in many countries are often ambiguous or open to differing interpretation by responsible individuals and agencies at the municipal, state, regional and federal levels. The attitudes and actions of such individuals and agencies are often difficult to predict and inconsistent.</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Delay with respect to the enforcement of particular rules and regulations, including those relating to customs, tax, environmental and labor, could cause serious disruption to operations abroad and negatively impact our results.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relations between the United States and foreign governments deteriorate, it could cause potential target businesses or their goods and services to become less attractive.</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relationship between the United States and foreign governments could be subject to sudden fluctuation and periodic tension. For instance, the United States may announce its intention to impose quotas on certain imports. Such import quotas may adversely affect political relations between the two countries and result in retaliatory countermeasures by the foreign government in industries that may affect our ultimate target business. Changes in political conditions in foreign countries and changes in the state of U.S. relations with such countries are difficult to predict and could adversely affect our operations or cause potential target businesses or their goods and services to become less attractive. Because we are not limited to any specific industry, there is no basis for investors in this offering to evaluate the possible extent of any impact on our ultimate operations if relations are strained between the United States and a foreign country in which we acquire a target business or move our principal manufacturing or service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our management following our initial business combination is unfamiliar with United States securities laws, they may have to expend time and resources becoming familiar with such laws.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our laws, they may have to expend time and resources becoming familiar with such laws. This could be expensive and time-consuming and could lead to various regulatory issues, which may adversely affect our operations.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Currency policies may cause a target business’ ability to succeed in the international markets to be diminished.</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event we acquire a non-U.S. target, all revenues and income would likely be received in a foreign currency,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Because foreign law could govern our material agreements, we may not be able to enforce our rights within such jurisdiction or elsewhere.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Foreign law could govern our material agreements. The target business may not be able to enforce any of its material agreements or that remedies will be available outside of such foreign jurisdiction’s legal system. The system of laws and the enforcement of existing laws and contracts in such jurisdiction may not be as certain in implementation and interpretation as in the United States. The judiciaries in certain foreign countries may be relatively inexperienced in enforcing corporate and commercial law, leading to a higher than usual degree of uncertainty as to the outcome of any litigation, any such jurisdictions may not favor outsiders or could be corrupt. As a result, the inability to enforce or obtain a remedy under any of our future agreements could result in a significant loss of business and business opportunities.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Certain statements contained in this prospectus, which reflect our current views with respect to future events and financial performance, and any other statements of a future or forward-looking nature, constitute “forward-looking statements” for the purpose of the federal securities laws.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w:t>
      </w:r>
    </w:p>
    <w:p>
      <w:pPr>
        <w:spacing w:after="0" w:line="19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our initial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following our initial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obtain additional financing to complete our initial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pool of prospective target businesses;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an initial business combination due to the uncertainty resulting from the recent COVID-19 pandemic;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officers and directors to generate a number of potential investment opportunities;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our securities from Nasdaq or an inability to have our securities listed on Nasdaq following a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 market for our securities;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following this offering.</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beginning on page 19.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offering 14,500,000 shares of our common stock at a price of $10.00 per share. We estimate that the net proceeds of this offering, together with the funds we receive from the sale of the private shares (all of which will be deposited into the trust account), will be used as set forth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Without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Over-</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Over-</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Allotment</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Allotment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Exercised</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Gross proceeds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offering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145,000,000</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166,750,000</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From sale of private shares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5,335,000</w:t>
            </w:r>
          </w:p>
        </w:tc>
        <w:tc>
          <w:tcPr>
            <w:tcW w:w="0" w:type="dxa"/>
            <w:vAlign w:val="bottom"/>
          </w:tcPr>
          <w:p>
            <w:pPr>
              <w:spacing w:after="0"/>
              <w:rPr>
                <w:sz w:val="1"/>
                <w:szCs w:val="1"/>
                <w:color w:val="auto"/>
              </w:rPr>
            </w:pPr>
          </w:p>
        </w:tc>
      </w:tr>
      <w:tr>
        <w:trPr>
          <w:trHeight w:val="248"/>
        </w:trPr>
        <w:tc>
          <w:tcPr>
            <w:tcW w:w="8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proceeds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149,900,000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172,085,000</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5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i w:val="1"/>
                <w:iCs w:val="1"/>
                <w:color w:val="auto"/>
              </w:rPr>
              <w:t>Offering expenses</w:t>
            </w:r>
            <w:r>
              <w:rPr>
                <w:rFonts w:ascii="Times New Roman" w:cs="Times New Roman" w:eastAsia="Times New Roman" w:hAnsi="Times New Roman"/>
                <w:sz w:val="29"/>
                <w:szCs w:val="29"/>
                <w:i w:val="1"/>
                <w:iCs w:val="1"/>
                <w:color w:val="auto"/>
                <w:vertAlign w:val="superscript"/>
              </w:rPr>
              <w:t>(1)</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5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Underwriting commissions (2% of gross proceeds from shares offered to public, excluding deferred portion)</w:t>
            </w:r>
            <w:r>
              <w:rPr>
                <w:rFonts w:ascii="Times New Roman" w:cs="Times New Roman" w:eastAsia="Times New Roman" w:hAnsi="Times New Roman"/>
                <w:sz w:val="29"/>
                <w:szCs w:val="29"/>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2,900,000</w:t>
            </w:r>
          </w:p>
        </w:tc>
        <w:tc>
          <w:tcPr>
            <w:tcW w:w="2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3,335,000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road show</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listing fee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37,500</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25,513</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21,644</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Officer liability insurance premiums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3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175,343</w:t>
            </w: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175,343</w:t>
            </w:r>
          </w:p>
        </w:tc>
        <w:tc>
          <w:tcPr>
            <w:tcW w:w="0" w:type="dxa"/>
            <w:vAlign w:val="bottom"/>
          </w:tcPr>
          <w:p>
            <w:pPr>
              <w:spacing w:after="0"/>
              <w:rPr>
                <w:sz w:val="1"/>
                <w:szCs w:val="1"/>
                <w:color w:val="auto"/>
              </w:rPr>
            </w:pPr>
          </w:p>
        </w:tc>
      </w:tr>
      <w:tr>
        <w:trPr>
          <w:trHeight w:val="203"/>
        </w:trPr>
        <w:tc>
          <w:tcPr>
            <w:tcW w:w="856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offering expenses (excluding underwriting commissions)</w:t>
            </w: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750,000</w:t>
            </w: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750,000</w:t>
            </w: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proceeds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Held in trust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145,000,000</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w:t>
            </w: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
                <w:szCs w:val="1"/>
                <w:color w:val="auto"/>
              </w:rPr>
              <w:t>166,750,000</w:t>
            </w:r>
          </w:p>
        </w:tc>
        <w:tc>
          <w:tcPr>
            <w:tcW w:w="0" w:type="dxa"/>
            <w:vAlign w:val="bottom"/>
          </w:tcPr>
          <w:p>
            <w:pPr>
              <w:spacing w:after="0" w:line="20" w:lineRule="exact"/>
              <w:rPr>
                <w:sz w:val="1"/>
                <w:szCs w:val="1"/>
                <w:color w:val="auto"/>
              </w:rPr>
            </w:pPr>
          </w:p>
        </w:tc>
      </w:tr>
      <w:tr>
        <w:trPr>
          <w:trHeight w:val="201"/>
        </w:trPr>
        <w:tc>
          <w:tcPr>
            <w:tcW w:w="8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5"/>
                <w:szCs w:val="15"/>
                <w:color w:val="auto"/>
                <w:w w:val="91"/>
              </w:rPr>
              <w:t>(3)</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Not held in trust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1,250,000</w:t>
            </w:r>
          </w:p>
        </w:tc>
        <w:tc>
          <w:tcPr>
            <w:tcW w:w="0" w:type="dxa"/>
            <w:vAlign w:val="bottom"/>
          </w:tcPr>
          <w:p>
            <w:pPr>
              <w:spacing w:after="0"/>
              <w:rPr>
                <w:sz w:val="1"/>
                <w:szCs w:val="1"/>
                <w:color w:val="auto"/>
              </w:rPr>
            </w:pPr>
          </w:p>
        </w:tc>
      </w:tr>
      <w:tr>
        <w:trPr>
          <w:trHeight w:val="248"/>
        </w:trPr>
        <w:tc>
          <w:tcPr>
            <w:tcW w:w="8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proceeds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146,250,000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168,000,000</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5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Use of net proceeds not held in the trust account</w:t>
            </w:r>
            <w:r>
              <w:rPr>
                <w:rFonts w:ascii="Times New Roman" w:cs="Times New Roman" w:eastAsia="Times New Roman" w:hAnsi="Times New Roman"/>
                <w:sz w:val="29"/>
                <w:szCs w:val="29"/>
                <w:color w:val="auto"/>
                <w:vertAlign w:val="superscript"/>
              </w:rPr>
              <w:t>(4) (5)</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Legal, accounting and other third party expenses attendant to the search for target businesses and to the due diligence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investigation, structuring and negotiation of a business combination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diligence of prospective target businesses by officers, directors and initial stockholders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Legal and accounting fees relating to SEC reporting obligations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administrative fee of $10,000 per month for up to 24 months), subject to deferral as described herein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198"/>
        </w:trPr>
        <w:tc>
          <w:tcPr>
            <w:tcW w:w="8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Working capital to cover miscellaneous expenses, D&amp;O insurance, general corporate purposes, liquidation</w:t>
            </w:r>
          </w:p>
        </w:tc>
        <w:tc>
          <w:tcPr>
            <w:tcW w:w="1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510,000</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8"/>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and reserves</w:t>
            </w: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5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offering expenses will be paid from the proceeds of loans from our sponsor of up to $300,000 as described in this prospectus. To date, we have borrowed $127,231 under the promissory note with our sponsor to be used for a portion of the expenses of this offering. Any borrowed amounts will be repaid upon completion of this offering out of the offering proceeds that has been allocated for the payment of offering expenses (other than underwriting commissions). In the event that offering expenses are more than as set forth in this table, they will be repaid using a portion of the $1,250,000 of offering proceeds not held in the trust account and set aside for post-closing working capital expenses. In the event that offering expenses are less than set forth in this table, any such amounts will be used for post-closing working capital expenses.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both"/>
        <w:ind w:left="340" w:hanging="332"/>
        <w:spacing w:after="0" w:line="255"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have agreed to defer underwriting commissions equal to 3.5% of the gross proceeds of this offering. Upon completion of our initial business combination, $5,075,000, which constitutes the underwriter’s deferred commissions (or up to $5,836,250 if the underwriter’s over-allotment option is exercised in full) will be paid to the underwriters from the funds held in the trust account, and the remaining funds, less amounts released to the trustee to pay redeeming stockholders,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held in the trust account will be used to acquire a target business, to pay holders who wish to convert or sell their shares for a portion of the funds held in the trust account and potentially to pay our expenses relating thereto. Our expenses relating to the acquisition of a target business would either come from the funds held in the trust account or additional funds otherwise available to us outside of the trust account, including cash held by the target business. Any remaining funds will be disbursed to the combined company and be used as working capital to finance the operations of the target business.</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proceeds not held in trust will remain constant at $1,250,000 even if the over-allotment is exercised.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pacing w:after="0" w:line="1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payment to an affiliate of our sponsor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our sponsor and its affiliates for our benefit. We believe that this administrative fee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1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total of $10.00 per share (whether or not the underwriter’s over-allotment option is exercised in full) of the net proceeds from this offering and the sale of the private shares described in this prospectus will be placed in a trust account in the United States at Morgan Stanley, N.A., maintained by Continental Stock Transfer &amp; Trust Company acting as trustee and will be invested only in U.S. government treasury bills, notes and bonds with a maturity of 185 days or less or in money market funds meeting certain conditions under Rule 2a-7 under the Investment Company Act and which invest solely in U.S. Treasuries. Except for all interest income that may be released to us to pay our tax obligations, as discussed below, none of the funds held in the trust account will be released from the trust account until the earlier of: (i) the consummation of our initial business combination within 24 months from the closing of this offering and (ii) a redemption to public stockholders prior to any voluntary winding-up in the event we do not consummate our initial business combination within the applicable period.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 principal or interest due on indebtedness incurred in consummating the initial business combination, to fund the purchase of other companies or for working capital.</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or the amount of interest available to use from the trust account is minimal as a result of the current interest rate environment, we may be required to raise additional capital, the amount, availability and cost of which is currently unascertainable. In this event, we could seek such additional capital through loans or additional investments from members of our management team, but such members of our management team are not under any obligation to advance funds to, or invest in, us.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our sponsor has loaned us up to $300,000 to be used for a portion of the expenses of this offering, of which we have borrowed $127,231. Any loans will be non-interest bearing and payable on the date on which we consummate the offering.</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our sponsor or an affiliate of our sponsor or our officers and directors may, but are not obligated to, loan us funds as may be required. If we consummate our initial business combination, we would repay such loaned amounts. The notes would either be paid upon consummation of our initial business combination, without interest, or, at the lender’s discretion, up to $1,500,000 of the notes may be converted upon consummation of our business combination into additional private shares at a price of $10.00 per share (which, for example, would result in the holders being issued 50,000 shares if $500,000 of notes were so converted). Such private shares will be identical to the private shares to be issued at the closing of this offering.</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no event will we redeem our public shares in an amount that would cause our net tangible assets to be less than $5,000,001. Furthermore, the redemption threshold may be further limited by the terms and conditions of our initial business combination. In such case, we would not proceed with the redemption of our public shares or the business combination, and instead may search for an alternate business combination.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public stockholder will be entitled to receive funds from the trust account only upon the earlier to occur of: (i) our consummation of our initial business combination, and then only in connection with those shares of common stock that such stockholder properly elected to redeem, subject to the limitations described herein, (ii) the redemption of our public shares if we are unable to consummate our initial business combination within 24 months following the closing of this offering, subject to applicable law, or (iii) if we seek to amend our certificate of incorporation to affect the substance or timing of our obligation to redeem all public shares if we cannot complete an initial business combination within 24 months of the closing of this offering and such amendment is duly approved. In no other circumstances will a public stockholder have any right or interest of any kind to or in the trust account.</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initial stockholders have agreed to waive their redemption rights with respect to any shares they own in connection with the consummation of our initial business combination, including their founder shares and public shares that they have purchased during or after the offering, if any. In addition, our initial stockholders have agreed to waive their rights to liquidating distributions with respect to its founder shares if we fail to consummate our initial business combination within 24 months from the closing of this offering. However, if our initial stockholders acquire public shares in or after this offering, they will be entitled to receive liquidating distributions with respect to such public shares if we fail to consummate our initial business combination within the required time period.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subject to the Delaware law. In addition, our board of directors is not currently contemplating and does not anticipate declaring any share dividends in the foreseeable future, except if we increase the size of the offering pursuant to Rule 462(b) under the Securities Act, in which case we will effect a share dividend immediately prior to the consummation of the offering in such amount as to maintain our initial stockholders’ ownership at 20% of the issued and outstanding shares of common stock upon the consummation of this offering (assuming no purchase in this offering and not taking into account ownership of the private shares). Further, if we incur any indebtedness in connection with our initial business combination, our ability to declare dividends may be limited by restrictive covenants we may agree to in connection therewith.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difference between the public offering price per share and the pro forma net tangible book value per share after this offering constitutes the dilution to investors in this offering. Net tangible book value per share is determined by dividing our net tangible book value, which is our total tangible assets less total liabilities (including the value of shares of common stock which may be redeemed for cash), by the number of outstanding shares of common stock.</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June 30, 2020, our net tangible book value was $(13,972) or approximately $(0.00) per share. After giving effect to the sale of 14,500,000 shares of common stock we are offering by this prospectus and the proceeds received from the sale of the private shares, the deduction of underwriting discounts and estimated expenses of this offering, our pro forma net tangible book value at June 30, 2020 would have been $5,000,008 or $1.00 per share, representing an immediate increase in net tangible book value of $1.00 per share to the initial stockholders and an immediate dilution of 90.0% per share or $9.00 to new investors not exercising their conversion/tender rights. For purposes of presentation, our pro forma net tangible book value after this offering is $136,199,520 less than it otherwise would have been because, if we effect a business combination, the ability of public stockholders to exercise conversion rights or sell their shares to us in any tender offer may result in the conversion or tender of up to 13,619,952 shares sold in this offering.</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the dilution to the new investors on a per-share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Without Over-allotment</w:t>
            </w:r>
          </w:p>
        </w:tc>
        <w:tc>
          <w:tcPr>
            <w:tcW w:w="10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With Over-allotment</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offering price</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gridSpan w:val="3"/>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tangible book deficit before this offering</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attributable to public stockholders</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0.88</w:t>
            </w:r>
          </w:p>
        </w:tc>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584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Pro forma net tangible book value after this offering and the sale of the private</w:t>
            </w: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28"/>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placement shares</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Dilution to public stockholders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Percentage of dilution to public stockholders</w:t>
            </w: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our initial stockholders and the new investors: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27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60" w:type="dxa"/>
            <w:vAlign w:val="bottom"/>
          </w:tcPr>
          <w:p>
            <w:pPr>
              <w:spacing w:after="0"/>
              <w:rPr>
                <w:sz w:val="21"/>
                <w:szCs w:val="21"/>
                <w:color w:val="auto"/>
              </w:rPr>
            </w:pPr>
          </w:p>
        </w:tc>
        <w:tc>
          <w:tcPr>
            <w:tcW w:w="254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w:t>
            </w:r>
          </w:p>
        </w:tc>
      </w:tr>
      <w:tr>
        <w:trPr>
          <w:trHeight w:val="223"/>
        </w:trPr>
        <w:tc>
          <w:tcPr>
            <w:tcW w:w="46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60" w:type="dxa"/>
            <w:vAlign w:val="bottom"/>
            <w:tcBorders>
              <w:bottom w:val="single" w:sz="8" w:color="CCEEFF"/>
            </w:tcBorders>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Borders>
              <w:bottom w:val="single" w:sz="8" w:color="CCEEFF"/>
            </w:tcBorders>
          </w:tcPr>
          <w:p>
            <w:pPr>
              <w:spacing w:after="0"/>
              <w:rPr>
                <w:sz w:val="19"/>
                <w:szCs w:val="19"/>
                <w:color w:val="auto"/>
              </w:rPr>
            </w:pPr>
          </w:p>
        </w:tc>
      </w:tr>
      <w:tr>
        <w:trPr>
          <w:trHeight w:val="243"/>
        </w:trPr>
        <w:tc>
          <w:tcPr>
            <w:tcW w:w="46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7"/>
                <w:szCs w:val="17"/>
                <w:color w:val="auto"/>
              </w:rPr>
              <w:t xml:space="preserve">Founder Shares </w:t>
            </w:r>
            <w:r>
              <w:rPr>
                <w:rFonts w:ascii="Times New Roman" w:cs="Times New Roman" w:eastAsia="Times New Roman" w:hAnsi="Times New Roman"/>
                <w:sz w:val="28"/>
                <w:szCs w:val="28"/>
                <w:color w:val="auto"/>
                <w:vertAlign w:val="superscript"/>
              </w:rPr>
              <w:t>(1)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3,625,000</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Shares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490,000</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4,900,000</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3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investors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14,500,000</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145,000,000</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96.71%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46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18,615,000</w:t>
            </w: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149,925,000</w:t>
            </w: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260" w:type="dxa"/>
            <w:vAlign w:val="bottom"/>
            <w:tcBorders>
              <w:top w:val="single" w:sz="8" w:color="CCEEFF"/>
            </w:tcBorders>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34"/>
        </w:trPr>
        <w:tc>
          <w:tcPr>
            <w:tcW w:w="4620" w:type="dxa"/>
            <w:vAlign w:val="bottom"/>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over-allotment option has not been exercised and an aggregate of 543,750 shares of common stock held by our sponsor have been forfeited as a result thereof.</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net tangible book value after the offering is calculated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Without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With</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Over-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Over-</w:t>
            </w: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allotment</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allotment</w:t>
            </w:r>
          </w:p>
        </w:tc>
      </w:tr>
      <w:tr>
        <w:trPr>
          <w:trHeight w:val="432"/>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tangible book deficit before this offering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(13,972)</w:t>
            </w: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proceeds from this offering and sale of the private placement shares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146,250,000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168,000,000</w:t>
            </w: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Offering costs paid in advance, excluded from tangible book value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38,500</w:t>
            </w: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Deferred underwriting commissions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(5,075,000)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(5,836,250)</w:t>
            </w:r>
          </w:p>
        </w:tc>
      </w:tr>
      <w:tr>
        <w:trPr>
          <w:trHeight w:val="23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Proceeds held in trust subject to redemption</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(136,199,520)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(157,188,270)</w:t>
            </w:r>
          </w:p>
        </w:tc>
      </w:tr>
      <w:tr>
        <w:trPr>
          <w:trHeight w:val="210"/>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5,000,008</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5,000,008</w:t>
            </w:r>
          </w:p>
        </w:tc>
        <w:tc>
          <w:tcPr>
            <w:tcW w:w="100" w:type="dxa"/>
            <w:vAlign w:val="bottom"/>
            <w:tcBorders>
              <w:top w:val="single" w:sz="8" w:color="CCEEFF"/>
            </w:tcBorders>
          </w:tcPr>
          <w:p>
            <w:pPr>
              <w:spacing w:after="0"/>
              <w:rPr>
                <w:sz w:val="18"/>
                <w:szCs w:val="18"/>
                <w:color w:val="auto"/>
              </w:rPr>
            </w:pPr>
          </w:p>
        </w:tc>
      </w:tr>
      <w:tr>
        <w:trPr>
          <w:trHeight w:val="34"/>
        </w:trPr>
        <w:tc>
          <w:tcPr>
            <w:tcW w:w="8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outstanding prior to this offering</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4,168,750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4,168,750</w:t>
            </w: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forfeited if over-allotment is not exercised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(543,750)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being offered</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14,500,000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16,675,000</w:t>
            </w: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constituting Private Placement Shares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533,500</w:t>
            </w:r>
          </w:p>
        </w:tc>
      </w:tr>
      <w:tr>
        <w:trPr>
          <w:trHeight w:val="223"/>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Shares subject to redemption</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(13,619,952)</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(15,718,827)</w:t>
            </w:r>
          </w:p>
        </w:tc>
      </w:tr>
      <w:tr>
        <w:trPr>
          <w:trHeight w:val="248"/>
        </w:trPr>
        <w:tc>
          <w:tcPr>
            <w:tcW w:w="86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4,995,048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capitalization at June 30, 2020 and as adjusted to give effect to the sale of our common stock offered by this prospectus and the private shares and the application of the estimated net proceeds derived from the sale of such securities.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June 30, 2020</w:t>
            </w:r>
          </w:p>
        </w:tc>
      </w:tr>
      <w:tr>
        <w:trPr>
          <w:trHeight w:val="194"/>
        </w:trPr>
        <w:tc>
          <w:tcPr>
            <w:tcW w:w="86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90"/>
              <w:spacing w:after="0" w:line="194" w:lineRule="exact"/>
              <w:rPr>
                <w:sz w:val="20"/>
                <w:szCs w:val="20"/>
                <w:color w:val="auto"/>
              </w:rPr>
            </w:pPr>
            <w:r>
              <w:rPr>
                <w:rFonts w:ascii="Times New Roman" w:cs="Times New Roman" w:eastAsia="Times New Roman" w:hAnsi="Times New Roman"/>
                <w:sz w:val="18"/>
                <w:szCs w:val="18"/>
                <w:b w:val="1"/>
                <w:bCs w:val="1"/>
                <w:color w:val="auto"/>
              </w:rPr>
              <w:t>As</w:t>
            </w:r>
          </w:p>
        </w:tc>
        <w:tc>
          <w:tcPr>
            <w:tcW w:w="100" w:type="dxa"/>
            <w:vAlign w:val="bottom"/>
            <w:gridSpan w:val="2"/>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Adjusted (1)</w:t>
            </w:r>
          </w:p>
        </w:tc>
      </w:tr>
      <w:tr>
        <w:trPr>
          <w:trHeight w:val="216"/>
        </w:trPr>
        <w:tc>
          <w:tcPr>
            <w:tcW w:w="8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payable to related party (2)</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5,075,000</w:t>
            </w:r>
          </w:p>
        </w:tc>
        <w:tc>
          <w:tcPr>
            <w:tcW w:w="80" w:type="dxa"/>
            <w:vAlign w:val="bottom"/>
          </w:tcPr>
          <w:p>
            <w:pPr>
              <w:spacing w:after="0"/>
              <w:rPr>
                <w:sz w:val="19"/>
                <w:szCs w:val="19"/>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subject to possible redemption; -0- and 13,619,952 shares, actual and as adjusted, respectively</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136,199,520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 and 30,000,000 shares authorized, actual and as adjusted; 4,168,750 and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4,995,048 shares issued and outstanding (excluding -0- and 13,619,952 shares subject to possible redemption),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actual and as adjusted, respectively (3)</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24,583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4,999,980</w:t>
            </w:r>
          </w:p>
        </w:tc>
        <w:tc>
          <w:tcPr>
            <w:tcW w:w="80" w:type="dxa"/>
            <w:vAlign w:val="bottom"/>
            <w:shd w:val="clear" w:color="auto" w:fill="CCEEFF"/>
          </w:tcPr>
          <w:p>
            <w:pPr>
              <w:spacing w:after="0"/>
              <w:rPr>
                <w:sz w:val="18"/>
                <w:szCs w:val="18"/>
                <w:color w:val="auto"/>
              </w:rPr>
            </w:pPr>
          </w:p>
        </w:tc>
      </w:tr>
      <w:tr>
        <w:trPr>
          <w:trHeight w:val="223"/>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w:t>
            </w:r>
          </w:p>
        </w:tc>
        <w:tc>
          <w:tcPr>
            <w:tcW w:w="16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(472)</w:t>
            </w:r>
          </w:p>
        </w:tc>
      </w:tr>
      <w:tr>
        <w:trPr>
          <w:trHeight w:val="236"/>
        </w:trPr>
        <w:tc>
          <w:tcPr>
            <w:tcW w:w="8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capitalization</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49,553</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146,274,528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34"/>
        </w:trPr>
        <w:tc>
          <w:tcPr>
            <w:tcW w:w="8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ind w:left="440" w:hanging="432"/>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$4,900,000 we will receive from the sale of the private shares.</w:t>
      </w:r>
    </w:p>
    <w:p>
      <w:pPr>
        <w:spacing w:after="0" w:line="225"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has agreed to loan us $300,000 under unsecured promissory notes to be sued for a portion of the expenses in this offering. To date, our sponsor loaned us $127,231 pursuant to the promissory note. The loans are non-interest bearing and payable on the date on which we consummate the offering.</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over-allotment option has not been exercised and an aggregate of 543,750 shares of common stock held by our sponsor have been forfeited as a result thereof.</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were incorporated on May 21, 2020 as a Delaware corporation to serve as a vehicle to effect a merger, share exchange, asset acquisition, share purchase, recapitalization, reorganization or similar business combination with one or more target businesses. Our efforts to identify a prospective target business will not be limited to a particular industry or geographic location. We intend to utilize cash derived from the proceeds of this offering, our securities, debt or a combination of cash, securities and debt, in effecting a business combination. The issuance of additional shares in our business combination:</w:t>
      </w:r>
    </w:p>
    <w:p>
      <w:pPr>
        <w:spacing w:after="0" w:line="18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reduce the equity interest of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common stock if we issue preferred shares with rights senior to those afforded to our shares of common stock;</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securities.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Similarly, if we issue debt securities, it could result in:</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 business combination are insufficient to pay our debt obligations;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additional financing, if necessary, if the debt security contains covenants restricting our ability to obtain additional financing while such security is outstanding.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indicated in the accompanying financial statements, at June 30, 2020, we had approximately $25,000 in cash and $38,500 in deferred offering costs. Further, we expect to continue to incur significant costs in the pursuit of our acquisition plans. Our plans to raise capital or to consummate our initial business combination may not be successful.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and Known Trends or Future Events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indicated in the accompanying financial statements, at June 30, 2020, we had approximately $25,000 in cash and working capital deficit of approximately $(14,000). Further, we have incurred and expect to continue to incur significant costs in pursuit of our financing and acquisition plans. Management’s plans to address this uncertainty through this offering are discussed above. Our plans to raise capital or to consummate our initial business combination may not be successful. These factors, among others, raise substantial doubt about our ability to continue as a going concern.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liquidity needs have been satisfied to date through receipt of $25,000 from the sale of the insider shares and loans from our sponsor of up to $300,000 under unsecured promissory notes. We estimate that the net proceeds from (1) the sale of common stock in this offering, after deducting offering expenses of approximately $750,000 and underwriting fees of $2,900,000 (or $3,335,000 if the over-allotment option is exercised in full) (2) the sale of the private shares for a purchase price of $4,900,000 (or $5,335,000 if the over-allotment option is exercised in full) will be $126,250,000 (or $145,500,000 if the over-allotment option is exercised in full). Of this amount, $145,000,000 (or $166,750,000 if the over-allotment option is exercised in full) will be held in the trust account. The remaining $1,250,000 (whether or not the over-allotment option is exercised in full) will not be held in the trust account.</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intend to use substantially all of the net proceeds of this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Over the next 24 months (assuming a business combination is not consummated prior thereto), we will be using the funds held outside of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Out of the funds available outside the trust account, we anticipate that we will incur approximately:</w:t>
      </w:r>
    </w:p>
    <w:p>
      <w:pPr>
        <w:spacing w:after="0" w:line="183" w:lineRule="exact"/>
        <w:rPr>
          <w:sz w:val="20"/>
          <w:szCs w:val="20"/>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 of expenses for the search for target businesses and for the legal, accounting and other third-party expenses attendant to the due diligence investigations, structuring and negotiating of a business combination;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of expenses for the due diligence and investigation of a target business by our officers, directors and initial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of expenses in legal and accounting fees relating to our SEC reporting obligations;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$240,000 for the payment of the administrative fee to an affiliate of BCTG Holdings, LLC, our sponsor (of $10,000 per month for up to 24 months), subject to deferral as described herein;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$510,000 for general working capital that will be used for miscellaneous expenses, including director and officer liability insurance premiums.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BCTG Holdings, LLC, our sponsor, has committed to purchase from us an aggregate of 490,000 shares of our common stock (or 533,500 shares if the underwriter’s over-allotment option is exercised in full) at a price of $10.00 per share ($4,900,000 in the aggregate, or $5,335,000 in the aggregate if the underwriter’s over-allotment option is exercised in full), in a private placement that will close simultaneously with the closing of this offering. This purchase will take place on a private placement basis simultaneously with the consummation of this offering.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needed to finance transaction costs in connection with searching for a target business or consummating an intended initial business combination, our initial stockholders,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either be paid upon consummation of our initial business combination, without interest, or, at the lender’s discretion, up to $1,500,000 of the notes may be converted upon consummation of our business combination into additional private shares at a price of $10.00 per share (which, for example, would result in the holders being issued 50,000 shares if $500,000 of notes were so converted). Such private shares will be identical to the private shares to be issued at the closing of this offering. We believe the purchase price of these private shares will approximate the fair value of such private shares when issued. However, if it is determined, at the time of issuance, that the fair value of such private shares exceeds the purchase price, we would record compensation expense for the excess of the fair value of the private shares on the day of issuance over the purchase price in accordance with Accounting Standards Codification (“ASC”) 718 — Compensation — Stock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As of the date of this prospectus, we have not completed an assessment, nor have our auditors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Target businesses we may consider for our initial business combination may have internal controls that need improvement in areas such as:</w:t>
      </w:r>
    </w:p>
    <w:p>
      <w:pPr>
        <w:spacing w:after="0" w:line="18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for financial, accounting and external reporting areas, including segregation of duties;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accounts;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recording of expenses and liabilities in the period to which they relate;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internal review and approval of accounting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processes, assumptions and conclusions underlying significant estimates;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accounting policies and procedures.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Once our management’s report on internal controls is complete, we will retain our independent auditors to audit and render an opinion on such report when, or if, required by Section 404. The independent auditors may identify additional issues concerning a target business’s internal controls while performing their audit of internal control over financial reporting.</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net proceeds of this offering, including amounts in the trust account, will be invested in United States government treasury bills, bonds or notes having a maturity of 185 days or less, or in money market funds meeting the applicable conditions under Rule 2a-7 promulgated under the Investment Company Act of 1940 and that invest solely in U.S. treasuries. Due to the short-term nature of these investments, we believe there will be no associated material exposure to interest rate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Commitments and Contractual Obligations; Quarterly Results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we did not have any off-balance sheet arrangements as defined in Item 303(a)(4)(ii) of Regulation S-K and did not have any commitments or contractual obligations. No unaudited quarterly operating data is included in this prospectus as we have conducted no operations to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such, our financial statements may not be comparable to companies that comply with public company effective dates.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PROPOSED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newly organized blank check company incorporated in May 2020 as a Delaware corporation formed for the purpose of effecting a merger, capital stock exchange, asset acquisition, stock purchase, reorganization or similar business combination with one or more businesses, which we refer to throughout this prospectus as our initial business combination. While we may pursue an acquisition opportunity in any business, industry, sector or geographical location, we intend to focus on innovative companies in the biotechnology sector in North America and Europe in order to most effectively leverage our management team’s background and expertise.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date, our efforts have been limited to organizational activities as well as activities related to this offering. We have generated no operating revenues to date, and we do not expect that we will generate operating revenues until we consummate our initial business combination. We have not selected any specific business combination target, and we have not, nor has anyone on our behalf, initiated any substantive discussions, directly or indirectly, with any business combination target.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Sponsor and Competitive Advantages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sponsor is an affiliate of Boxer Capital, LLC, or Boxer Capital, a private biopharmaceutical investment firm based in San Diego, California. Boxer Capital and its affiliated funds manage over $2.2 billion in assets as of July 14, 2020. Boxer Capital was founded in 2005 with approximately $6 million in seed capital from its managing founders and Tavistock Group, which is the family office of Joseph C. Lewis. Since its inception, Boxer Capital has almost exclusively focused on investment in therapeutics. Over 80% of Boxer Capital’s current asset base has been generated by fund performance. Boxer Capital has generated a 7500% cumulative 15-year return with an annualized IRR of 34.3%, including three-, five- and seven-year annualized IRRs of 69.7%, 46.9%, and 51.4%, respectively, since inception in November 2005.</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Today, Tavistock Group remains the majority investor in Boxer Capital and the only significant investor besides the founding management team. Due to its majority ownership by a single investor, Boxer Capital is able to make investment decisions based on long-term value creation without the short-term distractions of fundraising or redemptions. Boxer Capital invests in the entire drug development lifecycle from early-stage preclinical discovery assets to late-stage clinical and commercial stage companies. Aaron Davis, our Chief Executive Officer and Chairman, and Christopher Fuglesang, our President, are among the co-founders of Boxer Capital and serve as its Chief Executive Officer and Managing Director, respectively.</w:t>
      </w:r>
    </w:p>
    <w:p>
      <w:pPr>
        <w:spacing w:after="0" w:line="1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Boxer Capital’s investment focus is on identifying new therapeutics that will improve patient care and outcomes and investing behind these opportunities to fund their advancement. While more than 75% of Boxer Capital’s invested capital is in public corporations at any given time, the team spends a significant amount of its time reviewing private investment opportunities. Through its experience over many of years investing in therapeutics, Boxer Capital believes that there are important advantages to evaluating companies in the early stage of their development. Investing early allows Boxer Capital to learn about an asset and a management team before they become public and track their growth for subsequent consideration. Many of Boxer Capital’s largest historical and present public positions, such as Avexis, Inc, Beigene Inc., and Blueprint Medicines Corp., were built over time from pre-initial public offering investments utilizing this “crossover investing” approach. Since 2018, Boxer Capital has evaluated hundreds of private companies per year, while investing approximately $300 million in 29 private companies, 18 of which are now publicly traded. In 2020, nine of Boxer Capital’s portfolio companies have closed an initial public offering: Avidity Biosciences, Inc., Black Diamond Therapeutics, Inc., iTeos Therapeutics, Inc., Nurix Pharmaceuticals, Inc., Pandion Therapeutics, Inc., Passage Bio, Inc., Poseida Therapeutics, Inc., Relay Therapeutics, Inc., and Revolution Medicines, Inc. Boxer Capital was the lead investor for the private crossover round in four of these nine initial public offerings and has been the lead investor in nine private financings since 2018. Boxer Capital has invested substantial time and money in new company formation projects centered around licensing promising agents from pharmaceutical companies and pairing these assets with world-class managers and operators to help seed company formation. Boxer Capital has formed and/or recapitalized and rebuilt three publicly traded companies since inception, demonstrating the level of experience and direction the team can provide alongside funding to a potential combination partner.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 fundamental area of strength for Boxer Capital has been targeted oncology, having focused on investing in this sector of healthcare for most of the last ten years. For example, Boxer Capital has led an active effort in recapitalizing and repositioning Mirati Therapeutics, Inc. since 2012 when it was MethylGene Inc., playing an important strategic and financial role over the years with its board seat and ownership level to assist the company with its re-focus on an internally developed pipeline of KRAS inhibitor assets, alongside the repositioning of later-stage clinical assets like sitravatinib. Boxer Capital has also made large traditional investments in targeted oncology companies like Immunomedics, Inc., Ignyta Inc. (acquired by Roche in 2017), Loxo Oncology, Inc. (acquired by Eli Lilly and Company in 2019) and Array BioPharma Inc. (acquired by Pfizer in 2019). In addition to investments in already-public companies, Boxer Capital has made multiple investments in private targeted oncology companies that are now among the sector’s most promising public companies, including BeiGene, Inc., Odonate Therapeutics, Inc., SpringWorks Therapeutics, Inc., Revolution Medicines, Inc., Black Diamond Therapeutics, Inc. and Relay Therapeutics, Inc. Over time, with this heavy focus on investing in targeted oncology, Boxer Capital has built a network of research scientists, chemists, physicians, and other experts in areas like manufacturing, intellectual property and food and drug regulations who have expertise in targeted oncology and can be called upon as needed to assist with diligence. To further bolster our support in this area, we have assembled a board of individuals who each have particular expertise in the area of targeted oncology, among other areas. Although we may pursue an acquisition opportunity in any business, industry, or sector, we believe targeted oncology is an area of particular strength where we may have a competitive advantage in finding, evaluating and capitalizing an attractive target company.</w:t>
      </w:r>
    </w:p>
    <w:p>
      <w:pPr>
        <w:spacing w:after="0" w:line="19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team at Boxer Capital is comprised of individuals with backgrounds in finance, drug development, medicine and science. The majority of the team has doctorates in medicine and science, and some have been responsible for multiple Investigational New Drug Applications and New Drug Applications. The in-house team is supplemented by a proprietary network of key opinion leaders, expert consultants, healthcare executives, and biotechnology investors. We believe their holistic approach will enable us to identify and evaluate innovative companies that can address unmet needs in healthcare.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independent directors have very broad experience within targeted oncology, spanning biology, chemistry, preclinical models and translation, clinical enrichment and development strategy, regulatory strategy, manufacturing, intellectual property, operational and management leadership within multiple successful publicly traded and previously acquired oncology companies. Our independent directors have led the discovery and clinical development of multiple targeted oncology drugs treating cancer patients worldwide. As we evaluate prospective candidates for our initial business combination, we believe that their breadth of experience will assist in our ability to source and evaluate prospective business combination candidates. After we execute our initial business combination, we believe their operational and strategic expertise will strongly support the drug development efforts of our target, as well as any potential future acquisitions and strategic transactions.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identifying and capitalizing an attractive target, we believe that the sector expertise and broad relationship network of our management team and board of directors will allow them to add significant value after consummation of an initial transaction by (1) providing strategic guidance on clinical development, competitive positioning, financing and partnerships, (2) assisting in the recruitment of key executives, (3) providing an investor perspective on market information and investor relations and (4) corporate governance and public company readiness.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past performance of the members of our management team, Boxer Capital or its affiliates is not a guarantee that we will be able to identify a suitable candidate for our initial business combination or of success with respect to any business combination we may consummate. You should not rely on the historical record or the performance of our management, Boxer Capital or any of its affiliates’ or managed fund’s performance as indicative of our future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Management and Board of Directors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Aaron I. Davis </w:t>
      </w:r>
      <w:r>
        <w:rPr>
          <w:rFonts w:ascii="Times New Roman" w:cs="Times New Roman" w:eastAsia="Times New Roman" w:hAnsi="Times New Roman"/>
          <w:sz w:val="18"/>
          <w:szCs w:val="18"/>
          <w:color w:val="auto"/>
        </w:rPr>
        <w:t>has served as our Chief Executive Officer and Chairman of our board of directors since May 2020. Mr. Davis co-founded Boxer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LLC (“Boxer Capital”), the healthcare arm of the Tavistock Group, where he has served as portfolio manager since 2005 and as Chief Executive Officer since 2012. At Boxer Capital, Mr. Davis is responsible for identifying, evaluating and structuring investment opportunities in private and public biotechnology companies. Mr. Davis serves as a member of the board of directors of Mirati Therapeutics, Inc. (Nasdaq:MRTX), Odonate Therapeutics, Inc. (Nasdaq:ODT), iTeos Therapeutics, Inc. (Nasdaq:ITOS), and Sojournix, Inc. and serves as the Executive Chairman of CiVi Biopharma Holdings, Inc. Prior to joining the Tavistock Group, Mr. Davis worked in the Global Healthcare Investment Banking and Private Equity Groups at UBS Warburg, LLC. Mr. Davis received an M.A. degree in biotechnology from Columbia University and a B.B.A. degree in finance from Emory University.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Christopher Fuglesang, Ph.D., J.D., </w:t>
      </w:r>
      <w:r>
        <w:rPr>
          <w:rFonts w:ascii="Times New Roman" w:cs="Times New Roman" w:eastAsia="Times New Roman" w:hAnsi="Times New Roman"/>
          <w:sz w:val="18"/>
          <w:szCs w:val="18"/>
          <w:color w:val="auto"/>
        </w:rPr>
        <w:t>has served as our President and as a member of our board of directors since May 2020. Dr. Fuglesang joined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Tavistock Group in 2005 as a vice president and was a co-founder of Boxer Capital, where he has been a managing director since 2012. At Boxer Capital, Dr. Fuglesang assists in managing the firm’s research team, deal structuring and securities compliance. Prior to joining Boxer Capital, Dr. Fuglesang was vice president at Eidogen-Sertanty, Inc., a structural proteomics software company, and an attorney at Perkins Coie LLC. Dr. Fuglesang is a member of the board of directors of Pandion Therapeutics, Inc. (Nasdaq:PAND), CiVi Biopharma Holdings, Inc. and Eidogen-Sertanty, Inc. Dr. Fuglesang served as a member of the board of directors of Kalypsys, Inc. from 2007 to 2013 and of Ambrx Inc. from 2011 to 2015. Dr. Fuglesang received a B.S. in chemistry and physics from the University of California at Los Angeles, a Ph.D. in theoretical chemical physics from the University of California at Los Angeles, and a J.D. from Boston University.</w:t>
      </w:r>
    </w:p>
    <w:p>
      <w:pPr>
        <w:spacing w:after="0" w:line="18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Michael Beauchamp </w:t>
      </w:r>
      <w:r>
        <w:rPr>
          <w:rFonts w:ascii="Times New Roman" w:cs="Times New Roman" w:eastAsia="Times New Roman" w:hAnsi="Times New Roman"/>
          <w:sz w:val="18"/>
          <w:szCs w:val="18"/>
          <w:color w:val="auto"/>
        </w:rPr>
        <w:t>has served as our Chief Financial Officer and Treasurer since May 2020. Mr. Beauchamp has served as Vice President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at Boxer Capital since January 2016, where he is responsible for the firm’s back office operations, including finance, tax, audit and administration. Prior to joining Boxer Capital, Mr. Beauchamp worked in the assurance practice at PricewaterhouseCoopers from 2012 to 2016. Mr. Beauchamp received a Bachelor of Accountancy degree from the University of San Diego.</w:t>
      </w:r>
    </w:p>
    <w:p>
      <w:pPr>
        <w:spacing w:after="0" w:line="17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Andrew Ellis, M.D., J.D., </w:t>
      </w:r>
      <w:r>
        <w:rPr>
          <w:rFonts w:ascii="Times New Roman" w:cs="Times New Roman" w:eastAsia="Times New Roman" w:hAnsi="Times New Roman"/>
          <w:sz w:val="18"/>
          <w:szCs w:val="18"/>
          <w:color w:val="auto"/>
        </w:rPr>
        <w:t>has served as our Chief Operating Officer and Secretary since May 2020. Dr. Ellis has served as Senior Counsel and Head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Compliance at Boxer Capital since July 2018, where he is responsible for securities compliance, deal structuring and due diligence for investments in private and public healthcare companies. Prior to joining Boxer Capital, Dr. Ellis was a corporate and securities attorney at Wilson Sonsini Goodrich &amp; Rosati, P.C. from 2013 to 2018, where he worked with life sciences companies and investors on a variety of corporate transactions. Dr. Ellis received an M.D. and general surgery training at Baylor College of Medicine, a J.D. from New York University School of Law, and a B.S. degree in Biology from Baylor University.</w:t>
      </w:r>
    </w:p>
    <w:p>
      <w:pPr>
        <w:spacing w:after="0" w:line="1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Carole L. Nuechterlein, J.D., </w:t>
      </w:r>
      <w:r>
        <w:rPr>
          <w:rFonts w:ascii="Times New Roman" w:cs="Times New Roman" w:eastAsia="Times New Roman" w:hAnsi="Times New Roman"/>
          <w:sz w:val="18"/>
          <w:szCs w:val="18"/>
          <w:color w:val="auto"/>
        </w:rPr>
        <w:t>has agreed to serve on our board of directors following the completion of this offering. Ms. Nuechterlein joined 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Hoffmann-La Roche Ltd. in 2001 and currently serves as a Deputy Director and head of Roche Venture Fund. Prior to that, from 1998 to 2001, Ms. Nuechterlein served as General Counsel for SangStat, Inc., a biopharmaceutical company. Ms. Nuechterlein has served as a member of the board of directors of Millendo Therapeutics, Inc. (Nasdaq:MLND) since March 2017. Ms. Nuechterlein serves and has served as a member of the boards of directors of a number of private biotechnology companies, including Entrada Therapeutics since April 2020, Aligos Therapeutics since August 2018, Vivet Therapeutics SAS since April 2017, CiVi BioPharma, Inc. since March 2017, Mission Therapeutics Ltd. since January 2017, Arch Oncology Inc. since August 2016 and Second Genome, Inc. since April 2016. She also served as a member of the board of directors of AveXis Inc., a biotechnology company (Nasdaq:AVXS), from October 2014 to May 2017. Ms. Nuechterlein received a B.A. from Valparaiso University and a J.D. from University of Michigan.</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Richard Heyman, Ph.D., </w:t>
      </w:r>
      <w:r>
        <w:rPr>
          <w:rFonts w:ascii="Times New Roman" w:cs="Times New Roman" w:eastAsia="Times New Roman" w:hAnsi="Times New Roman"/>
          <w:sz w:val="18"/>
          <w:szCs w:val="18"/>
          <w:color w:val="auto"/>
        </w:rPr>
        <w:t>has agreed to serve on our board of directors following the completion of this offering. Dr. Heyman is chairman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and co-founder of Metacrine, Inc., a biotechnology company developing new therapeutics for the treatment of liver and gastrointestinal diseases. He also is on the board of directors of Gritstone Oncology, Inc. (Nasdaq:GRTS) and is the co-founder and chairman of the board of directors of ORIC Pharmaceuticals, Inc. (Nasdaq:ORIC). Previously, Dr. Heyman served as president and chief executive officer of Seragon Pharmaceuticals Inc., or Seragon, a privately-held biotechnology company, which was acquired by Genentech in 2014. Prior to Seragon, he co-founded and served as president and chief executive officer of Aragon Pharmaceuticals, Inc., or Aragon, until it was purchased by Johnson &amp; Johnson in 2013. Dr. Heyman is a venture partner for Arch Ventures and also serves on the boards of directors for private life sciences companies Yumanity Therapeutics, Inc., Vividion Therapeutics, Inc., PMV Pharmaceuticals, Inc. and Amunix Inc. He is Vice Chair of the Board of Trustees at the Salk Institute, on the Board Foundation for the American Association for Cancer Research, or AACR, and on the Board of Visitors at the University of California at San Diego Moores Cancer Center. Dr. Heyman received a B.S. in chemistry from the University of Connecticut and a Ph.D. in pharmacology from the University of Minnesota. He was an NIH post-doctoral fellow and staff scientist at the Salk Institute.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Charles M. Baum, M.D., Ph.D., </w:t>
      </w:r>
      <w:r>
        <w:rPr>
          <w:rFonts w:ascii="Times New Roman" w:cs="Times New Roman" w:eastAsia="Times New Roman" w:hAnsi="Times New Roman"/>
          <w:sz w:val="18"/>
          <w:szCs w:val="18"/>
          <w:color w:val="auto"/>
        </w:rPr>
        <w:t>has agreed to serve on our board of directors following the completion of this offering. Dr. Baum has been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Executive Officer and a member of the board of directors of Mirati Therapeutics, Inc. since November 2012. From June 2003 to September 2012, he was at Pfizer as Senior Vice President for Biotherapeutic Clinical Research within Pfizer’s Worldwide Research &amp; Development division and as Vice President and Head of Oncology Development and Chief Medical Officer for Pfizer’s Biotherapeutics and Bioinnovation Center. From 2000 to 2003, he was responsible for the development of several oncology compounds at Schering-Plough Corporation (acquired by Merck). His career has included academic and hospital positions at Stanford University and Emory University, as well as positions of increasing responsibility within the pharmaceutical industry at SyStemix, Inc. (acquired by Novartis AG), G.D. Searle &amp; Company (acquired by Pfizer), Schering-Plough Corporation (acquired by Merck) and Pfizer. Dr. Baum has served on the board of directors of Immunomedics, Inc. (Nasdaq:IMMU) since February 2019 and was on the board of directors of Array BioPharma Inc. from 2014 until its acquisition by Pfizer in July 2019. Dr. Baum received his M.D. and Ph.D. (Immunology) degrees from Washington University School of Medicine in St. Louis, Missouri and completed his post-doctoral training at Stanford University.</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Jamie G. Christensen, Ph.D., </w:t>
      </w:r>
      <w:r>
        <w:rPr>
          <w:rFonts w:ascii="Times New Roman" w:cs="Times New Roman" w:eastAsia="Times New Roman" w:hAnsi="Times New Roman"/>
          <w:sz w:val="18"/>
          <w:szCs w:val="18"/>
          <w:color w:val="auto"/>
        </w:rPr>
        <w:t>has agreed to serve on our board of directors following the completion of this offering. Dr. Christensen has been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Vice President and Chief Scientific Officer of Mirati Therapeutics, Inc. since June 2013. In his role at Mirati, he is responsible for drug discovery, translational research, drug manufacturing and companion diagnostics research and teams. While at Mirati, Dr. Christensen led activities related to the discovery and advancement of the KRAS G12C inhibitor, MRTX849, as well as the spectrum-selective receptor tyrosine kinase (RTK) inhibitor, sitravatinib, through IND and clinical development. Prior to Mirati, Dr. Christensen most recently was the head of Oncology Precision Medicine and member of the executive leadership team in the Oncology Research Unit at Pfizer. While at Pfizer, Dr Christensen led key aspects of the nonclinical and clinical development of sunitinib (Sutent®), crizotinib (Xalkori®), and palbociclib (Ibrance®). Prior to his time at Pfizer, he held positions at SUGEN/Pharmacia as a Group Leader on the Preclinical Research and Exploratory Development team. Dr. Christensen initiated his industry experience at Warner Lambert/Parke-Davis with research focus in RTK biology and pathway biomarker development in the oncology therapeutic area. Dr. Christensen received his Ph.D. focusing in Molecular Pharmacology from North Carolina State University with dissertation research directed toward characterization of mechanisms of apoptosis dysregulation during the process of carcinogenesis.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Opportunity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the biotechnology sector represents a tremendous opportunity for growth, with many promising pre-commercial companies seeking funding and guidance from knowledgeable investment firms. There are multiple trends in the sector that contribute to this growth potential, and we believe they will enable us to identify and acquire an attractive target. These trends include the following:</w:t>
      </w:r>
    </w:p>
    <w:p>
      <w:pPr>
        <w:spacing w:after="0" w:line="176" w:lineRule="exact"/>
        <w:rPr>
          <w:sz w:val="20"/>
          <w:szCs w:val="20"/>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Rising U.S. healthcare costs</w:t>
      </w:r>
      <w:r>
        <w:rPr>
          <w:rFonts w:ascii="Times New Roman" w:cs="Times New Roman" w:eastAsia="Times New Roman" w:hAnsi="Times New Roman"/>
          <w:sz w:val="18"/>
          <w:szCs w:val="18"/>
          <w:color w:val="auto"/>
        </w:rPr>
        <w:t>. According to the Centers for Medicare and Medicaid Services, or CMS, national healthcare expenditures reached $3.6 trillion in 2018 and accounted for 17.7% of the U.S. GDP. CMS projects that healthcare expenditures will grow at an average rate of 5.4% per year until 2028, when they are predicted to reach $6.2 trillion, or 20% of the U.S. GDP. We believe these budgetary pressures will support the demand for biotechnology companies that create more efficient and effective medical treatments.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Technological progress driving innovation</w:t>
      </w:r>
      <w:r>
        <w:rPr>
          <w:rFonts w:ascii="Times New Roman" w:cs="Times New Roman" w:eastAsia="Times New Roman" w:hAnsi="Times New Roman"/>
          <w:sz w:val="18"/>
          <w:szCs w:val="18"/>
          <w:color w:val="auto"/>
        </w:rPr>
        <w:t>. Biotechnology innovation has accelerated in recent years due to new technology, including advances in computing, artificial intelligence, genetics and cellular engineering. Biotechnology companies have used these tools in many ways, particularly for breakthrough discoveries in the areas of targeted oncology, gene therapy, gene editing and cell therapy. We believe the pace of this advancement can persist and even grow, which could result in many new therapies that address unmet needs.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and public financing activity</w:t>
      </w:r>
      <w:r>
        <w:rPr>
          <w:rFonts w:ascii="Times New Roman" w:cs="Times New Roman" w:eastAsia="Times New Roman" w:hAnsi="Times New Roman"/>
          <w:sz w:val="18"/>
          <w:szCs w:val="18"/>
          <w:color w:val="auto"/>
        </w:rPr>
        <w:t>. The biotechnology IPO “window” has long served as a bellwether for the health of the sector, and recent IPO activity has been strong. According to Renaissance Capital, there were 58 biotechnology IPOs in 2018 and 51 in 2019, raising an aggregate of $6.3 billion and $5.2 billion, respectively. As of July 14, 2020, 29 biotechnology companies have launched successful IPOs year-to-date to raise an aggregate of $4.8 billion. Encouraged by the prospect of a similar result, demand for private financings has also remained strong in 2020. These market dynamics reflect investors’ belief in the long-term growth of the biotechnology industry.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both"/>
        <w:ind w:left="660" w:hanging="328"/>
        <w:spacing w:after="0" w:line="258"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M&amp;A activity</w:t>
      </w:r>
      <w:r>
        <w:rPr>
          <w:rFonts w:ascii="Times New Roman" w:cs="Times New Roman" w:eastAsia="Times New Roman" w:hAnsi="Times New Roman"/>
          <w:sz w:val="18"/>
          <w:szCs w:val="18"/>
          <w:color w:val="auto"/>
        </w:rPr>
        <w:t>. In recent years, large pharmaceutical companies have increasingly outsourced certain research and development functions by investing in and acquiring companies and assets to supplement their pipelines. 2019 was a particularly strong year for biotechnology M&amp;A, with $217.2 billion in M&amp;A deals according to EvaluatePharma. While M&amp;A activity has slowed thus far in 2020, and the full effect of the COVID-19 pandemic is not yet determinable, we believe the need for large pharmaceutical companies to replenish their drug pipelines will persist and will continue to support growth in the biotechnology industry.</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 more accommodating FDA</w:t>
      </w:r>
      <w:r>
        <w:rPr>
          <w:rFonts w:ascii="Times New Roman" w:cs="Times New Roman" w:eastAsia="Times New Roman" w:hAnsi="Times New Roman"/>
          <w:sz w:val="18"/>
          <w:szCs w:val="18"/>
          <w:color w:val="auto"/>
        </w:rPr>
        <w:t>. According to a recent article in JAMA, the FDA has approved more drugs on an average annual basis in this decade than in any decade since 1990. A recent article in Nature noted that, after hitting a record-breaking 59 novel drug approvals in 2018, the FDA’s Center for Drug Evaluation and Research, or CDER, approved 48 novel drugs in 2019, which was the third largest number of approvals in the past 25 years. This is due in part to the increased use of special approval and development programs such as fast track designation, breakthrough therapy designation and accelerated approval, but it also reflects the FDA’s increased flexibility as it relates to factors like biomarkers and trial design. A continuance of this trend would support drug development efforts and investment.</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Strength despite COVID-19</w:t>
      </w:r>
      <w:r>
        <w:rPr>
          <w:rFonts w:ascii="Times New Roman" w:cs="Times New Roman" w:eastAsia="Times New Roman" w:hAnsi="Times New Roman"/>
          <w:sz w:val="18"/>
          <w:szCs w:val="18"/>
          <w:color w:val="auto"/>
        </w:rPr>
        <w:t>. The Nasdaq Biotech Index (NBI) has outperformed the general market thus far in 2020, with a 12% return for the NBI versus a 1% decline for the S&amp;P 500 as of July 14, 2020. We believe this demand is fueled in part by a renewed focus on the biotechnology sector as a result of the COVID-19 pandemic, which has served as a reminder of the important role biotechnology plays in solving global health problems. We believe this paradigm can serve as an additional tailwind for the growth of promising, innovative biopharmaceutical companies.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becoming publicly traded presents several major benefits for private biotechnology companies, including greater access to capital, more liquid securities and increased customer awareness. Furthermore, we believe an acquisition by a special purpose acquisition company with a respected management team that is well-known to a biotechnology investors and management teams can be a very attractive mechanism for accessing the public markets due to the increased deal certainty, transparency and efficiency it can provide.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Strategy &amp; Investment Criteria</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strategy is to leverage our management team’s expertise and network of key opinion leaders, expert consultants, healthcare executives, biotechnology investors and investment bankers to identify and acquire an attractive target business in the biotechnology industry. We believe that Boxer Capital’s reputation and track record of favorable investments are an additional competitive advantage that will make us an attractive partner for companies in this competitive environment.</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part of our overall strategy, we have identified a set of criteria by which we will evaluate prospective target businesses. While we may enter into a business combination with a company that does not meet all of these criteria, we intend to focus on companies that we believe:</w:t>
      </w:r>
    </w:p>
    <w:p>
      <w:pPr>
        <w:spacing w:after="0" w:line="162" w:lineRule="exact"/>
        <w:rPr>
          <w:sz w:val="20"/>
          <w:szCs w:val="20"/>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identified a unique mechanism, developed a novel approach to a known mechanism, or made another scientific or technological leap that provides them with a competitive advantage versus current standard of care;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competent management team with the experience and skillset that is necessary to successfully develop and commercialize promising drug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attractively valued due to being overlooked, misunderstood or undercapitalized, leaving ample upside for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thesis that can be understood and appreciated by public investors in the current environment;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benefit from our capital, guidance and network and the public market access we can provide.</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above criteria are not meant to be exhaustive, and our management team may adopt new or unique criteria over time and depending on each particular situation.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Effecting a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shares, our shares,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not identified any acquisition targets. From the period prior to our formation through the date of this prospectus, there have been no communications, evaluations or discussions between any of our officers, directors or our sponsor and any of their contacts or relationships regarding a potential initial business combination. Additionally, we have not engaged or retained any agent or other representative to identify or locate any suitable acquisition candidate. Subject to the requirement that our initial business combination must be with one or more target businesses or assets having an aggregate fair market value of at least 80% of the value of the trust account (excluding any taxes payable) at the time of the agreement to enter into such initial business combination, we have virtually unrestricted flexibility in identifying and selecting one or more prospective target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sponsor has entered into an agreement with us to purchase at least an aggregate of 2,500,000 shares of common stock, for an aggregate purchase price of $25,000,000, or $10.00 per share of common stock, prior to, concurrently with, or following the closing of our business combination in a private placement. The capital from such transaction may be used as part of the consideration to the sellers in our initial business combination, and any excess capital from such private placement would be used for working capital in the post-transaction company. If we sell shares to our sponsor (or any other investor) in connection with our initial business combination, the equity interest of investors in this offering in the combined company may be diluted and the market prices for our securities may be adversely affected. In addition, if the per share trading price of our shares of common stock is greater than the price per share paid in the private placement, the private placement will result in value dilution to you, in addition to the immediate dilution that you will experience in connection with the consummation of this offering. See “Dilution.”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Target Businesses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this prospectus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19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company that is affiliated with our sponsor, officers or directors. In the event we seek to complete our initial business combination with such a company, we, or a committee of independent directors, would obtain an opinion from an independent investment banking firm or another independent entity that commonly renders valuation opinions on the type of target business we seek to acquire that such an initial business combination is fair to our unaffiliated stockholders from a financial point of view.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Selection of a Target Business and Structuring of a Business Combination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Subject to the requirement that our initial business combination must be with one or more target businesses or assets having an aggregate fair market value of at least 80% of the value of the trust account (excluding any taxes payable) at the time of the agreement to enter into such initial business combination, our management will have virtually unrestricted flexibility in identifying and selecting one or more prospective target businesses. In any case, we will only consummate an initial business combination in which we become the majority shareholder of the target (or control the target through contractual arrangements in limited circumstances for regulatory compliance purposes as discussed below)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There is no basis for investors in this offering to evaluate the possible merits or risks of any target business with which we may ultimately complete our initial business combination. To the extent we effect our initial business combination with a company or business that may be financially unstable or in its early stages of development or growth (such as a company that has begun operations but is not yet at the stage of commercial manufacturing and sales), we may be affected by numerous risks inherent in such company or business. Although our management will endeavor to evaluate the risks inherent in a particular target business, we may not properly ascertain or assess all significant risk factors.</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which will be made available to us.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Market Value of Target Business or Businesses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target business or businesses or assets with which we effect our initial business combination must have a collective fair market value equal to at least 80% of the value of the trust account (excluding any taxes payable) at the time of the agreement to enter into such initial business combination. If we acquire less than 100% of one or more target businesses in our initial business combination, the aggregate fair market value of the portion or portions we acquire must equal at least 80% of the value of the trust account at the time of the agreement to enter into such initial business combination. However, we will always acquire at least a controlling interest in a target business. The fair market value of a portion of a target business or assets will likely be calculated by multiplying the fair market value of the entire business by the percentage of the target we acquire. We may seek to consummate our initial business combination with an initial target business or businesses with a collective fair market value in excess of the balance in the trust account. In order to consummate such an initial business combination, we may issue a significant amount of debt, equity or other securities to the sellers of such business and/or seek to raise additional funds through a private offering of debt, equity or other securities. If we issue securities in order to consummate such an initial business combination, our stockholders could end up owning a minority of the combined company’s voting securities as there is no requirement that our stockholders own a certain percentage of our company (or, depending on the structure of the initial business combination, an ultimate parent company that may be formed) after our business combination. Because we have no specific business combination under consideration, we have not entered into any such arrangement to issue our debt or equity securities and have no current intention of doing so.</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fair market value of a target business or businesses or assets will be determined by our board of directors based upon standards generally accepted by the financial community, such as actual and potential gross margins, the values of comparable businesses, earnings and cash flow, book value, enterprise value and, where appropriate, upon the advice of appraisers or other professional consultants. Investors will be relying on the business judgment of our board of directors, which will have significant discretion in choosing the standard used to establish the fair market value of a particular target business. If our board of directors is not able to independently determine that the target business or assets has a sufficient fair market value to meet the threshold criterion, we will obtain an opinion from an unaffiliated, independent investment banking firm or another independent entity that commonly renders valuation opinions on the type of target business we seek to acquire with respect to the satisfaction of such criterion. Notwithstanding the foregoing, unless we consummate a business combination with an affiliated entity, we are not required to obtain an opinion from an independent investment banking firm, or another independent entity that commonly renders valuation opinions on the type of target business we seek to acquire, that the price we are paying is fair to our stockholders.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Lack of Business Diversification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80" w:lineRule="exact"/>
        <w:rPr>
          <w:sz w:val="20"/>
          <w:szCs w:val="20"/>
          <w:color w:val="auto"/>
        </w:rPr>
      </w:pPr>
    </w:p>
    <w:p>
      <w:pPr>
        <w:ind w:left="660" w:right="4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depend on the marketing and sale of a single product or limited number of products or services.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Ability to Evaluate the Target’s Management Team</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Following our initial business combination, we may seek to recruit additional managers to supplement the incumbent management of the target business. We may not have the ability to recruit additional managers, or that additional managers will have the requisite skills, knowledge or experience necessary to enhance the incumbent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May Not Have the Ability to Approve an Initial Business Combination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connection with any proposed business combination, we will either (1) seek stockholder approval of our initial business combination at a meeting called for such purpose at which public stockholders may seek to convert their public shares, regardless of whether they vote for or against the proposed business combination, into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If we determine to engage in a tender offer, such tender offer will be structured so that each stockholder may tender any or all of his, her or its public shares rather than some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his, her or its shares.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we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upon such consummation and, solely if we seek stockholder approval, a majority of the issued and outstanding shares of common stock voted are voted in favor of the business combination.</w:t>
      </w:r>
    </w:p>
    <w:p>
      <w:pPr>
        <w:spacing w:after="0" w:line="19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24 months from the closing of this offering in order to be able to receive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trust account.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initial stockholders and our officers and directors have agreed (1) to vote any shares of common stock owned by them in favor of any proposed business combination, (2) not to convert any shares of common stock in connection with a stockholder vote to approve a proposed initial business combination and (3) not sell any shares of common stock in any tender in connection with a proposed initial business combination. As a result, if we sought stockholder approval of a proposed transaction, we would need only 625,751 of our public shares (or approximately 4.3% of our public shares) to be voted in favor of the transaction in order to have such transaction approved (assuming that only a quorum was present at the meeting, that the over-allotment option is not exercised and that the initial stockholders do not purchase any shares of our common stock in this offering or shares in the after-market).</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None of our officers, directors, initial stockholders or their affiliates has indicated any intention to purchase shares of common stock in this offering or from persons in the open market or in private transactions. However, 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Conversion/Tender Rights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At any meeting called to approve an initial business combination, public stockholders may seek to convert their public shares, regardless of whether they vote for or against the proposed business combination, into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less any taxes then due but not yet paid. Notwithstanding the foregoing, our initial stockholders have agreed, pursuant to written letter agreements with us, not to convert any public shares held by them into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If we hold a meeting to approve an initial business combination, a holder will always have the ability to vote against a proposed business combination and not seek conversion of his shares.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Alternatively, if we engage in a tender offer, each public stockholder will be provided the opportunity to sell his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initial stockholders, officers and directors will not have conversion rights with respect to any shares of common stock owned by them, directly or indirectly, whether acquired prior to this offering or purchased by them in this offering or in the aftermarket.</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shares if he wishes to seek to exercise his conversion rights. Under Delaware law and our bylaws, we are required to provide at least 10 days’ advance notice of any stockholder meeting, which would be the minimum amount of time a stockholder would have to determine whether to exercise conversion rights. As a result, if we require public stockholders who wish to convert their shares of common stock into the right to receive a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portion of the funds in the trust account to comply with the foregoing delivery requirements, holders may not have sufficient time to receive the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 their shares for conversion. Accordingly, investors may not be able to exercise their conversion rights and may be forced to retain our securities when they otherwise would not want to. The conversion rights will include the requirement that a beneficial holder must identify itself in order to validly redeem its shares.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seeking to exercise conversion rights. The need to deliver shares is a requirement of exercising conversion rights regardless of the timing of when such delivery must be effectuated. However, in the event we require stockholders seeking to exercise conversion rights to deliver their shares prior to the consummation of the proposed business combination and the proposed business combination is not consummated, this may result in an increased cost to stockholders.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request to convert or tender such shares once made, may be withdrawn at any time up to the vote on the proposed business combination or expiration of the tender offer. Furthermore, if a holder of a public share delivered his certificate in connection with an election of their conversion or tender and subsequently decides prior to the vote on the business combination or the expiration of the tender offer not to elect to exercise such rights, he may simply request that the transfer agent return the certificate (physically or electronically).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If the initial business combination is not approved or completed for any reason, then our public stockholders who elected to exercise their conversion or tender rights would not be entitled to convert their shares for the applicable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trust account. In such case, we will promptly return any shares delivered by public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of Trust Account if No Business Combination</w:t>
      </w:r>
    </w:p>
    <w:p>
      <w:pPr>
        <w:spacing w:after="0" w:line="229" w:lineRule="exact"/>
        <w:rPr>
          <w:sz w:val="20"/>
          <w:szCs w:val="20"/>
          <w:color w:val="auto"/>
        </w:rPr>
      </w:pPr>
    </w:p>
    <w:p>
      <w:pPr>
        <w:jc w:val="both"/>
        <w:ind w:right="20" w:firstLine="324"/>
        <w:spacing w:after="0" w:line="276" w:lineRule="auto"/>
        <w:rPr>
          <w:sz w:val="20"/>
          <w:szCs w:val="20"/>
          <w:color w:val="auto"/>
        </w:rPr>
      </w:pPr>
      <w:r>
        <w:rPr>
          <w:rFonts w:ascii="Times New Roman" w:cs="Times New Roman" w:eastAsia="Times New Roman" w:hAnsi="Times New Roman"/>
          <w:sz w:val="17"/>
          <w:szCs w:val="17"/>
          <w:color w:val="auto"/>
        </w:rPr>
        <w:t>If we do not complete a business combination within 24 months from the closing of this offering, we will (i) cease all operations except for the purpose of winding up, (ii) as promptly as reasonably possible but not more than ten business days thereafter, redeem 100% of the outstanding public shares and</w:t>
      </w:r>
    </w:p>
    <w:p>
      <w:pPr>
        <w:spacing w:after="0" w:line="1" w:lineRule="exact"/>
        <w:rPr>
          <w:sz w:val="20"/>
          <w:szCs w:val="20"/>
          <w:color w:val="auto"/>
        </w:rPr>
      </w:pPr>
    </w:p>
    <w:p>
      <w:pPr>
        <w:jc w:val="both"/>
        <w:ind w:firstLine="8"/>
        <w:spacing w:after="0" w:line="255"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distribution. It is our intention to redeem our public shares as soon as reasonably possible following the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month from the closing of this offering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seek to have all third parties (including any vendors or other entities we engage after this offering, other than our independent registered public accounting firm) and any prospective target businesses enter into valid and enforceable agreements with us waiving any right, title, interest or claim of any kind they may have in or to any monies held in the trust account. The underwriters in this offering will execute such a waiver agreement.</w:t>
      </w:r>
    </w:p>
    <w:p>
      <w:pPr>
        <w:spacing w:after="0" w:line="176"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$10.00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$10.00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20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$10.00.</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contains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Our insiders have agreed to waive any conversion rights with respect to any insider shares and any public shares they may hold in connection with any vote to amend our certificate of incorporation. Specifically, our certificate of incorporation provides, among other things, that:</w:t>
      </w:r>
    </w:p>
    <w:p>
      <w:pPr>
        <w:spacing w:after="0" w:line="192" w:lineRule="exact"/>
        <w:rPr>
          <w:sz w:val="20"/>
          <w:szCs w:val="20"/>
          <w:color w:val="auto"/>
        </w:rPr>
      </w:pPr>
    </w:p>
    <w:p>
      <w:pPr>
        <w:jc w:val="both"/>
        <w:ind w:left="660" w:hanging="328"/>
        <w:spacing w:after="0" w:line="25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consummation of our initial business combination, we shall either (1) seek stockholder approval of our initial business combination at a meeting called for such purpose at which public stockholders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initial business combination is not consummated within 24 months of the closing of this offering, then our existence will terminate and we will distribute all amounts in the trust account to all of our public holders of shares of common stock;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this offering, $145,000,000, or $166,750,000 if the over-allotment option is exercised in full, shall be placed into the trust account;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61" w:lineRule="exact"/>
        <w:rPr>
          <w:rFonts w:ascii="Times New Roman" w:cs="Times New Roman" w:eastAsia="Times New Roman" w:hAnsi="Times New Roman"/>
          <w:sz w:val="18"/>
          <w:szCs w:val="18"/>
          <w:color w:val="auto"/>
        </w:rPr>
      </w:pPr>
    </w:p>
    <w:p>
      <w:pPr>
        <w:ind w:left="1520" w:hanging="756"/>
        <w:spacing w:after="0" w:line="282" w:lineRule="auto"/>
        <w:tabs>
          <w:tab w:leader="none" w:pos="108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Revisions to Agreements with Insiders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176" w:lineRule="exact"/>
        <w:rPr>
          <w:sz w:val="20"/>
          <w:szCs w:val="20"/>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transfer of our securities could be amended to allow transfer to third parties who were not members of our original management team;</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our management team to not propose amendments to our organizational documents could be amended to allow them to propose such changes to our stockholders;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insiders to not receive any compensation in connection with a business combination could be modified in order to allow them to receive such compensation;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obtain a valuation for any target business affiliated with our insiders, in the event it was too expensive to do so.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Except as specified above, stockholders would not be required to be given the opportunity to redeem their shares in connection with such changes.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changes could result in:</w:t>
      </w:r>
    </w:p>
    <w:p>
      <w:pPr>
        <w:spacing w:after="0" w:line="207" w:lineRule="exact"/>
        <w:rPr>
          <w:sz w:val="20"/>
          <w:szCs w:val="20"/>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insiders being able to vote against a business combination or in favor of changes to our organizational documents;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being controlled by a new management team that our stockholders did not elect to invest with;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insiders receiving compensation in connection with a business combination;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insiders closing a transaction with one of their affiliates without receiving an independent valuation of such business.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at the time of the agreement to enter into the business combination, our obligation to pay cash in connection with our public stockholders who exercise their redemption rights, may not be viewed favorably by certain target businesses. Any of these factors may place us at a competitive disadvantage in successfully negotiating our initial business combination.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pay to an affiliate of our sponsor a fee of $10,000 per month for use of office space and certain office and secretarial services. The office space will be located at 11682 El Camino Real, Suite 320, San Diego, CA 92130.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currently have four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Periodic Reporting and Audited Financial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registered our common stock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will provide stockholders with audited financial statements of the prospective target business as part of any proxy solicitation sent to stockholders to assist them in assessing the target business. In all likelihood, the financial information included in the proxy solicitation materials will need to be prepared in accordance with U.S. GAAP or IFRS, depending on the circumstances, and the historical financial statements may be required to be audited in accordance with the standards of the PCAOB. The financial statements may also be required to be prepared in accordance with U.S. GAAP for the Form 8-K announcing the closing of an initial business combination, which would need to be filed within four business days thereafter. We cannot assure you that any particular target business identified by us as a potential acquisition candidate will have the necessary financial information. To the extent that this requirement cannot be met, we may not be able to acquire the proposed target business.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be required to comply with the internal control requirements of the Sarbanes-Oxley Act beginning for the fiscal year ending December 31, 2021.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w:t>
      </w:r>
    </w:p>
    <w:p>
      <w:pPr>
        <w:jc w:val="both"/>
        <w:spacing w:after="0" w:line="221" w:lineRule="auto"/>
        <w:rPr>
          <w:sz w:val="20"/>
          <w:szCs w:val="20"/>
          <w:color w:val="auto"/>
        </w:rPr>
      </w:pPr>
      <w:r>
        <w:rPr>
          <w:rFonts w:ascii="Times New Roman" w:cs="Times New Roman" w:eastAsia="Times New Roman" w:hAnsi="Times New Roman"/>
          <w:sz w:val="18"/>
          <w:szCs w:val="18"/>
          <w:color w:val="auto"/>
        </w:rPr>
        <w:t>which means the market value of our common stock that is held by non-affiliates exceeds $700 million as of the prior June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and (2) the date on which we have issued more than $1.0 billion in non-convertible debt securities during the prior three-year period. References herein to “emerging growth company” shall have the meaning associated with it in the JOBS Act.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to Offerings of Blank Check Companies Subject to Rule 419</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be listed on a national securities exchange, we will have net tangible assets in excess of $5,000,001 upon the successful consummation of this offering and will file a Current Report on Form 8-K, including an audited balance sheet demonstrating this fact.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Escrow of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of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of common stock issued</w:t>
      </w:r>
    </w:p>
    <w:p>
      <w:pPr>
        <w:spacing w:after="0" w:line="20" w:lineRule="exact"/>
        <w:rPr>
          <w:sz w:val="20"/>
          <w:szCs w:val="20"/>
          <w:color w:val="auto"/>
        </w:rPr>
      </w:pPr>
      <w:r>
        <w:rPr>
          <w:sz w:val="20"/>
          <w:szCs w:val="20"/>
          <w:color w:val="auto"/>
        </w:rPr>
        <w:br w:type="column"/>
      </w:r>
    </w:p>
    <w:p>
      <w:pPr>
        <w:ind w:left="10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Terms of the Offering</w:t>
      </w:r>
      <w:r>
        <w:rPr>
          <w:sz w:val="20"/>
          <w:szCs w:val="20"/>
          <w:color w:val="auto"/>
        </w:rPr>
        <w:tab/>
      </w:r>
      <w:r>
        <w:rPr>
          <w:rFonts w:ascii="Times New Roman" w:cs="Times New Roman" w:eastAsia="Times New Roman" w:hAnsi="Times New Roman"/>
          <w:sz w:val="17"/>
          <w:szCs w:val="17"/>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505777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057775" cy="17145"/>
                    </a:xfrm>
                    <a:prstGeom prst="rect">
                      <a:avLst/>
                    </a:prstGeom>
                    <a:noFill/>
                  </pic:spPr>
                </pic:pic>
              </a:graphicData>
            </a:graphic>
          </wp:anchor>
        </w:drawing>
      </w:r>
    </w:p>
    <w:p>
      <w:pPr>
        <w:spacing w:after="0" w:line="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$145,000,000 of the net offering proceeds and $123,322,500 of the offering proceeds would be required proceeds from the sale of the private shares will be to be deposited into either an escrow account with an deposited into a trust account in the United States, insured depositary institution or in a separate bank maintained by Continental Stock Transfer &amp; Trust account established by a broker-dealer in which the</w:t>
      </w:r>
    </w:p>
    <w:p>
      <w:pPr>
        <w:spacing w:after="0" w:line="3" w:lineRule="exact"/>
        <w:rPr>
          <w:sz w:val="20"/>
          <w:szCs w:val="20"/>
          <w:color w:val="auto"/>
        </w:rPr>
      </w:pPr>
    </w:p>
    <w:p>
      <w:pPr>
        <w:jc w:val="both"/>
        <w:ind w:left="3820" w:hanging="3819"/>
        <w:spacing w:after="0" w:line="260" w:lineRule="auto"/>
        <w:tabs>
          <w:tab w:leader="none" w:pos="3800" w:val="left"/>
        </w:tabs>
        <w:rPr>
          <w:sz w:val="20"/>
          <w:szCs w:val="20"/>
          <w:color w:val="auto"/>
        </w:rPr>
      </w:pPr>
      <w:r>
        <w:rPr>
          <w:rFonts w:ascii="Times New Roman" w:cs="Times New Roman" w:eastAsia="Times New Roman" w:hAnsi="Times New Roman"/>
          <w:sz w:val="18"/>
          <w:szCs w:val="18"/>
          <w:color w:val="auto"/>
        </w:rPr>
        <w:t>Company, acting as trustee.</w:t>
      </w:r>
      <w:r>
        <w:rPr>
          <w:sz w:val="20"/>
          <w:szCs w:val="20"/>
          <w:color w:val="auto"/>
        </w:rPr>
        <w:tab/>
      </w:r>
      <w:r>
        <w:rPr>
          <w:rFonts w:ascii="Times New Roman" w:cs="Times New Roman" w:eastAsia="Times New Roman" w:hAnsi="Times New Roman"/>
          <w:sz w:val="18"/>
          <w:szCs w:val="18"/>
          <w:color w:val="auto"/>
        </w:rPr>
        <w:t>broker-dealer acts as trustee for persons having the beneficial interests in the account.</w:t>
      </w:r>
    </w:p>
    <w:p>
      <w:pPr>
        <w:spacing w:after="0" w:line="1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$145,000,000 of the net offering proceeds and Proceeds could be invested only in specified securities proceeds from the sale of the private shares held in such as a money market fund meeting conditions of the trust will only be invested in United States Investment Company Act of 1940 or in securities that are government treasury bills, bonds or notes with a direct obligations of, or obligations guaranteed as to maturity of 185 days or less or in money market principal or interest by, the United States. funds meeting the applicable conditions under Rule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2a-7 promulgated under the Investment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of 1940 and that invest solely in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treasuries.</w:t>
      </w:r>
    </w:p>
    <w:p>
      <w:pPr>
        <w:spacing w:after="0" w:line="12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initial target business that we acquire must We would be restricted from acquiring a target business have a fair market value equal to at least 80% of unless the fair value of such business or net assets to be the balance in our trust account net of taxes acquired represent at least 80% of the maximum offering payable at the time of the execution of a definitive proceeds. agreement for our initial business combination.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may commence trading on or No trading of the common stock would be permitted</w:t>
      </w:r>
    </w:p>
    <w:p>
      <w:pPr>
        <w:spacing w:after="0" w:line="27" w:lineRule="exact"/>
        <w:rPr>
          <w:sz w:val="20"/>
          <w:szCs w:val="20"/>
          <w:color w:val="auto"/>
        </w:rPr>
      </w:pPr>
    </w:p>
    <w:p>
      <w:pPr>
        <w:jc w:val="both"/>
        <w:ind w:left="3820" w:hanging="3819"/>
        <w:spacing w:after="0" w:line="255" w:lineRule="auto"/>
        <w:tabs>
          <w:tab w:leader="none" w:pos="3800" w:val="left"/>
        </w:tabs>
        <w:rPr>
          <w:sz w:val="20"/>
          <w:szCs w:val="20"/>
          <w:color w:val="auto"/>
        </w:rPr>
      </w:pPr>
      <w:r>
        <w:rPr>
          <w:rFonts w:ascii="Times New Roman" w:cs="Times New Roman" w:eastAsia="Times New Roman" w:hAnsi="Times New Roman"/>
          <w:sz w:val="18"/>
          <w:szCs w:val="18"/>
          <w:color w:val="auto"/>
        </w:rPr>
        <w:t>promptly after the date of this prospectus.</w:t>
      </w:r>
      <w:r>
        <w:rPr>
          <w:sz w:val="20"/>
          <w:szCs w:val="20"/>
          <w:color w:val="auto"/>
        </w:rPr>
        <w:tab/>
      </w:r>
      <w:r>
        <w:rPr>
          <w:rFonts w:ascii="Times New Roman" w:cs="Times New Roman" w:eastAsia="Times New Roman" w:hAnsi="Times New Roman"/>
          <w:sz w:val="18"/>
          <w:szCs w:val="18"/>
          <w:color w:val="auto"/>
        </w:rPr>
        <w:t>until the completion of a business combination. During this period, the common stock would be held in the escrow or trust account.</w:t>
      </w:r>
    </w:p>
    <w:p>
      <w:pPr>
        <w:spacing w:after="0" w:line="200" w:lineRule="exact"/>
        <w:rPr>
          <w:sz w:val="20"/>
          <w:szCs w:val="20"/>
          <w:color w:val="auto"/>
        </w:rPr>
      </w:pPr>
    </w:p>
    <w:p>
      <w:pPr>
        <w:sectPr>
          <w:pgSz w:w="11900" w:h="16838" w:orient="portrait"/>
          <w:cols w:equalWidth="0" w:num="2">
            <w:col w:w="3020" w:space="260"/>
            <w:col w:w="7960"/>
          </w:cols>
          <w:pgMar w:left="320" w:top="1089" w:right="339" w:bottom="1440" w:gutter="0" w:footer="0" w:header="0"/>
        </w:sectPr>
      </w:pP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37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Terms of the Offering</w:t>
            </w:r>
          </w:p>
        </w:tc>
        <w:tc>
          <w:tcPr>
            <w:tcW w:w="120" w:type="dxa"/>
            <w:vAlign w:val="bottom"/>
          </w:tcPr>
          <w:p>
            <w:pPr>
              <w:spacing w:after="0"/>
              <w:rPr>
                <w:sz w:val="21"/>
                <w:szCs w:val="21"/>
                <w:color w:val="auto"/>
              </w:rPr>
            </w:pPr>
          </w:p>
        </w:tc>
        <w:tc>
          <w:tcPr>
            <w:tcW w:w="41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Terms Under a Rule 419 Offering</w:t>
            </w:r>
          </w:p>
        </w:tc>
      </w:tr>
      <w:tr>
        <w:trPr>
          <w:trHeight w:val="333"/>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Election to remain an investor</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We  will  either  (1)  give  our  stockholders  the</w:t>
            </w: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 prospectus containing information required by the</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opportunity to vote on the business combination or</w:t>
            </w: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SEC would be sent to each investor. Each investor would</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(2)  provide  our  public  stockholders  with  the</w:t>
            </w: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 given the opportunity to notify the company, in</w:t>
            </w:r>
          </w:p>
        </w:tc>
      </w:tr>
      <w:tr>
        <w:trPr>
          <w:trHeight w:val="214"/>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opportunity to sell their public shares to us in a</w:t>
            </w: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writing, within a period of no less than 20 business days</w:t>
            </w:r>
          </w:p>
        </w:tc>
      </w:tr>
      <w:tr>
        <w:trPr>
          <w:trHeight w:val="218"/>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w w:val="98"/>
              </w:rPr>
              <w:t xml:space="preserve">tender offer for cash equal to their </w:t>
            </w:r>
            <w:r>
              <w:rPr>
                <w:rFonts w:ascii="Times New Roman" w:cs="Times New Roman" w:eastAsia="Times New Roman" w:hAnsi="Times New Roman"/>
                <w:sz w:val="18"/>
                <w:szCs w:val="18"/>
                <w:i w:val="1"/>
                <w:iCs w:val="1"/>
                <w:color w:val="auto"/>
                <w:w w:val="98"/>
              </w:rPr>
              <w:t>pro rata</w:t>
            </w:r>
            <w:r>
              <w:rPr>
                <w:rFonts w:ascii="Times New Roman" w:cs="Times New Roman" w:eastAsia="Times New Roman" w:hAnsi="Times New Roman"/>
                <w:sz w:val="18"/>
                <w:szCs w:val="18"/>
                <w:color w:val="auto"/>
                <w:w w:val="98"/>
              </w:rPr>
              <w:t xml:space="preserve"> share of</w:t>
            </w: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no more than 45 business days from the effective</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the aggregate amount then on deposit in the trust</w:t>
            </w: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date of the post-effective amendment, to decide whether</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account,  less  taxes.  If  we  hold  a  meeting  to</w:t>
            </w: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he or she elects to remain a stockholder of the company</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approve a proposed business combination, we will</w:t>
            </w: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or require the return of his or her investment. If the</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send  each  stockholder  a  proxy  statement</w:t>
            </w: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 has not received the notification by the end of</w:t>
            </w:r>
          </w:p>
        </w:tc>
      </w:tr>
      <w:tr>
        <w:trPr>
          <w:trHeight w:val="221"/>
        </w:trPr>
        <w:tc>
          <w:tcPr>
            <w:tcW w:w="328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w w:val="99"/>
              </w:rPr>
              <w:t>containing information required by the SEC. Under</w:t>
            </w:r>
          </w:p>
        </w:tc>
        <w:tc>
          <w:tcPr>
            <w:tcW w:w="4260" w:type="dxa"/>
            <w:vAlign w:val="bottom"/>
            <w:gridSpan w:val="2"/>
          </w:tcPr>
          <w:p>
            <w:pPr>
              <w:ind w:left="120"/>
              <w:spacing w:after="0" w:line="221" w:lineRule="exact"/>
              <w:rPr>
                <w:sz w:val="20"/>
                <w:szCs w:val="20"/>
                <w:color w:val="auto"/>
              </w:rPr>
            </w:pPr>
            <w:r>
              <w:rPr>
                <w:rFonts w:ascii="Times New Roman" w:cs="Times New Roman" w:eastAsia="Times New Roman" w:hAnsi="Times New Roman"/>
                <w:sz w:val="16"/>
                <w:szCs w:val="16"/>
                <w:color w:val="auto"/>
              </w:rPr>
              <w:t>the 45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business day, funds and interest or dividends, if</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our certificate of incorporation, we must provide at</w:t>
            </w: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any,  held  in  the  trust  or  escrow  account  would</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least 10 days advance notice of any meeting of</w:t>
            </w: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automatically be returned to the stockholder. Unless a</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Accordingly, this is the minimum</w:t>
            </w: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sufficient number of investors elect to remain investors,</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amount of time we would need to provide holders</w:t>
            </w: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all of the deposited funds in the escrow account must be</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 determine whether to exercise their rights to</w:t>
            </w: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returned to all investors and none of the securities will be</w:t>
            </w: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convert their shares into cash at such a meeting or</w:t>
            </w: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issued.</w:t>
            </w:r>
          </w:p>
        </w:tc>
      </w:tr>
      <w:tr>
        <w:trPr>
          <w:trHeight w:val="211"/>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  remain  an  investor  in  our  company.</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Alternatively, if we do not hold a meeting and</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instead conduct a tender offer, we will conduct</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such tender offer in accordance with the tender</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offer  rules  of  the  SEC  and  file  tender  offer</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documents  with  the  SEC  which  will  contain</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substantially  the  same  financial  and  other</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information about the initial business combination</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as we would have included in a proxy statement.</w:t>
            </w:r>
          </w:p>
        </w:tc>
        <w:tc>
          <w:tcPr>
            <w:tcW w:w="1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33"/>
        </w:trPr>
        <w:tc>
          <w:tcPr>
            <w:tcW w:w="328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The tender offer rules require us to hold the tender</w:t>
            </w: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offer  open  for  at  least  20  business  days.</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Accordingly, this is the minimum amount of time</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we would need to provide holders to determine</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whether they want to sell their shares to us in the</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tender offer or remain an investor in our company.</w:t>
            </w:r>
          </w:p>
        </w:tc>
        <w:tc>
          <w:tcPr>
            <w:tcW w:w="120" w:type="dxa"/>
            <w:vAlign w:val="bottom"/>
          </w:tcPr>
          <w:p>
            <w:pPr>
              <w:spacing w:after="0"/>
              <w:rPr>
                <w:sz w:val="20"/>
                <w:szCs w:val="20"/>
                <w:color w:val="auto"/>
              </w:rPr>
            </w:pPr>
          </w:p>
        </w:tc>
        <w:tc>
          <w:tcPr>
            <w:tcW w:w="4140" w:type="dxa"/>
            <w:vAlign w:val="bottom"/>
          </w:tcPr>
          <w:p>
            <w:pPr>
              <w:spacing w:after="0"/>
              <w:rPr>
                <w:sz w:val="20"/>
                <w:szCs w:val="20"/>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72" w:name="page73"/>
    <w:bookmarkEnd w:id="72"/>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Interest earned on the funds in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Release of funds</w:t>
      </w:r>
    </w:p>
    <w:p>
      <w:pPr>
        <w:spacing w:after="0" w:line="20" w:lineRule="exact"/>
        <w:rPr>
          <w:sz w:val="20"/>
          <w:szCs w:val="20"/>
          <w:color w:val="auto"/>
        </w:rPr>
      </w:pPr>
      <w:r>
        <w:rPr>
          <w:sz w:val="20"/>
          <w:szCs w:val="20"/>
          <w:color w:val="auto"/>
        </w:rPr>
        <w:br w:type="column"/>
      </w:r>
    </w:p>
    <w:p>
      <w:pPr>
        <w:ind w:left="102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Terms of the Offering</w:t>
      </w:r>
      <w:r>
        <w:rPr>
          <w:sz w:val="20"/>
          <w:szCs w:val="20"/>
          <w:color w:val="auto"/>
        </w:rPr>
        <w:tab/>
      </w:r>
      <w:r>
        <w:rPr>
          <w:rFonts w:ascii="Times New Roman" w:cs="Times New Roman" w:eastAsia="Times New Roman" w:hAnsi="Times New Roman"/>
          <w:sz w:val="17"/>
          <w:szCs w:val="17"/>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505777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057775" cy="17145"/>
                    </a:xfrm>
                    <a:prstGeom prst="rect">
                      <a:avLst/>
                    </a:prstGeom>
                    <a:noFill/>
                  </pic:spPr>
                </pic:pic>
              </a:graphicData>
            </a:graphic>
          </wp:anchor>
        </w:drawing>
      </w:r>
    </w:p>
    <w:p>
      <w:pPr>
        <w:spacing w:after="0" w:line="2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Pursuant to our certificate of incorporation, if we If an acquisition has not been consummated within 18 do not complete an initial business combination months after the effective date of the initial registration within 24 months from the consummation of this statement, funds held in the trust or escrow account offering, it will trigger our automatic winding up, would be returned to investors. dissolution and liquidation.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can be released to us, from time to time, (i) All interest earned on the funds in the trust account will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interest earned on the funds in the trust account be held in trust for the benefit of public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we may need to pay our tax obligations. The until  the  earlier  of  the  completion  of  a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interest earned on the funds in the trust combination and our liquidation upon failure to effect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will not be released until the earlier of the business combination within the allotted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completion of a business combination and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entry into liquidation upon failure to effect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within the allotted time.</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Except for interest earned on the funds held in the The proceeds held in the escrow account would not be trust account that may be released to us to pay our released until the earlier of the completion of a business tax obligations, the proceeds held in the trust combination or the failure to effect a business account will not be released until the earlier of the combination within the allotted time. completion of a business combination (in which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the proceeds released to us will be net of the</w:t>
      </w:r>
    </w:p>
    <w:p>
      <w:pPr>
        <w:spacing w:after="0" w:line="9" w:lineRule="exact"/>
        <w:rPr>
          <w:sz w:val="20"/>
          <w:szCs w:val="20"/>
          <w:color w:val="auto"/>
        </w:rPr>
      </w:pPr>
    </w:p>
    <w:p>
      <w:pPr>
        <w:spacing w:after="0"/>
        <w:tabs>
          <w:tab w:leader="none" w:pos="540" w:val="left"/>
          <w:tab w:leader="none" w:pos="1020" w:val="left"/>
          <w:tab w:leader="none" w:pos="1340" w:val="left"/>
          <w:tab w:leader="none" w:pos="1760" w:val="left"/>
          <w:tab w:leader="none" w:pos="2680" w:val="left"/>
          <w:tab w:leader="none" w:pos="3000" w:val="left"/>
        </w:tabs>
        <w:rPr>
          <w:sz w:val="20"/>
          <w:szCs w:val="20"/>
          <w:color w:val="auto"/>
        </w:rPr>
      </w:pPr>
      <w:r>
        <w:rPr>
          <w:rFonts w:ascii="Times New Roman" w:cs="Times New Roman" w:eastAsia="Times New Roman" w:hAnsi="Times New Roman"/>
          <w:sz w:val="18"/>
          <w:szCs w:val="18"/>
          <w:color w:val="auto"/>
        </w:rPr>
        <w:t>funds</w:t>
        <w:tab/>
        <w:t>used</w:t>
        <w:tab/>
        <w:t>to</w:t>
        <w:tab/>
        <w:t>pay</w:t>
        <w:tab/>
        <w:t>converting</w:t>
        <w:tab/>
        <w:t>or</w:t>
        <w:tab/>
        <w:t>tendering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as the trustee will directly send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portion of the amount held in trust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converting or tendering stockholders at the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business combination) and the liquidation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trust account upon failure to effect a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within the allotted time.</w:t>
      </w:r>
    </w:p>
    <w:p>
      <w:pPr>
        <w:spacing w:after="0" w:line="200" w:lineRule="exact"/>
        <w:rPr>
          <w:sz w:val="20"/>
          <w:szCs w:val="20"/>
          <w:color w:val="auto"/>
        </w:rPr>
      </w:pPr>
    </w:p>
    <w:p>
      <w:pPr>
        <w:sectPr>
          <w:pgSz w:w="11900" w:h="16838" w:orient="portrait"/>
          <w:cols w:equalWidth="0" w:num="2">
            <w:col w:w="3060" w:space="220"/>
            <w:col w:w="7960"/>
          </w:cols>
          <w:pgMar w:left="320" w:top="1089"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Director Nominees and Executive Officers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current directors, director nominees and executive officers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Aaron I. Davis</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20" w:type="dxa"/>
            <w:vAlign w:val="bottom"/>
            <w:tcBorders>
              <w:top w:val="single" w:sz="8" w:color="CCEEFF"/>
            </w:tcBorders>
            <w:shd w:val="clear" w:color="auto" w:fill="CCEEFF"/>
          </w:tcPr>
          <w:p>
            <w:pPr>
              <w:spacing w:after="0"/>
              <w:rPr>
                <w:sz w:val="18"/>
                <w:szCs w:val="18"/>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Chief Executive Officer</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Fuglesang, Ph.D., J.D.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Director</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Beauchamp</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2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 Treasurer</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Ellis, M.D., J.D.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Secretary</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Carole L. Nuechterlein, J.D.</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Heyman, Ph.D.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M. Baum, M.D., Ph.D.</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Jamie G. Christensen, Ph.D.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 Nominee</w:t>
            </w:r>
          </w:p>
        </w:tc>
      </w:tr>
    </w:tbl>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Aaron I. Davis </w:t>
      </w:r>
      <w:r>
        <w:rPr>
          <w:rFonts w:ascii="Times New Roman" w:cs="Times New Roman" w:eastAsia="Times New Roman" w:hAnsi="Times New Roman"/>
          <w:sz w:val="18"/>
          <w:szCs w:val="18"/>
          <w:color w:val="auto"/>
        </w:rPr>
        <w:t>has served as our Chief Executive Officer and Chairman of our board of directors since May 2020. Mr. Davis co-founded Boxer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LLC (“Boxer Capital”), the healthcare arm of the Tavistock Group, where he has served as portfolio manager since 2005 and as Chief Executive Officer since 2012. At Boxer Capital, Mr. Davis is responsible for identifying, evaluating and structuring investment opportunities in private and public biotechnology companies. Mr. Davis serves as a member of the board of directors of Mirati Therapeutics, Inc. (Nasdaq:MRTX), Odonate Therapeutics, Inc. (Nasdaq:ODT), iTeos Therapeutics, Inc. (Nasdaq:ITOS), and Sojournix, Inc. and serves as the Executive Chairman of CiVi Biopharma Holdings, Inc. Prior to joining the Tavistock Group, Mr. Davis worked in the Global Healthcare Investment Banking and Private Equity Groups at UBS Warburg, LLC. Mr. Davis received an M.A. degree in biotechnology from Columbia University and a B.B.A. degree in finance from Emory University. We believe Mr. Davis’ experience serving as a director of biotechnology companies and as a manager of funds specializing in the area of life sciences qualifies him to serve on our Board of Directors.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Christopher Fuglesang, Ph.D., J.D., </w:t>
      </w:r>
      <w:r>
        <w:rPr>
          <w:rFonts w:ascii="Times New Roman" w:cs="Times New Roman" w:eastAsia="Times New Roman" w:hAnsi="Times New Roman"/>
          <w:sz w:val="18"/>
          <w:szCs w:val="18"/>
          <w:color w:val="auto"/>
        </w:rPr>
        <w:t>has served as our President and as a member of our board of directors since May 2020. Dr. Fuglesang joined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Tavistock Group in 2005 as a vice president and was a co-founder of Boxer Capital, where he has been a managing director since 2012. At Boxer Capital, Dr. Fuglesang assists in managing the firm’s research team, deal structuring and securities compliance. Prior to joining Boxer Capital, Dr. Fuglesang was vice president at Eidogen-Sertanty, Inc., a structural proteomics software company, and an attorney at Perkins Coie LLC. Dr. Fuglesang is a member of the board of directors of Pandion Therapeutics, Inc. and CiVi Biopharma Holdings, Inc. Dr. Fuglesang served as a member of the board of directors of Kalypsys, Inc. from 2007 to 2013 and of Ambrx Inc. from 2011 to 2015. Dr. Fuglesang received a B.S. in chemistry and physics from the University of California at Los Angeles, a Ph.D. in theoretical chemical physics from the University of California at Los Angeles, and a J.D. from Boston University. We believe Dr. Fuglesang’s experience as an investor in the life sciences industry qualifies him to serve on our board of directors.</w:t>
      </w:r>
    </w:p>
    <w:p>
      <w:pPr>
        <w:spacing w:after="0" w:line="18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Michael Beauchamp </w:t>
      </w:r>
      <w:r>
        <w:rPr>
          <w:rFonts w:ascii="Times New Roman" w:cs="Times New Roman" w:eastAsia="Times New Roman" w:hAnsi="Times New Roman"/>
          <w:sz w:val="18"/>
          <w:szCs w:val="18"/>
          <w:color w:val="auto"/>
        </w:rPr>
        <w:t>has served as our Chief Financial Officer and Treasurer since May 2020. Mr. Beauchamp has served as Vice President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at Boxer Capital since January 2016, where he is responsible for the firm’s back office operations, including finance, tax, audit and administration. Prior to joining Boxer Capital, Mr. Beauchamp worked in the assurance practice at PricewaterhouseCoopers from 2012 to January 2016. Mr. Beauchamp received a bachelor of accountancy degree from the University of San Diego.</w:t>
      </w:r>
    </w:p>
    <w:p>
      <w:pPr>
        <w:spacing w:after="0" w:line="17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Andrew Ellis, M.D., J.D., </w:t>
      </w:r>
      <w:r>
        <w:rPr>
          <w:rFonts w:ascii="Times New Roman" w:cs="Times New Roman" w:eastAsia="Times New Roman" w:hAnsi="Times New Roman"/>
          <w:sz w:val="18"/>
          <w:szCs w:val="18"/>
          <w:color w:val="auto"/>
        </w:rPr>
        <w:t>has served as our Chief Operating Officer and Secretary since May 2020. Dr. Ellis has served as Senior Counsel and Head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Compliance at Boxer Capital since July 2018, where he is responsible for securities compliance, deal structuring and due diligence for investments in private and public healthcare companies. Prior to joining Boxer Capital, Dr. Ellis was a corporate and securities attorney at Wilson Sonsini Goodrich &amp; Rosati, P.C. from August 2013 to July 2018, where he worked with life sciences companies and investors on a variety of corporate transactions. Dr. Ellis received an M.D. and general surgery training at Baylor College of Medicine, a J.D. from New York University School of Law, and a B.S. degree in Biology from Baylor University.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Carole L. Nuechterlein, J.D., </w:t>
      </w:r>
      <w:r>
        <w:rPr>
          <w:rFonts w:ascii="Times New Roman" w:cs="Times New Roman" w:eastAsia="Times New Roman" w:hAnsi="Times New Roman"/>
          <w:sz w:val="18"/>
          <w:szCs w:val="18"/>
          <w:color w:val="auto"/>
        </w:rPr>
        <w:t>has agreed to serve on our board of directors following the completion of this offering. Ms. Nuechterlein joined 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Hoffmann-La Roche Ltd. in 2001 and currently serves as a Deputy Director and head of Roche Venture Fund. Prior to that, from 1998 to 2001, Ms. Nuechterlein served as General Counsel for SangStat, Inc., a biopharmaceutical company. Ms. Nuechterlein has served as a member of the board of directors of Millendo Therapeutics, Inc. (Nasdaq:MLND) since March 2017. Ms. Nuechterlein serves and has served as a member of the boards of directors of a number of private biotechnology companies, including Entrada Therapeutics since April 2020, Aligos Therapeutics since August 2018, Vivet Therapeutics SAS since April 2017, CiVi BioPharma, Inc. since March 2017, Mission Therapeutics Ltd. since January 2017, Arch Oncology Inc. since August 2016 and Second Genome, Inc. since April 2016. She also served as a member of the board of directors of AveXis Inc., a biotechnology company (Nasdaq:AVXS), from October 2014 to May 2017. Ms. Nuechterlein received a B.A. from Valparaiso University and a J.D. from University of Michigan.</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Richard Heyman, Ph.D., </w:t>
      </w:r>
      <w:r>
        <w:rPr>
          <w:rFonts w:ascii="Times New Roman" w:cs="Times New Roman" w:eastAsia="Times New Roman" w:hAnsi="Times New Roman"/>
          <w:sz w:val="18"/>
          <w:szCs w:val="18"/>
          <w:color w:val="auto"/>
        </w:rPr>
        <w:t>has agreed to serve on our board of directors following the completion of this offering. Dr. Heyman is chairman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and co-founder of Metacrine, Inc., a biotechnology company developing new therapeutics for the treatment of liver and gastrointestinal diseases. He also is on the board of directors of Gritstone Oncology, Inc. (Nasdaq:GRTS) and is the co-founder and chairman of the board of directors of ORIC Pharmaceuticals, Inc. (Nasdaq:ORIC). Previously, Dr. Heyman served as president and chief executive officer of Seragon Pharmaceuticals Inc., or Seragon, a privately-held biotechnology company, which was acquired by Genentech in 2014. Prior to Seragon, he co-founded and served as president and chief executive officer of Aragon Pharmaceuticals, Inc., or Aragon, until it was purchased by Johnson &amp; Johnson in 2013. Dr. Heyman is a venture partner for Arch Ventures and also serves on the boards of directors for private life sciences companies Yumanity Therapeutics, Inc., Vividion Therapeutics, Inc., PMV Pharmaceuticals, Inc. and Amunix Inc. He is Vice Chair of the Board of Trustees at the Salk Institute, on the Board Foundation for the American Association for Cancer Research, or AACR, and on the Board of Visitors at the University of California at San Diego Moores Cancer Center. Dr. Heyman received a B.S. in chemistry from the University of Connecticut and a Ph.D. in pharmacology from the University of Minnesota. He was an NIH post-doctoral fellow and staff scientist at the Salk Institute.</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Charles M. Baum, M.D., Ph.D., </w:t>
      </w:r>
      <w:r>
        <w:rPr>
          <w:rFonts w:ascii="Times New Roman" w:cs="Times New Roman" w:eastAsia="Times New Roman" w:hAnsi="Times New Roman"/>
          <w:sz w:val="18"/>
          <w:szCs w:val="18"/>
          <w:color w:val="auto"/>
        </w:rPr>
        <w:t>has agreed to serve on our board of directors following the completion of this offering. Dr. Baum has been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Executive Officer and a member of the board of directors of Mirati Therapeutics, Inc. since November 2012. From June 2003 to September 2012, he was at Pfizer as Senior Vice President for Biotherapeutic Clinical Research within Pfizer’s Worldwide Research &amp; Development division and as Vice President and Head of Oncology Development and Chief Medical Officer for Pfizer’s Biotherapeutics and Bioinnovation Center. From 2000 to 2003, he was responsible for the development of several oncology compounds at Schering-Plough Corporation (acquired by Merck). His career has included academic and hospital positions at Stanford University and Emory University, as well as positions of increasing responsibility within the pharmaceutical industry at SyStemix, Inc. (acquired by Novartis AG), G.D. Searle &amp; Company (acquired by Pfizer), Schering-Plough Corporation (acquired by Merck) and Pfizer. Dr. Baum has served on the board of directors of Immunomedics, Inc. (Nasdaq:IMMU) since February 2019 and was on the board of directors of Array BioPharma Inc. from 2014 until its acquisition by Pfizer in July 2019. Dr. Baum received his M.D. and Ph.D. (Immunology) degrees from Washington University School of Medicine in St. Louis, Missouri and completed his post-doctoral training at Stanford University.</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Jamie G. Christensen, Ph.D., </w:t>
      </w:r>
      <w:r>
        <w:rPr>
          <w:rFonts w:ascii="Times New Roman" w:cs="Times New Roman" w:eastAsia="Times New Roman" w:hAnsi="Times New Roman"/>
          <w:sz w:val="18"/>
          <w:szCs w:val="18"/>
          <w:color w:val="auto"/>
        </w:rPr>
        <w:t>has agreed to serve on our board of directors following the completion of this offering. Dr. Christensen has been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Vice President and Chief Scientific Officer of Mirati Therapeutics, Inc. since June 2013. In his role at Mirati, he is responsible for drug discovery, translational research, drug manufacturing and companion diagnostics research and teams. While at Mirati, Dr. Christensen led activities related to the discovery and advancement of the KRAS G12C inhibitor, MRTX849, as well as the spectrum-selective receptor tyrosine kinase (RTK) inhibitor, sitravatinib, through IND and clinical development. Prior to Mirati, Dr. Christensen most recently was the head of Oncology Precision Medicine and member of the executive leadership team in the Oncology Research Unit at Pfizer. While at Pfizer, Dr Christensen led key aspects of the nonclinical and clinical development of sunitinib (Sutent®), crizotinib (Xalkori®), and palbociclib (Ibrance®). Prior to his time at Pfizer, he held positions at SUGEN/Pharmacia as a Group Leader on the Preclinical Research and Exploratory Development team. Dr. Christensen initiated his industry experience at Warner Lambert/Parke-Davis with research focus in RTK biology and pathway biomarker development in the oncology therapeutic area. Dr. Christensen received his Ph.D. focusing in Molecular Pharmacology from North Carolina State University with dissertation research directed toward characterization of mechanisms of apoptosis dysregulation during the process of carcinogenesis.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Number and Terms of Office of Officers and Directors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consummation of this offering, we expect that our board of directors will have six members, four of whom will be deemed “independent” under SEC and Nasdaq rules. Our board of directors will be divided into three classes with only one class of directors being elected in each year and each class serving a three-year term. The term of office of the first class of directors, consisting of Carole L. Nuechterlein and Jamie G. Christensen, will expire at our first annual meeting of stockholders. The term of office of the second class of directors, consisting of Richard Heyman and Charles M. Baum, will expire at the second annual meeting. The term of office of the third class of directors, consisting of Aaron I. Davis and Christopher Fuglesang, will expire at our third annual meeting of stockholders. We may not hold an annual meeting of stockholders until after we consummate our initial business combination.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an agreement to be entered into concurrently with the issuance and sale of the securities in this offering, our sponsor, upon consummation of an initial business combination, will be entitled to nominate two individuals for election to our board of directors.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directors may consist of a chairman of the board, and that our officers may consist of chief executive officer, president, chief financial officer, executive vice president(s), vice president(s), secretary, treasurer and such other officers as may be determined by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No executive officer has received any cash compensation for services rendered to us. Commencing on the date of this prospectus through the completion of our initial business combination with a target business, we will pay to an affiliate of our sponsor a fee of $10,000 per month for providing us with office space and certain office and secretarial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Other than the $10,000 per month administrative fee, no compensation or fees of any kind, including finder’s 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Nasdaq listing standards require that within one year of the listing of our securities on the Nasdaq Capital Market we have at least three independent directors and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had determined that Carole L. Nuechterlein, Richard Heyman, Jamie Christensen and Charles M. Baum are “independent directors” as defined in the Nasdaq listing standards and applicable SEC rules. Our independent directors will have regularly scheduled meetings at which only independent directors are present.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only enter into a business combination if it is approved by a majority of our independent directors. Additionally, we will only enter into transactions with our officers and directors and their respective affiliates that are on terms no less favorable to us than could be obtained from independent parties. Any related-party transactions must be approved by our audit committee and a majority of disinterested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Effective as of the date of this prospectus, we will establish an audit committee of the board of directors, which will consist of Carole L. Nuechterlein, Richard Heyman, and Charles M. Baum, each of whom is an independent director. Carole L. Nuechterlein will serve as chairman of the audit committee. The audit committee’s duties, which are specified in our Audit Committee Charter, include, but are not limited to:</w:t>
      </w:r>
    </w:p>
    <w:p>
      <w:pPr>
        <w:spacing w:after="0" w:line="176" w:lineRule="exact"/>
        <w:rPr>
          <w:sz w:val="20"/>
          <w:szCs w:val="20"/>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auditor significant financial reporting issues and judgments made in connection with the preparation of our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major risk assessment and risk management policies;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auditor;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related-party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auditor, including the fees and terms of the services to be performed;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auditor;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reimbursement of expenses incurred by our management team in identifying potential target businesses.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Experts on Audit Committee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will at all times be composed exclusively of “independent directors” who are “financially literate” as defined under the Nasdaq listing standards. The Nasdaq listing standards define “financially literate” as being able to read and understand fundamental financial statements, including a company’s balance sheet, income statement and cash flow statement.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Carole L. Nuechterlein qualifies as an “audit committee financial expert,” as defined under rules and regulations of the SEC.</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Guidelines for Selecting Director Nominees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have a standing nominating committee, though we intend to form a corporate governance and nominating committee as and when required to do so by law or Nasdaq rules. In accordance with Rule 5605(e)(2) of the Nasdaq rules, a majority of the independent directors may recommend a director nominee for selection by the board of directors.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board of directors believes that the independent directors can satisfactorily carry out the responsibility of properly selecting or approving director nominees without the formation of a standing nominating committee. Carole L. Nuechterlein, Richard Heyman, Jamie Christensen and Chuck Baum will participate in the consideration and recommendation of director nominees. In accordance with Rule 5605(e)(1)(A) of the Nasdaq rules, all such directors are independent. As there is no standing nominating committee, we do not have a nominating committee charter in place.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will also consider director candidates recommended for nomination by our shareholders during such times as they are seeking proposed nominees to stand for election at the next annual general meeting (or, if applicable, extraordinary general meeting). Our shareholders that wish to nominate a director for election to the Board should follow the procedures set forth in our bylaws.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establish a compensation committee of the board of directors consisting of Richard Heyman and Carole L. Nuechterlein, each of whom is an independent director. Richard Heyman will serve as chairman of the compensation committee. We will adopt a compensation committee charter, which will detail the principal functions of the compensation committee, including:</w:t>
      </w:r>
    </w:p>
    <w:p>
      <w:pPr>
        <w:spacing w:after="0" w:line="180" w:lineRule="exact"/>
        <w:rPr>
          <w:sz w:val="20"/>
          <w:szCs w:val="20"/>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President and Chief Executive Officer’s compensation, evaluating our President and Chief Executive Officer’s performance in light of such goals and objectives and determining and approving the remuneration (if any) of our President and Chief Executive Officer based on such evaluation;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executive officers and employees;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our annual proxy statement;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not have a compensation committee in place prior to the completion of our initial business combination. Any executive compensation matters that arise prior to the time we have a compensation committee in place will be determined by our independent directors. 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Investors should be aware of the following potential conflicts of interest:</w:t>
      </w:r>
    </w:p>
    <w:p>
      <w:pPr>
        <w:spacing w:after="0" w:line="225" w:lineRule="exact"/>
        <w:rPr>
          <w:sz w:val="20"/>
          <w:szCs w:val="20"/>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officers and directors are required to commit their full time to our affairs and, accordingly, they may have conflicts of interest in allocating their time among various business activities.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consummate our initial business combination, our officers, directors and other insiders will not receive reimbursement for any out-of-pocket expenses incurred by them to the extent that such expenses exceed the amount of available proceeds not deposited in the trust account.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insider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insider shares or private shares. For the foregoing reasons, our board may have a conflict of interest in determining whether a particular target business is an appropriate business with which to effect our initial business combination.</w:t>
      </w:r>
    </w:p>
    <w:p>
      <w:pPr>
        <w:spacing w:after="0" w:line="18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general, officers and directors of a corporation incorporated under the laws of the State of Delaware are required to present business opportunities to a corporation if:</w:t>
      </w:r>
    </w:p>
    <w:p>
      <w:pPr>
        <w:spacing w:after="0" w:line="16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could financially undertake the opportunity;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is within the corporation’s line of business;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not be fair to the corporation and its stockholders for the opportunity not to be brought to the attention of the corporation.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spacing w:after="0" w:line="253" w:lineRule="auto"/>
        <w:rPr>
          <w:sz w:val="20"/>
          <w:szCs w:val="20"/>
          <w:color w:val="auto"/>
        </w:rPr>
      </w:pPr>
      <w:r>
        <w:rPr>
          <w:rFonts w:ascii="Times New Roman" w:cs="Times New Roman" w:eastAsia="Times New Roman" w:hAnsi="Times New Roman"/>
          <w:sz w:val="18"/>
          <w:szCs w:val="18"/>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24 months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current material pre-existing fiduciary or contractual obligations of our officers, directors and director nominees: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Name of Affiliated</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Individual</w:t>
            </w:r>
          </w:p>
        </w:tc>
        <w:tc>
          <w:tcPr>
            <w:tcW w:w="120" w:type="dxa"/>
            <w:vAlign w:val="bottom"/>
          </w:tcPr>
          <w:p>
            <w:pPr>
              <w:spacing w:after="0"/>
              <w:rPr>
                <w:sz w:val="21"/>
                <w:szCs w:val="21"/>
                <w:color w:val="auto"/>
              </w:rPr>
            </w:pPr>
          </w:p>
        </w:tc>
        <w:tc>
          <w:tcPr>
            <w:tcW w:w="30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00" w:type="dxa"/>
            <w:vAlign w:val="bottom"/>
          </w:tcPr>
          <w:p>
            <w:pPr>
              <w:spacing w:after="0"/>
              <w:rPr>
                <w:sz w:val="21"/>
                <w:szCs w:val="21"/>
                <w:color w:val="auto"/>
              </w:rPr>
            </w:pPr>
          </w:p>
        </w:tc>
        <w:tc>
          <w:tcPr>
            <w:tcW w:w="22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Entity’s Business</w:t>
            </w:r>
          </w:p>
        </w:tc>
        <w:tc>
          <w:tcPr>
            <w:tcW w:w="100" w:type="dxa"/>
            <w:vAlign w:val="bottom"/>
          </w:tcPr>
          <w:p>
            <w:pPr>
              <w:spacing w:after="0"/>
              <w:rPr>
                <w:sz w:val="21"/>
                <w:szCs w:val="21"/>
                <w:color w:val="auto"/>
              </w:rPr>
            </w:pPr>
          </w:p>
        </w:tc>
        <w:tc>
          <w:tcPr>
            <w:tcW w:w="336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Affiliation</w:t>
            </w:r>
          </w:p>
        </w:tc>
      </w:tr>
      <w:tr>
        <w:trPr>
          <w:trHeight w:val="216"/>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Aaron Davis</w:t>
            </w:r>
          </w:p>
        </w:tc>
        <w:tc>
          <w:tcPr>
            <w:tcW w:w="12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Boxer Capital, LLC</w:t>
            </w: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w:t>
            </w:r>
          </w:p>
        </w:tc>
        <w:tc>
          <w:tcPr>
            <w:tcW w:w="10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MVA Investors, LLC</w:t>
            </w:r>
          </w:p>
        </w:tc>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Fund</w:t>
            </w: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Mirati Therapeutics, Inc.</w:t>
            </w:r>
          </w:p>
        </w:tc>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Odonate Therapeutics,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iTeos Therapeutics,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Tango Therapeutics,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Therapeutics</w:t>
            </w:r>
          </w:p>
        </w:tc>
        <w:tc>
          <w:tcPr>
            <w:tcW w:w="10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CiVi Biopharma Holdings,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Therapeutics</w:t>
            </w:r>
          </w:p>
        </w:tc>
        <w:tc>
          <w:tcPr>
            <w:tcW w:w="1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Chairman</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Sojournix,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Therapeutics</w:t>
            </w:r>
          </w:p>
        </w:tc>
        <w:tc>
          <w:tcPr>
            <w:tcW w:w="1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3460" w:type="dxa"/>
            <w:vAlign w:val="bottom"/>
            <w:gridSpan w:val="3"/>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Fuglesang</w:t>
            </w: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Boxer Capital, LLC</w:t>
            </w:r>
          </w:p>
        </w:tc>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Fund</w:t>
            </w: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MVA Investors, LLC</w:t>
            </w:r>
          </w:p>
        </w:tc>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Fund</w:t>
            </w: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Pandion Therapeutics, Inc.</w:t>
            </w:r>
          </w:p>
        </w:tc>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CiVi Biopharma Holdings, Inc.</w:t>
            </w:r>
          </w:p>
        </w:tc>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3460" w:type="dxa"/>
            <w:vAlign w:val="bottom"/>
            <w:gridSpan w:val="3"/>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Beauchamp</w:t>
            </w: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Boxer Capital, LLC</w:t>
            </w:r>
          </w:p>
        </w:tc>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Fund</w:t>
            </w: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Vice President of Finance</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3460" w:type="dxa"/>
            <w:vAlign w:val="bottom"/>
            <w:gridSpan w:val="3"/>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Ellis</w:t>
            </w: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Boxer Capital, LLC</w:t>
            </w:r>
          </w:p>
        </w:tc>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Fund</w:t>
            </w: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Senior Counsel</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3460" w:type="dxa"/>
            <w:vAlign w:val="bottom"/>
            <w:gridSpan w:val="3"/>
          </w:tcPr>
          <w:p>
            <w:pPr>
              <w:spacing w:after="0"/>
              <w:rPr>
                <w:sz w:val="18"/>
                <w:szCs w:val="18"/>
                <w:color w:val="auto"/>
              </w:rPr>
            </w:pPr>
          </w:p>
        </w:tc>
      </w:tr>
      <w:tr>
        <w:trPr>
          <w:trHeight w:val="198"/>
        </w:trPr>
        <w:tc>
          <w:tcPr>
            <w:tcW w:w="2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Carole L. Nuechterlein</w:t>
            </w:r>
          </w:p>
        </w:tc>
        <w:tc>
          <w:tcPr>
            <w:tcW w:w="1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 Hoffmann-La Roche Ltd.</w:t>
            </w:r>
          </w:p>
        </w:tc>
        <w:tc>
          <w:tcPr>
            <w:tcW w:w="236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Therapeutics</w:t>
            </w:r>
          </w:p>
        </w:tc>
        <w:tc>
          <w:tcPr>
            <w:tcW w:w="346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Deputy Director, Head of Roche Venture</w:t>
            </w:r>
          </w:p>
        </w:tc>
      </w:tr>
      <w:tr>
        <w:trPr>
          <w:trHeight w:val="234"/>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Fund</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Millendo Therapeutics, Inc.</w:t>
            </w:r>
          </w:p>
        </w:tc>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Aligos Therapeutics, Inc.</w:t>
            </w:r>
          </w:p>
        </w:tc>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Vivet Therapeutics SAS</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CiVi Biopharma Holdings,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Entrada Therapeutics,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Therapeutics</w:t>
            </w:r>
          </w:p>
        </w:tc>
        <w:tc>
          <w:tcPr>
            <w:tcW w:w="10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Mission Therapeutics Ltd.</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Therapeutics</w:t>
            </w:r>
          </w:p>
        </w:tc>
        <w:tc>
          <w:tcPr>
            <w:tcW w:w="1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shd w:val="clear" w:color="auto" w:fill="CCEEFF"/>
          </w:tcPr>
          <w:p>
            <w:pPr>
              <w:spacing w:after="0"/>
              <w:rPr>
                <w:sz w:val="18"/>
                <w:szCs w:val="18"/>
                <w:color w:val="auto"/>
              </w:rPr>
            </w:pPr>
          </w:p>
        </w:tc>
      </w:tr>
      <w:tr>
        <w:trPr>
          <w:trHeight w:val="198"/>
        </w:trPr>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Arch Oncology Inc.</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Therapeutics</w:t>
            </w:r>
          </w:p>
        </w:tc>
        <w:tc>
          <w:tcPr>
            <w:tcW w:w="10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100" w:type="dxa"/>
            <w:vAlign w:val="bottom"/>
            <w:shd w:val="clear" w:color="auto" w:fill="CCEEFF"/>
          </w:tcPr>
          <w:p>
            <w:pPr>
              <w:spacing w:after="0"/>
              <w:rPr>
                <w:sz w:val="17"/>
                <w:szCs w:val="17"/>
                <w:color w:val="auto"/>
              </w:rPr>
            </w:pPr>
          </w:p>
        </w:tc>
      </w:tr>
      <w:tr>
        <w:trPr>
          <w:trHeight w:val="234"/>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Genome, Inc.</w:t>
            </w:r>
          </w:p>
        </w:tc>
        <w:tc>
          <w:tcPr>
            <w:tcW w:w="1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Therapeutics</w:t>
            </w:r>
          </w:p>
        </w:tc>
        <w:tc>
          <w:tcPr>
            <w:tcW w:w="10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shd w:val="clear" w:color="auto" w:fill="CCEEFF"/>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3460" w:type="dxa"/>
            <w:vAlign w:val="bottom"/>
            <w:gridSpan w:val="3"/>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Heyman</w:t>
            </w: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Arch Ventures</w:t>
            </w:r>
          </w:p>
        </w:tc>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Fund</w:t>
            </w: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Venture Partner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Metacrine, Inc.</w:t>
            </w:r>
          </w:p>
        </w:tc>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Chairman</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Millendo Therapeutics, Inc.</w:t>
            </w:r>
          </w:p>
        </w:tc>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ORIC Pharmaceuticals</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YumanityTherapeutics,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Vividion Therapeutics,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Therapeutics</w:t>
            </w:r>
          </w:p>
        </w:tc>
        <w:tc>
          <w:tcPr>
            <w:tcW w:w="10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PMV Pharmaceuticals,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Therapeutics</w:t>
            </w:r>
          </w:p>
        </w:tc>
        <w:tc>
          <w:tcPr>
            <w:tcW w:w="1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Amunix, Inc.</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Therapeutics</w:t>
            </w:r>
          </w:p>
        </w:tc>
        <w:tc>
          <w:tcPr>
            <w:tcW w:w="1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3460" w:type="dxa"/>
            <w:vAlign w:val="bottom"/>
            <w:gridSpan w:val="3"/>
          </w:tcPr>
          <w:p>
            <w:pPr>
              <w:spacing w:after="0"/>
              <w:rPr>
                <w:sz w:val="18"/>
                <w:szCs w:val="18"/>
                <w:color w:val="auto"/>
              </w:rPr>
            </w:pPr>
          </w:p>
        </w:tc>
      </w:tr>
      <w:tr>
        <w:trPr>
          <w:trHeight w:val="198"/>
        </w:trPr>
        <w:tc>
          <w:tcPr>
            <w:tcW w:w="2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Charles M. Baum</w:t>
            </w:r>
          </w:p>
        </w:tc>
        <w:tc>
          <w:tcPr>
            <w:tcW w:w="1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Mirati Therapeutics, Inc.</w:t>
            </w:r>
          </w:p>
        </w:tc>
        <w:tc>
          <w:tcPr>
            <w:tcW w:w="236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Therapeutics</w:t>
            </w:r>
          </w:p>
        </w:tc>
        <w:tc>
          <w:tcPr>
            <w:tcW w:w="346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w:t>
            </w:r>
          </w:p>
        </w:tc>
      </w:tr>
      <w:tr>
        <w:trPr>
          <w:trHeight w:val="234"/>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Immunomedics, Inc.</w:t>
            </w:r>
          </w:p>
        </w:tc>
        <w:tc>
          <w:tcPr>
            <w:tcW w:w="2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Therapeutics</w:t>
            </w: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3460" w:type="dxa"/>
            <w:vAlign w:val="bottom"/>
            <w:gridSpan w:val="3"/>
          </w:tcPr>
          <w:p>
            <w:pPr>
              <w:spacing w:after="0"/>
              <w:rPr>
                <w:sz w:val="18"/>
                <w:szCs w:val="18"/>
                <w:color w:val="auto"/>
              </w:rPr>
            </w:pPr>
          </w:p>
        </w:tc>
      </w:tr>
      <w:tr>
        <w:trPr>
          <w:trHeight w:val="198"/>
        </w:trPr>
        <w:tc>
          <w:tcPr>
            <w:tcW w:w="2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Jamie G. Christensen</w:t>
            </w:r>
          </w:p>
        </w:tc>
        <w:tc>
          <w:tcPr>
            <w:tcW w:w="1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Mirati Therapeutics, Inc.</w:t>
            </w:r>
          </w:p>
        </w:tc>
        <w:tc>
          <w:tcPr>
            <w:tcW w:w="236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Therapeutics</w:t>
            </w:r>
          </w:p>
        </w:tc>
        <w:tc>
          <w:tcPr>
            <w:tcW w:w="346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Executive Vice President and Chief</w:t>
            </w:r>
          </w:p>
        </w:tc>
      </w:tr>
      <w:tr>
        <w:trPr>
          <w:trHeight w:val="234"/>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Scientific Officer</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 our insiders, including our officers and directors, have agreed to vote any shares of common stock held by them in favor of our initial business combination. In addition, they have agreed to waive their respective rights to receive any amounts held in the trust account with respect to their insider shares and private shares if we are unable to complete our initial business combination within the required time frame. If they purchase shares of common stock in this offering or in the open market, however, they would be entitled to receive their pro rata share of the amounts held in the trust account if we are unable to complete our initial business combination within the required time frame, but have agreed not to convert such shares in connection with the consummation of our initial business combination.</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further minimize conflicts of interest, we have agreed not to consummate our initial business combination with an entity that is affiliated with any of our officers, directors or other insiders,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our directors and officers will be indemnified by us to the fullest extent authorized by Delaware law as it now exists or may in the future be amended. In addition, our certificate of incorporation provides that our directors will not be personally liable for monetary damages to us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Notwithstanding the foregoing, as set forth in our certificate of incorporation, such indemnification will not extend to any claims our insiders may make to us to cover any loss that they may sustain as a result of their agreement to pay debts and obligations to target businesses or vendors or other entities that are owed money by us for services rendered or contracted for or products sold to us as described elsewhere in this prospectus.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some circumstances and insures us against our obligations to indemnify the directors and officers.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provisions. We believe that these provisions, the insurance and the indemnity agreements are necessary to attract and retain talented and experienced directors and officers.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shares of common stock as of the date of this prospectus and as adjusted to reflect the sale of our shares of common stock included in the shares of common stock offered by this prospectus (assuming none of the individuals listed purchase shares in this offering), by:</w:t>
      </w:r>
    </w:p>
    <w:p>
      <w:pPr>
        <w:spacing w:after="0" w:line="176"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issued and outstanding shares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officers, directors and director nominees;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officers, directors and director nominees as a group.</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shares of common stock beneficially owned by them.</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Prior to Offering</w:t>
            </w:r>
          </w:p>
        </w:tc>
        <w:tc>
          <w:tcPr>
            <w:tcW w:w="276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After Offering</w:t>
            </w:r>
            <w:r>
              <w:rPr>
                <w:rFonts w:ascii="Times New Roman" w:cs="Times New Roman" w:eastAsia="Times New Roman" w:hAnsi="Times New Roman"/>
                <w:sz w:val="29"/>
                <w:szCs w:val="29"/>
                <w:b w:val="1"/>
                <w:bCs w:val="1"/>
                <w:color w:val="auto"/>
                <w:vertAlign w:val="superscript"/>
              </w:rPr>
              <w:t>(2)</w:t>
            </w: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Approximate</w:t>
            </w:r>
          </w:p>
        </w:tc>
        <w:tc>
          <w:tcPr>
            <w:tcW w:w="2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Approximate</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and</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and</w:t>
            </w: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0" w:type="dxa"/>
            <w:vAlign w:val="bottom"/>
          </w:tcPr>
          <w:p>
            <w:pPr>
              <w:spacing w:after="0"/>
              <w:rPr>
                <w:sz w:val="1"/>
                <w:szCs w:val="1"/>
                <w:color w:val="auto"/>
              </w:rPr>
            </w:pPr>
          </w:p>
        </w:tc>
      </w:tr>
      <w:tr>
        <w:trPr>
          <w:trHeight w:val="216"/>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r>
              <w:rPr>
                <w:rFonts w:ascii="Times New Roman" w:cs="Times New Roman" w:eastAsia="Times New Roman" w:hAnsi="Times New Roman"/>
                <w:sz w:val="29"/>
                <w:szCs w:val="29"/>
                <w:b w:val="1"/>
                <w:bCs w:val="1"/>
                <w:color w:val="auto"/>
                <w:vertAlign w:val="superscript"/>
              </w:rPr>
              <w:t>(1)</w:t>
            </w:r>
          </w:p>
        </w:tc>
        <w:tc>
          <w:tcPr>
            <w:tcW w:w="120" w:type="dxa"/>
            <w:vAlign w:val="bottom"/>
            <w:vMerge w:val="restart"/>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0" w:type="dxa"/>
            <w:vAlign w:val="bottom"/>
          </w:tcPr>
          <w:p>
            <w:pPr>
              <w:spacing w:after="0"/>
              <w:rPr>
                <w:sz w:val="1"/>
                <w:szCs w:val="1"/>
                <w:color w:val="auto"/>
              </w:rPr>
            </w:pPr>
          </w:p>
        </w:tc>
      </w:tr>
      <w:tr>
        <w:trPr>
          <w:trHeight w:val="245"/>
        </w:trPr>
        <w:tc>
          <w:tcPr>
            <w:tcW w:w="5660" w:type="dxa"/>
            <w:vAlign w:val="bottom"/>
            <w:tcBorders>
              <w:bottom w:val="single" w:sz="8" w:color="auto"/>
            </w:tcBorders>
            <w:gridSpan w:val="2"/>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3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BCTG Holdings, LLC (our sponsor) </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3,959,950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3,906,200</w:t>
            </w:r>
          </w:p>
        </w:tc>
        <w:tc>
          <w:tcPr>
            <w:tcW w:w="1440" w:type="dxa"/>
            <w:vAlign w:val="bottom"/>
            <w:gridSpan w:val="2"/>
            <w:shd w:val="clear" w:color="auto" w:fill="CCEEFF"/>
          </w:tcPr>
          <w:p>
            <w:pPr>
              <w:jc w:val="right"/>
              <w:ind w:right="20"/>
              <w:spacing w:after="0" w:line="256" w:lineRule="exact"/>
              <w:rPr>
                <w:sz w:val="20"/>
                <w:szCs w:val="20"/>
                <w:color w:val="auto"/>
              </w:rPr>
            </w:pPr>
            <w:r>
              <w:rPr>
                <w:rFonts w:ascii="Times New Roman" w:cs="Times New Roman" w:eastAsia="Times New Roman" w:hAnsi="Times New Roman"/>
                <w:sz w:val="18"/>
                <w:szCs w:val="18"/>
                <w:color w:val="auto"/>
              </w:rPr>
              <w:t>21.0%</w:t>
            </w:r>
            <w:r>
              <w:rPr>
                <w:rFonts w:ascii="Times New Roman" w:cs="Times New Roman" w:eastAsia="Times New Roman" w:hAnsi="Times New Roman"/>
                <w:sz w:val="29"/>
                <w:szCs w:val="29"/>
                <w:color w:val="auto"/>
                <w:vertAlign w:val="superscript"/>
              </w:rPr>
              <w:t>(4)</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Aaron Davis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Fuglesang</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Beauchamp</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Ellis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Carole L. Nuechterlein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Heyman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40,600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40,600</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Charles M. Baum</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40,600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40,600</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Jamie G. Christensen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40,600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40,600</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officers and directors as a group (8 individuals)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121,800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121,800</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officers, directors and our sponsor as a group (9 individuals)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4,081,750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4,028,000</w:t>
            </w:r>
          </w:p>
        </w:tc>
        <w:tc>
          <w:tcPr>
            <w:tcW w:w="1440" w:type="dxa"/>
            <w:vAlign w:val="bottom"/>
            <w:gridSpan w:val="2"/>
            <w:shd w:val="clear" w:color="auto" w:fill="CCEEFF"/>
          </w:tcPr>
          <w:p>
            <w:pPr>
              <w:jc w:val="right"/>
              <w:ind w:right="20"/>
              <w:spacing w:after="0" w:line="256" w:lineRule="exact"/>
              <w:rPr>
                <w:sz w:val="20"/>
                <w:szCs w:val="20"/>
                <w:color w:val="auto"/>
              </w:rPr>
            </w:pPr>
            <w:r>
              <w:rPr>
                <w:rFonts w:ascii="Times New Roman" w:cs="Times New Roman" w:eastAsia="Times New Roman" w:hAnsi="Times New Roman"/>
                <w:sz w:val="18"/>
                <w:szCs w:val="18"/>
                <w:color w:val="auto"/>
              </w:rPr>
              <w:t>21.6%</w:t>
            </w:r>
            <w:r>
              <w:rPr>
                <w:rFonts w:ascii="Times New Roman" w:cs="Times New Roman" w:eastAsia="Times New Roman" w:hAnsi="Times New Roman"/>
                <w:sz w:val="29"/>
                <w:szCs w:val="29"/>
                <w:color w:val="auto"/>
                <w:vertAlign w:val="superscript"/>
              </w:rPr>
              <w:t>(4)</w:t>
            </w:r>
          </w:p>
        </w:tc>
        <w:tc>
          <w:tcPr>
            <w:tcW w:w="0" w:type="dxa"/>
            <w:vAlign w:val="bottom"/>
          </w:tcPr>
          <w:p>
            <w:pPr>
              <w:spacing w:after="0"/>
              <w:rPr>
                <w:sz w:val="1"/>
                <w:szCs w:val="1"/>
                <w:color w:val="auto"/>
              </w:rPr>
            </w:pPr>
          </w:p>
        </w:tc>
      </w:tr>
      <w:tr>
        <w:trPr>
          <w:trHeight w:val="43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than 1%.</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individuals is c/o BCTG Acquisition Corp., 11682 El Camino Real, Suite 320, San Diego, CA 92130.</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over-allotment option and, therefore, an aggregate of 543,750 shares of common stock held by our sponsor are forfeited.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consisting of Aaron Davis, Christopher Fuglesang and Andrew Ellis makes voting and dispositive decisions with respect to our securities owned by the sponsor. Each of Aaron Davis, Christopher Fuglesang and Andrew Ellis disclaims any pecuniary interest in the sponsor except to the extent of his beneficial interest in the securities owned by the sponsor.</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490,000 private placement shares purchased by our sponsor.</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Immediately after this offering, our initial stockholders will beneficially own 20% of the then issued and outstanding shares of common stock (assuming none of them purchase any shares of our common stock offered by this prospectus). None of our initial stockholders, officers and directors has indicated to us that he intends to purchase securities in this offering. Because of the ownership block held by our initial stockholders, such individuals may be able to effectively exercise control over all matters requiring approval by our stockholders, including the election of directors and approval of significant corporate transactions other than approval of our initial business combination.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underwriters do not exercise all or a portion of the over-allotment option, our sponsor will have up to an aggregate 543,750 shares of common stock subject to forfeiture. Only a number of shares necessary to maintain our initial stockholders’ collective 20% ownership interest in our shares of common stock after giving effect to the offering and the exercise, if any, of the underwriter’s over-allotment option will be forfeited.</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of the insider shares issued and outstanding prior to the date of this prospectus will be placed in escrow with Continental Stock Transfer &amp; Trust Company, as escrow agent. Founder shares will not be transferred, assigned, sold or released from escrow until the earlier of (i) one year after the date of the consummation of our initial business combination or (ii) the date on which the closing price of our shares of common stock equals or exceeds $12.00 per share (as adjusted for stock splits, stock dividends, reorganizations and recapitalizations) for any 20 trading days within any 30-trading day period commencing at least 150 days after our initial business combination, or earlier if, subsequent to our initial business combination, we consummate a subsequent liquidation, merger, stock exchange or other similar transaction which results in all of our stockholders having the right to exchange their shares of common stock for cash, securities or other property. Up to 543,750 of the insider shares held by our sponsor may also be released from escrow earlier than this date for forfeiture and cancellation if the over-allotment option is not exercised in full as described above.</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escrow period, the holders of these shares will not be able to sell or transfer their securities except to the following “permitted transferees”</w:t>
      </w:r>
    </w:p>
    <w:p>
      <w:pPr>
        <w:spacing w:after="0" w:line="27" w:lineRule="exact"/>
        <w:rPr>
          <w:sz w:val="20"/>
          <w:szCs w:val="20"/>
          <w:color w:val="auto"/>
        </w:rPr>
      </w:pPr>
    </w:p>
    <w:p>
      <w:pPr>
        <w:jc w:val="both"/>
        <w:ind w:firstLine="8"/>
        <w:spacing w:after="0" w:line="251" w:lineRule="auto"/>
        <w:tabs>
          <w:tab w:leader="none" w:pos="2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transfers to our officers, directors or their respective affiliates (including for transfers to an entity’s members upon its liquidation), (ii) to relatives and trusts for estate planning purposes, (iii) by virtue of the laws of descent and distribution upon death, (iv) pursuant to a qualified domestic relations order, (v) by certain pledges to secure obligations incurred in connection with purchases of our securities, (vi) by private sales made at or prior to the consummation of a business combination at prices no greater than the price at which the shares were originally purchased or (vii) to us for no value for cancellation in connection with the consummation of our initial business combination, in each case (except for clause (vii)) where the transferee agrees to the terms of the escrow agreement, but will retain all other rights as our stockholders, including, without limitation, the right to vote their shares of common stock and the right to receive cash dividends, if declared. If dividends are declared and payable in shares of common stock, such dividends will also be placed in escrow. If we are unable to effect a business combination and liquidate the trust account, none of our initial stockholders will receive any portion of the liquidation proceeds with respect to their insider shares.</w:t>
      </w:r>
    </w:p>
    <w:p>
      <w:pPr>
        <w:spacing w:after="0" w:line="19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sponsor has committed to purchase from us an aggregate of 490,000 shares of our common stock (or 533,500 shares if the underwriter’s over-allotment option is exercised in full) at a price of $10.00 per share ($4,900,000 in the aggregate, or $5,335,000 in the aggregate if the underwriter’s over-allotment option is exercised in full), in a private placement that will close simultaneously with the closing of this offering. If we do not complete our initial business combination within 24 months from the closing of this offering, the proceeds from the sale of the private shares will be included in the liquidating distribution to the holders of our public shares.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meet our working capital needs following the consummation of this offering, our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$1,500,000 of the notes may be converted upon consummation of our business combination into additional private shares at a price of $10.00 per share (which, for example, would result in the holders being issued 50,000 shares if $500,000 of notes were so converted). Such private shares will be identical to the private shares to be issued at the closing of this offering. Our stockholders have approved the issuance of the private shares upon conversion of such notes, to the extent the holder wishes to so convert them at the time of the consummation of our initial business combination. If we do not complete a business combination, the loans will not be repaid.</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BCTG Holdings, LLC is our “promoter,” as that term is defined under the Federal securities laws.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CERTAIN TRANSACTIONS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June 4, 2020, our sponsor purchased 3,593,750 shares for an aggregate purchase price of $25,000. In August 2020, our sponsor transferred an aggregate of 105,000 founder shares to our directors or at their direction, and an aggregate of 75,000 shares to certain persons who will act as our scientific advisors. Such transferred shares will not be subject to forfeiture in the event the underwriter’s over-allotment option is not exercised. On September 2, 2020, we declared a dividend of 0.16 shares for each outstanding share (an aggregate of 575,000 shares), resulting in an aggregate of 4,168,750 shares outstanding, which we refer to herein as “founder shares” or “insider shares.” The founder shares include an aggregate of up to 543,750 shares held by our sponsor that are subject to forfeiture to the extent that the underwriter’s over-allotment option is not exercised in full or in part.</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underwriters do not exercise all or a portion of their over-allotment option, our sponsor has agreed that up to an aggregate of 543,750 shares of common stock in proportion to the portion of the over-allotment option that was not exercised are subject to forfeiture and would be immediately cancelled.</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underwriters determine the size of the offering should be increased (including pursuant to Rule 462(b) under the Securities Act) or decreased, a share capitalizations or a contribution back to capital, as applicable, would be effectuated in order to maintain our initial stockholder’s ownership at 20% of the number of shares issued and outstanding after the closing of this offering.</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sponsor has committed to purchase from us an aggregate of 490,000 shares of our common stock (or 533,500 shares if the underwriter’s over-allotment option is exercised in full) at a price of $10.00 per share ($4,900,000 in the aggregate, or $5,335,000 in the aggregate if the underwriter’s over-allotment option is exercised in full), in a private placement that will close simultaneously with the closing of this offering. If we do not complete our initial business combination within 24 months from the closing of this offering, the proceeds from the sale of the private shares will be included in the liquidating distribution to the holders of our public shares.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meet our working capital needs following the consummation of this offering, our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$1,500,000 of the notes may be converted upon consummation of our business combination into additional private shares at a price of $10.00 per share (which, for example, would result in the holders being issued 50,000 shares if $500,000 of notes were so converted). Such private shares will be identical to the private shares to be issued at the closing of this offering. Our stockholders have approved the issuance of the private shares upon conversion of such notes, to the extent the holder wishes to so convert them at the time of the consummation of our initial business combination. If we do not complete a business combination, the loans will not be repaid.</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holders of our insider shares issued and outstanding on the date of this prospectus, as well as the holders of the private shares, will be entitled to registration and stockholder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our consummation of a business combination. We will bear the expenses incurred in connection with the filing of any such registration statements.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registration rights and stockholder rights agreement our sponsor will be entitled, upon consummation of our initial business combination, to nominate three individuals for election to our board of directors, which is described under the section of this prospectus entitled “Description of Securities—Registration and Stockholder Rights.”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will reimburse our officers and directors for any reasonable out-of-pocket business expenses incurred by them in connection with certain activities on our behalf such as identifying and investigating possible target businesses and business combinations.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 Our audit committee will review and approve all reimbursements and payments made to any initial stockholder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compensation or fees of any kind, including finder’s fees, consulting fees or other similar compensation, will be paid to any of our initial stockholders, officers or directors who owned our shares of common stock prior to this offering, or to any of their respective affiliates, prior to or with respect to the business combination (regardless of the type of transaction that it is).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sponsor has entered into an agreement with us to purchase at least an aggregate of 2,500,000 shares of common stock for an aggregate purchase price of $25,000,000, or $10.00 per share of common stock, prior to, concurrently with, or following the closing of our business combination in a private placement. The shares of common stock issuable pursuant to the forward purchase agreement will be identical to the shares of common stock being sold in this offering, except that the holders thereof will have certain registration rights, as described herein. The capital from such transaction may be used as part of the consideration to the sellers in our initial business combination, and any excess capital from such private placement would be used for working capital in the post-transaction company.</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All ongoing and future transactions between us and any of our officers and directors or their respective affiliates will be on terms believed by us to be no less favorable to us than are available from unaffiliated third parties. Such transactions, including the payment of any compensation, will require prior approval by a majority of our uninterested “independent” directors (to the extent we have any) or the members of our board who do not have an interest in the transaction, in either case who had access, at our expense, to our attorneys or independent legal counsel. We will not enter into any such transaction unless our disinterested “independent” directors (or, if there are no “independent” directors, our disinterested directors) determine that the terms of such transaction are no less favorable to us than those that would be available to us with respect to such a transaction from unaffiliated third 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Policy</w:t>
      </w: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Our Code of Ethics, which we will adopt upon consummation of this offering, will require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w:t>
      </w:r>
    </w:p>
    <w:p>
      <w:pPr>
        <w:spacing w:after="0" w:line="1" w:lineRule="exact"/>
        <w:rPr>
          <w:sz w:val="20"/>
          <w:szCs w:val="20"/>
          <w:color w:val="auto"/>
        </w:rPr>
      </w:pPr>
    </w:p>
    <w:p>
      <w:pPr>
        <w:jc w:val="both"/>
        <w:ind w:firstLine="8"/>
        <w:spacing w:after="0" w:line="253" w:lineRule="auto"/>
        <w:tabs>
          <w:tab w:leader="none" w:pos="27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subsidiaries is a participant, and (3) any (a) executive officer, director or nominee for election as a director, (b) greater than 5% beneficial owner of our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audit committee, pursuant to its written charter, will be responsible for reviewing and approving related-party transactions to the extent we enter into such transactions. 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 Additionally, we require each of our directors and executive officers to complete a directors’ and officers’ questionnaire that elicits information about related party transactions.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further minimize potential conflicts of interest, we have agreed not to consummate a business combination with an entity which is affiliated with any of our initial stockholders unless we obtain an opinion from an independent investment banking firm that the business combination is fair to our unaffiliated stockholders from a financial point of view. Furthermore, in no event will any of our existing officers, directors or initial stockholders, or any entity with which they are affiliated, be paid any finder’s fee, consulting fee or other compensation prior to, or for any services they render in order to effectuate, the consummation of a business combination.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Pursuant to our amended certificate of incorporation, our authorized capital stock consists of 30,000,000 shares of common stock, par value $0.0001, and 1,000,000 shares of preferred stock, par value $0.0001. As of the date of this prospectus, 4,168,750 shares of common stock are issued and outstanding, held by our sponsor, our directors, advisors and affiliates of our management team. No preferred shares are issued or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holders of record of our common stock are entitled to one vote for each share held on all matters to be voted on by stockholders. In connection with any vote held to approve our initial business combination, our insiders, officers and directors, have agreed to vote their respective shares of common stock owned by them immediately prior to this offering, including both the insider shares and any shares acquired in this offering or following this offering in the open market, in favor of the proposed business combination.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our certificate of incorporation, if we do not consummate our initial business combination within 24 months from the closing of this offering,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Our insiders have agreed to waive their rights to share in any distribution with respect to their insider shares.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There are no shares of preferred stock outstanding.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utilized as a method of discouraging, delaying or preventing a change in control of us. Although we do not currently intend to issue any shares of preferred stock, we reserve the right to do so in the future.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for our shares of common stock is Continental Stock Transfer &amp; Trust Company, 1 State Street, 30th Floor, New York, New York 10004.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285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and our Certificate of Incorporation and By-Laws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76" w:lineRule="exact"/>
        <w:rPr>
          <w:sz w:val="20"/>
          <w:szCs w:val="20"/>
          <w:color w:val="auto"/>
        </w:rPr>
      </w:pPr>
    </w:p>
    <w:p>
      <w:pPr>
        <w:ind w:left="660" w:right="14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20% or more of our voting stock.</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sponsor and its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bylaws provide that special meetings of our stockholders may be called only by a majority vote of our board of directors, by our chief executive officer or by our chairman.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Advance notice requirements for stockholder proposals and director nominations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w:t>
      </w:r>
    </w:p>
    <w:p>
      <w:pPr>
        <w:jc w:val="both"/>
        <w:spacing w:after="0" w:line="227" w:lineRule="auto"/>
        <w:rPr>
          <w:sz w:val="20"/>
          <w:szCs w:val="20"/>
          <w:color w:val="auto"/>
        </w:rPr>
      </w:pPr>
      <w:r>
        <w:rPr>
          <w:rFonts w:ascii="Times New Roman" w:cs="Times New Roman" w:eastAsia="Times New Roman" w:hAnsi="Times New Roman"/>
          <w:sz w:val="18"/>
          <w:szCs w:val="18"/>
          <w:color w:val="auto"/>
        </w:rPr>
        <w:t>delivered to our principal executive offices not later than the close of business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nor earlier than the opening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for certain lawsuits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will not be deemed to be a waiver by our stockholders of our obligation to comply with federal securities laws, rules and regulations, and the provisions of this paragraph will not apply to suits brought to enforce any liability or duty created by the Exchange Act or any other claim for which the federal district courts of the United States of America shall be the sole and exclusive forum. Although we believe this provision benefits us by providing increased consistency in the application of Delaware law in the types of lawsuits to which it applies, the provision may have the effect of discouraging lawsuits against our directors and officers. Furthermore, the enforceability of choice of forum provisions in other companies’ certificates of incorporation has been challenged in legal proceedings, and it is possible that a court could find these types of provisions to be inapplicable or unenforceable.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SECURITIES ELIGIBLE FOR FUTURE SALE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Immediately after this offering, we will have 18,615,000 shares of common stock issued and outstanding, or 21,377,250 shares of common stock if the over-allotment option is exercised in full. Of these shares, the 14,500,000 shares sold in this offering, or 16,675,000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 All of those shares will not be transferable except in limited circumstances described elsewhere in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144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person who has beneficially owned restricted shares of common stock for at least six months would be entitled to sell their securities provided that</w:t>
      </w:r>
    </w:p>
    <w:p>
      <w:pPr>
        <w:spacing w:after="0" w:line="27" w:lineRule="exact"/>
        <w:rPr>
          <w:sz w:val="20"/>
          <w:szCs w:val="20"/>
          <w:color w:val="auto"/>
        </w:rPr>
      </w:pPr>
    </w:p>
    <w:p>
      <w:pPr>
        <w:jc w:val="both"/>
        <w:ind w:firstLine="8"/>
        <w:spacing w:after="0" w:line="253" w:lineRule="auto"/>
        <w:tabs>
          <w:tab w:leader="none" w:pos="23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8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common stock then issued and outstanding, which will equal 186,150 shares immediately after this offering (or 213,772 if the over-allotment option is exercised in full);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the shares of common stock during the four calendar weeks preceding the filing of a notice on Form 144 with respect to the sale.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under Rule 144 are also limited by manner of sale provisions and notice requirements and to the availability of current public information about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Historically, the SEC staff had taken the position that Rule 144 is not available for the resale of securities initially issued by companies that are, or previously were, blank check companies, like us. The SEC has codified and expanded this position in the amendments discussed above by prohibiting the use of Rule 144 for resale of securities issued by any shell companies (other than business combination related shell companies) or any issuer that has been at any time previously a shell company. The SEC has provided an important exception to this prohibition, however, if the following conditions are met:</w:t>
      </w:r>
    </w:p>
    <w:p>
      <w:pPr>
        <w:spacing w:after="0" w:line="180"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it is likely that pursuant to Rule 144, our initial stockholders will be able to sell their insider shares freely without registration one year after we have completed our initial business combination assuming they are not an affiliate of ours at that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and Stockholder Rights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holders of our insider shares issued and outstanding on the date of this prospectus, as well as the holders of the private shares, will be entitled to registration and stockholder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The holders of a majority of the private shares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pursuant to the registration and stockholder rights agreement, our sponsor, upon consummation of an initial business combination, will be entitled to nominate one individual for election to our board of directors.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intend to offer our securities described in this prospectus through the underwriters named below. SVB Leerink LLC is the representative for the underwriters. We have entered into an underwriting agreement with the representative. Subject to the terms and conditions of the underwriting agreement, each of the underwriters has severally agreed to purchase from us the number of shares listed next to its name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12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36"/>
        </w:trPr>
        <w:tc>
          <w:tcPr>
            <w:tcW w:w="99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SVB Leerink LLC</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8"/>
              </w:rPr>
              <w:t>14,500,000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100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ind w:left="300"/>
              <w:spacing w:after="0" w:line="203" w:lineRule="exact"/>
              <w:rPr>
                <w:sz w:val="20"/>
                <w:szCs w:val="20"/>
                <w:color w:val="auto"/>
              </w:rPr>
            </w:pPr>
            <w:r>
              <w:rPr>
                <w:rFonts w:ascii="Times New Roman" w:cs="Times New Roman" w:eastAsia="Times New Roman" w:hAnsi="Times New Roman"/>
                <w:sz w:val="18"/>
                <w:szCs w:val="18"/>
                <w:color w:val="auto"/>
                <w:w w:val="98"/>
              </w:rPr>
              <w:t>14,500,000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34"/>
        </w:trPr>
        <w:tc>
          <w:tcPr>
            <w:tcW w:w="9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Discounts and Commissions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representative has advised us that the underwriters propose initially to offer the shares to the public at the public offering price set forth on the cover page of this prospectus supplement and to dealers at that price less a concession not in excess of $0.12 per share. After the initial offering of the shares, the public offering price, concession or any other term of this offering may be changed by the representative.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discounts and commissions and proceeds, before expenses, to us. The information assumes either no exercise or full exercise by the underwriters of their over-allotment option to purchase additional shares of our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Without</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With</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Over-</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Over-</w:t>
            </w: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allotment</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allotment</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Underwriting Discounts and Commisions</w:t>
            </w:r>
            <w:r>
              <w:rPr>
                <w:rFonts w:ascii="Times New Roman" w:cs="Times New Roman" w:eastAsia="Times New Roman" w:hAnsi="Times New Roman"/>
                <w:sz w:val="29"/>
                <w:szCs w:val="2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7,975,000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9,171,250</w:t>
            </w:r>
          </w:p>
        </w:tc>
      </w:tr>
      <w:tr>
        <w:trPr>
          <w:trHeight w:val="257"/>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Proceeds before expenses</w:t>
            </w:r>
            <w:r>
              <w:rPr>
                <w:rFonts w:ascii="Times New Roman" w:cs="Times New Roman" w:eastAsia="Times New Roman" w:hAnsi="Times New Roman"/>
                <w:sz w:val="29"/>
                <w:szCs w:val="29"/>
                <w:color w:val="auto"/>
                <w:vertAlign w:val="superscript"/>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137,025,000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157,578,750</w:t>
            </w:r>
          </w:p>
        </w:tc>
      </w:tr>
    </w:tbl>
    <w:p>
      <w:pPr>
        <w:spacing w:after="0" w:line="198" w:lineRule="exact"/>
        <w:rPr>
          <w:sz w:val="20"/>
          <w:szCs w:val="20"/>
          <w:color w:val="auto"/>
        </w:rPr>
      </w:pPr>
    </w:p>
    <w:p>
      <w:pPr>
        <w:ind w:lef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includes $5,075,000, or $0.35 per share (or $5,836,250 if the underwriter’s over-allotment option is exercised in full) payable to the underwriters for deferred underwriting commissions upon completion of a business combination.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expenses are estimated at $750,000.</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agreed to reimburse the underwriters for all expenses and fees related to the review by FINRA, which will not exceed $15,000.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Over-allotment Option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granted the underwriters an option to buy up to 2,175,000 additional shares solely to cover over-allotments.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shares approximately in proportion to the amounts specified in the table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our sponsor and our officers and directors have agreed that, for a period of 185 days from the date of this prospectus, we and they will not, without the prior written consent of SVB Leerink LLC, offer, sell, contract to sell, pledge or otherwise dispose of, directly or indirectly, Class A ordinary shares or any other securities convertible into, or exercisable, or exchangeable for, Class A ordinary shares; provided, however, that we may (1) issue and sell the private placement shares, (2) issue and sell the additional Class A ordinary shares to cover our underwriters’ over-allotment option (if any), (3) register with the SEC pursuant to an agreement to be entered into concurrently with the issuance and sale of the securities in this offering, the resale of the founder shares and the private placement shares, and (4) issue securities in connection with an initial business combination. SVB Leerink LLC in its sole discretion, may release any of the securities subject to this lock-up agreement at any time without notice.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058" w:gutter="0" w:footer="0" w:header="0"/>
        </w:sectPr>
      </w:pPr>
    </w:p>
    <w:bookmarkStart w:id="91" w:name="page92"/>
    <w:bookmarkEnd w:id="91"/>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our initial stockholders have agreed not to transfer, assign or sell any of their founder shares until the earlier to occur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(except as described herein under “Principal Shareholders — Transfers of Founder Shares and Private Placement Shares”). Any permitted transferees will be subject to the same restrictions and other agreements of our initial stockholders with respect to any founder shares and private placement shares. We refer to such transfer restrictions throughout this prospectus as the lock-up.</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private placement shares will not be transferable, assignable or salable until 30 days after the completion of our initial business combination (except with respect to permitted transferees as described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Securities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been advised by the representative that the underwriters propose to offer the shares to the public at the offering price set forth on the cover page of this prospectus.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any of our securities. The public offering price of the shares was negotiated between us and the representative. Factors considered in determining the prices and terms of the shares of common stock include:</w:t>
      </w:r>
    </w:p>
    <w:p>
      <w:pPr>
        <w:spacing w:after="0" w:line="162"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prospects of companies whose principal business is the acquisition of other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offerings of those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acquiring an operating business at attractive values;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amount of net proceeds being placed into the trust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and their experience in identifying operating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of the securities markets at the time of the offering;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as were deemed relevant.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is presently no public market for our common stock. Our common stock has been approved for listing on the Nasdaq Capital Market, or Nasdaq, under the symbol “BCTG” on or promptly after the date of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Restrictions on Purchase of Securities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Rules of the SEC may limit the ability of the underwriters to bid for or purchase our shares before the distribution of the shares is completed. However, the underwriters may engage in the following activities in accordance with the rules:</w:t>
      </w:r>
    </w:p>
    <w:p>
      <w:pPr>
        <w:spacing w:after="0" w:line="162" w:lineRule="exact"/>
        <w:rPr>
          <w:sz w:val="20"/>
          <w:szCs w:val="20"/>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The underwriters may make bids or purchases for the purpose of preventing or retarding a decline in the price of our shares, as long as stabilizing bids do not exceed the offering price of $10.00 and the underwriters comply with all other applicable rules.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Over-Allotments and Syndicate Coverage Transactions. The underwriters may create a short position in our shares by selling more of our shares than are set forth on the cover page of this prospectus up to the amount of the over-allotment option. This is known as a covered short position. The underwriters may also create a short position in our shares by selling more of our shares than are set forth on the cover page of this prospectus and the shares allowed by the over-allotment option. This is known as a naked short position. If the underwriters create a short position during the offering, the representative may engage in syndicate covering transactions by purchasing our shares in the open market. The representative may also elect to reduce any short position by exercising all or part of the over-allotment option. Determining what method to use in reducing the short position depends on how the shares trade in the aftermarket following the offering. If the share price drops following the offering, the short position is usually covered with shares purchased by the underwriters in the aftermarket. However, the underwriters may cover a short position by exercising the over-allotment option even if the share price drops following the offering. If the share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19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The representative may reclaim a selling concession from a syndicate member when the shares originally sold by the syndicate member are purchased in a stabilizing or syndicate covering transaction to cover syndicate short positions.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Neither we nor the underwriters make any representation or prediction as to the effect that the transactions described above may have on the price of our securities. These transactions may occur on Nasdaq, in the over-the-counter market or on any trading market. If any of these transactions are commenced, they may be discontinued without notice at any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Terms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Except as set forth above,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some liabilities, including civil liabilities under the Securities Act, or to contribute to payments the underwriters may be required to make in this respect.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 and the United Kingdom</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83"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to any legal entity which is a qualified investor as defined under the Prospectus Regulation;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ind w:left="660" w:right="2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shares shall require us or any of the underwriters to publish a prospectus pursuant to Article 3 of the Prospectus Regulation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a prospectus pursuant to Article 23 of the Prospectus Regulation.</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person in a Relevant State who initially acquires any shares or to whom any offer is made will be deemed to have represented, acknowledged and agreed to and with us and the underwriters that it is a qualified investor within the meaning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 has been obtained to each such proposed offer or resale.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the underwriters and each of our and the underwriters’ respective affiliates will rely upon the truth and accuracy of the foregoing representations, acknowledgements and agreements.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References to the Prospectus Regulation include, in relation to the United Kingdom, the Prospectus Regulation as it forms part of United Kingdom domestic law by virtue of the European Union (Withdrawal) Act 2018, as amended.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 as amended.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Loeb &amp; Loeb LLP is acting as United States counsel in connection with the registration of our securities under the Securities Act and will pass on the validity of the securities offered in the prospectus. Kirkland &amp; Ellis LLP is acting as counsel for the underwriters in this offering.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of BCTG Acquisition Corp. as of June 30, 2020 and for the period from May 21, 2020 (inception) through June 30,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which includes exhibits, schedules and amendments, under the Securities Act, with respect to this offering of our securities. Although this prospectus, which forms a part of the registration statement, contains all material information included in the registration statement, parts of the registration statement have been omitted as permitted by rules and regulations of the SEC. We refer you to the registration statement and its exhibits for further information about us, our securities and this offering. The registration statement and its exhibits, as well as our other reports filed with the SEC, can be inspected and copied at the SEC’s public reference room at 100 F Street, N.E., Washington, D.C. 20549. The public may obtain information about the operation of the public reference room by calling the SEC at 1-800-SEC-0330. In addition, the SEC maintains a web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which contains the Form S-1 and other reports, proxy and information statements and information regarding issuers that file electronically with the SEC.</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BCTG Acquisition Corp.</w:t>
            </w:r>
          </w:p>
        </w:tc>
        <w:tc>
          <w:tcPr>
            <w:tcW w:w="100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000" w:type="dxa"/>
            <w:vAlign w:val="bottom"/>
          </w:tcPr>
          <w:p>
            <w:pPr>
              <w:spacing w:after="0"/>
              <w:rPr>
                <w:sz w:val="24"/>
                <w:szCs w:val="24"/>
                <w:color w:val="auto"/>
              </w:rPr>
            </w:pPr>
          </w:p>
        </w:tc>
      </w:tr>
      <w:tr>
        <w:trPr>
          <w:trHeight w:val="453"/>
        </w:trPr>
        <w:tc>
          <w:tcPr>
            <w:tcW w:w="18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85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024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97">
              <w:r>
                <w:rPr>
                  <w:rFonts w:ascii="Times New Roman" w:cs="Times New Roman" w:eastAsia="Times New Roman" w:hAnsi="Times New Roman"/>
                  <w:sz w:val="18"/>
                  <w:szCs w:val="18"/>
                  <w:u w:val="single" w:color="auto"/>
                  <w:color w:val="0000EE"/>
                </w:rPr>
                <w:t>REPORT OF INDEPENDENT REGISTERED PUBLIC ACCOUNTING FIRM</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10240" w:type="dxa"/>
            <w:vAlign w:val="bottom"/>
            <w:gridSpan w:val="4"/>
          </w:tcPr>
          <w:p>
            <w:pPr>
              <w:spacing w:after="0"/>
              <w:rPr>
                <w:rFonts w:ascii="Times New Roman" w:cs="Times New Roman" w:eastAsia="Times New Roman" w:hAnsi="Times New Roman"/>
                <w:sz w:val="18"/>
                <w:szCs w:val="18"/>
                <w:u w:val="single" w:color="auto"/>
                <w:color w:val="0000EE"/>
              </w:rPr>
            </w:pPr>
            <w:hyperlink w:anchor="page98">
              <w:r>
                <w:rPr>
                  <w:rFonts w:ascii="Times New Roman" w:cs="Times New Roman" w:eastAsia="Times New Roman" w:hAnsi="Times New Roman"/>
                  <w:sz w:val="18"/>
                  <w:szCs w:val="18"/>
                  <w:u w:val="single" w:color="auto"/>
                  <w:color w:val="0000EE"/>
                </w:rPr>
                <w:t>BALANCE SHEET AS OF JUNE 30, 2020</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r>
      <w:tr>
        <w:trPr>
          <w:trHeight w:val="216"/>
        </w:trPr>
        <w:tc>
          <w:tcPr>
            <w:tcW w:w="1024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STATEMENT OF OPERATIONS FOR THE PERIOD FROM MAY 21, 2020 (INCEPTION) THROUGH JUNE 30, 2020</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F-4</w:t>
            </w:r>
          </w:p>
        </w:tc>
      </w:tr>
      <w:tr>
        <w:trPr>
          <w:trHeight w:val="175"/>
        </w:trPr>
        <w:tc>
          <w:tcPr>
            <w:tcW w:w="10240" w:type="dxa"/>
            <w:vAlign w:val="bottom"/>
            <w:gridSpan w:val="4"/>
          </w:tcPr>
          <w:p>
            <w:pPr>
              <w:spacing w:after="0" w:line="176" w:lineRule="exact"/>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STATEMENT OF CHANGES IN STOCKHOLDER’S EQUITY FOR THE PERIOD FROM MAY 21, 2020 (INCEPTION) THROUGH</w:t>
              </w:r>
            </w:hyperlink>
          </w:p>
        </w:tc>
        <w:tc>
          <w:tcPr>
            <w:tcW w:w="100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70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JUNE 30, 2020</w:t>
              </w:r>
            </w:hyperlink>
          </w:p>
        </w:tc>
        <w:tc>
          <w:tcPr>
            <w:tcW w:w="36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18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024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STATEMENT OF CASH FLOWS FOR THE PERIOD FROM MAY 21, 2020 (INCEPTION) THROUGH JUNE 30, 2020</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r>
      <w:tr>
        <w:trPr>
          <w:trHeight w:val="234"/>
        </w:trPr>
        <w:tc>
          <w:tcPr>
            <w:tcW w:w="10240" w:type="dxa"/>
            <w:vAlign w:val="bottom"/>
            <w:gridSpan w:val="4"/>
          </w:tcPr>
          <w:p>
            <w:pPr>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NOTES TO FINANCIAL STATEMENTS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F-7</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BCTG Acquisition Corp. (the “Company”) as of June 30, 2020, the related statements of operations, changes in stockholder’s equity and cash flows for the period from May 21, 2020 (inception) through June 30, 2020, and the related notes (collectively referred to as the “financial statements”). In our opinion, the financial statements present fairly, in all material respects, the financial position of the Company as of June 30, 2020, and the results of its operations and its cash flows for the period from May 21, 2020 (inception) through June 30, 2020,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8"/>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BCTG ACQUISITION CORP.</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June 30, 2020</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24,993</w:t>
            </w:r>
          </w:p>
        </w:tc>
        <w:tc>
          <w:tcPr>
            <w:tcW w:w="80" w:type="dxa"/>
            <w:vAlign w:val="bottom"/>
            <w:shd w:val="clear" w:color="auto" w:fill="CCEEFF"/>
          </w:tcPr>
          <w:p>
            <w:pPr>
              <w:spacing w:after="0"/>
              <w:rPr>
                <w:sz w:val="21"/>
                <w:szCs w:val="21"/>
                <w:color w:val="auto"/>
              </w:rPr>
            </w:pP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24,993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 associated with the proposed public offering</w:t>
            </w:r>
          </w:p>
        </w:tc>
        <w:tc>
          <w:tcPr>
            <w:tcW w:w="3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7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63,493</w:t>
            </w:r>
          </w:p>
        </w:tc>
        <w:tc>
          <w:tcPr>
            <w:tcW w:w="80" w:type="dxa"/>
            <w:vAlign w:val="bottom"/>
          </w:tcPr>
          <w:p>
            <w:pPr>
              <w:spacing w:after="0"/>
              <w:rPr>
                <w:sz w:val="24"/>
                <w:szCs w:val="24"/>
                <w:color w:val="auto"/>
              </w:rPr>
            </w:pP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13,500</w:t>
            </w:r>
          </w:p>
        </w:tc>
        <w:tc>
          <w:tcPr>
            <w:tcW w:w="80" w:type="dxa"/>
            <w:vAlign w:val="bottom"/>
            <w:shd w:val="clear" w:color="auto" w:fill="CCEEFF"/>
          </w:tcPr>
          <w:p>
            <w:pPr>
              <w:spacing w:after="0"/>
              <w:rPr>
                <w:sz w:val="18"/>
                <w:szCs w:val="18"/>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 - related party</w:t>
            </w:r>
          </w:p>
        </w:tc>
        <w:tc>
          <w:tcPr>
            <w:tcW w:w="3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25,025</w:t>
            </w:r>
          </w:p>
        </w:tc>
        <w:tc>
          <w:tcPr>
            <w:tcW w:w="80" w:type="dxa"/>
            <w:vAlign w:val="bottom"/>
          </w:tcPr>
          <w:p>
            <w:pPr>
              <w:spacing w:after="0"/>
              <w:rPr>
                <w:sz w:val="20"/>
                <w:szCs w:val="20"/>
                <w:color w:val="auto"/>
              </w:rPr>
            </w:pP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$0.0001 par value; 5,000,000 shares authorized; 4,168,750 shares issued and outstanding (1)(2)</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24,583</w:t>
            </w:r>
          </w:p>
        </w:tc>
        <w:tc>
          <w:tcPr>
            <w:tcW w:w="80" w:type="dxa"/>
            <w:vAlign w:val="bottom"/>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(472)</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63,493</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0" w:right="20" w:hanging="392"/>
        <w:spacing w:after="0" w:line="262" w:lineRule="auto"/>
        <w:tabs>
          <w:tab w:leader="none" w:pos="40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number includes up to 543,750 shares of common stock subject to forfeiture if the over-allotment option is not exercised in full or in part by the underwriters. Please see Note 5.</w:t>
      </w:r>
    </w:p>
    <w:p>
      <w:pPr>
        <w:ind w:left="400" w:hanging="392"/>
        <w:spacing w:after="0" w:line="260" w:lineRule="auto"/>
        <w:tabs>
          <w:tab w:leader="none" w:pos="40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September 2, 2020, the Company declared a dividend of 0.16 shares for each outstanding share of common stock, resulting in an aggregate of 4,168,750 shares outstanding. All shares and associated amounts have been retroactively restated to reflect the share dividend (see Note 5).</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8"/>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BCTG ACQUISITION CORP.</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STATEMENT OF OPERATIONS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For the period from May 21, 2020 (inception) through June 30, 2020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21"/>
                <w:szCs w:val="21"/>
                <w:color w:val="auto"/>
              </w:rPr>
            </w:pPr>
          </w:p>
        </w:tc>
      </w:tr>
      <w:tr>
        <w:trPr>
          <w:trHeight w:val="278"/>
        </w:trPr>
        <w:tc>
          <w:tcPr>
            <w:tcW w:w="100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10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345"/>
        </w:trPr>
        <w:tc>
          <w:tcPr>
            <w:tcW w:w="10020" w:type="dxa"/>
            <w:vAlign w:val="bottom"/>
          </w:tcPr>
          <w:p>
            <w:pPr>
              <w:spacing w:after="0" w:line="296" w:lineRule="exact"/>
              <w:rPr>
                <w:sz w:val="20"/>
                <w:szCs w:val="20"/>
                <w:color w:val="auto"/>
              </w:rPr>
            </w:pPr>
            <w:r>
              <w:rPr>
                <w:rFonts w:ascii="Times New Roman" w:cs="Times New Roman" w:eastAsia="Times New Roman" w:hAnsi="Times New Roman"/>
                <w:sz w:val="18"/>
                <w:szCs w:val="18"/>
                <w:b w:val="1"/>
                <w:bCs w:val="1"/>
                <w:color w:val="auto"/>
              </w:rPr>
              <w:t xml:space="preserve">Weighted average shares outstanding, basic and diluted </w:t>
            </w:r>
            <w:r>
              <w:rPr>
                <w:rFonts w:ascii="Times New Roman" w:cs="Times New Roman" w:eastAsia="Times New Roman" w:hAnsi="Times New Roman"/>
                <w:sz w:val="29"/>
                <w:szCs w:val="29"/>
                <w:b w:val="1"/>
                <w:bCs w:val="1"/>
                <w:color w:val="auto"/>
                <w:vertAlign w:val="superscript"/>
              </w:rPr>
              <w:t>(1)(2)</w:t>
            </w:r>
          </w:p>
        </w:tc>
        <w:tc>
          <w:tcPr>
            <w:tcW w:w="2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3,625,000</w:t>
            </w:r>
          </w:p>
        </w:tc>
        <w:tc>
          <w:tcPr>
            <w:tcW w:w="80" w:type="dxa"/>
            <w:vAlign w:val="bottom"/>
          </w:tcPr>
          <w:p>
            <w:pPr>
              <w:spacing w:after="0"/>
              <w:rPr>
                <w:sz w:val="24"/>
                <w:szCs w:val="24"/>
                <w:color w:val="auto"/>
              </w:rPr>
            </w:pP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(0.00</w:t>
            </w:r>
            <w:r>
              <w:rPr>
                <w:rFonts w:ascii="Times New Roman" w:cs="Times New Roman" w:eastAsia="Times New Roman" w:hAnsi="Times New Roman"/>
                <w:sz w:val="29"/>
                <w:szCs w:val="29"/>
                <w:color w:val="auto"/>
                <w:vertAlign w:val="superscript"/>
              </w:rPr>
              <w:t>)</w:t>
            </w:r>
          </w:p>
        </w:tc>
      </w:tr>
      <w:tr>
        <w:trPr>
          <w:trHeight w:val="21"/>
        </w:trPr>
        <w:tc>
          <w:tcPr>
            <w:tcW w:w="10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0" w:hanging="392"/>
        <w:spacing w:after="0" w:line="262" w:lineRule="auto"/>
        <w:tabs>
          <w:tab w:leader="none" w:pos="40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number excludes an aggregate of up to 543,750 shares of common stock subject to forfeiture if the over-allotment option is not exercised in full or in part by the underwriters (see Note 5).</w:t>
      </w:r>
    </w:p>
    <w:p>
      <w:pPr>
        <w:ind w:left="400" w:hanging="392"/>
        <w:spacing w:after="0" w:line="260" w:lineRule="auto"/>
        <w:tabs>
          <w:tab w:leader="none" w:pos="40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September 2, 2020, the Company declared a dividend of 0.16 shares for each outstanding share of common stock, resulting in an aggregate of 4,168,750 shares outstanding. All shares and associated amounts have been retroactively restated to reflect the share dividend (see Note 5).</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STOCKHOLDER’S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May 21, 2020 (inception) through June 30,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59"/>
        </w:trPr>
        <w:tc>
          <w:tcPr>
            <w:tcW w:w="46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May 21, 2020 (inception)</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6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Issuance of common stock to Sponsor </w:t>
            </w:r>
            <w:r>
              <w:rPr>
                <w:rFonts w:ascii="Times New Roman" w:cs="Times New Roman" w:eastAsia="Times New Roman" w:hAnsi="Times New Roman"/>
                <w:sz w:val="29"/>
                <w:szCs w:val="29"/>
                <w:color w:val="auto"/>
                <w:vertAlign w:val="superscript"/>
              </w:rPr>
              <w:t>(1)(2)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4,168,750</w:t>
            </w:r>
          </w:p>
        </w:tc>
        <w:tc>
          <w:tcPr>
            <w:tcW w:w="18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24,583</w:t>
            </w:r>
          </w:p>
        </w:tc>
        <w:tc>
          <w:tcPr>
            <w:tcW w:w="200" w:type="dxa"/>
            <w:vAlign w:val="bottom"/>
          </w:tcPr>
          <w:p>
            <w:pPr>
              <w:spacing w:after="0"/>
              <w:rPr>
                <w:sz w:val="22"/>
                <w:szCs w:val="22"/>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(472)</w:t>
            </w: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2020</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4,168,750</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24,583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w:t>
            </w:r>
          </w:p>
        </w:tc>
        <w:tc>
          <w:tcPr>
            <w:tcW w:w="22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24,528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00" w:right="20" w:hanging="392"/>
        <w:spacing w:after="0" w:line="262" w:lineRule="auto"/>
        <w:tabs>
          <w:tab w:leader="none" w:pos="40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number includes up to 543,750 shares of common stock subject to forfeiture if the over-allotment option is not exercised in full or in part by the underwriters (see Note 5).</w:t>
      </w:r>
    </w:p>
    <w:p>
      <w:pPr>
        <w:ind w:left="400" w:hanging="392"/>
        <w:spacing w:after="0" w:line="260" w:lineRule="auto"/>
        <w:tabs>
          <w:tab w:leader="none" w:pos="40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September 2, 2020, the Company declared a dividend of 0.16 shares for each outstanding share of common stock, resulting in an aggregate of 4,168,750 shares outstanding. All shares and associated amounts have been retroactively restated to reflect the share dividend (see Note 5).</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0" w:name="page101"/>
    <w:bookmarkEnd w:id="100"/>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225"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22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For the period from May 21, 2020 (inception) through June 30,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issuance of common stock to Sponsor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note payable to related party</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offering costs included in note payable - related party</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offering costs included in accrued expenses</w:t>
      </w:r>
    </w:p>
    <w:p>
      <w:pPr>
        <w:spacing w:after="0" w:line="207"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80" w:hanging="775"/>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(472)</w:t>
      </w:r>
    </w:p>
    <w:p>
      <w:pPr>
        <w:spacing w:after="0" w:line="2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440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7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25,000</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25</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25,025</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24,993</w:t>
      </w:r>
    </w:p>
    <w:p>
      <w:pPr>
        <w:spacing w:after="0" w:line="23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w:t>
      </w:r>
    </w:p>
    <w:p>
      <w:pPr>
        <w:spacing w:after="0" w:line="59" w:lineRule="exact"/>
        <w:rPr>
          <w:sz w:val="20"/>
          <w:szCs w:val="20"/>
          <w:color w:val="auto"/>
        </w:rPr>
      </w:pPr>
    </w:p>
    <w:p>
      <w:pPr>
        <w:ind w:left="620" w:hanging="615"/>
        <w:spacing w:after="0"/>
        <w:tabs>
          <w:tab w:leader="none" w:pos="6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24,993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0294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620" w:hanging="615"/>
        <w:spacing w:after="0"/>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w:t>
      </w:r>
    </w:p>
    <w:p>
      <w:pPr>
        <w:spacing w:after="0" w:line="27" w:lineRule="exact"/>
        <w:rPr>
          <w:rFonts w:ascii="Times New Roman" w:cs="Times New Roman" w:eastAsia="Times New Roman" w:hAnsi="Times New Roman"/>
          <w:sz w:val="18"/>
          <w:szCs w:val="18"/>
          <w:color w:val="auto"/>
        </w:rPr>
      </w:pPr>
    </w:p>
    <w:p>
      <w:pPr>
        <w:ind w:left="620" w:hanging="615"/>
        <w:spacing w:after="0"/>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13,500</w:t>
      </w:r>
    </w:p>
    <w:p>
      <w:pPr>
        <w:sectPr>
          <w:pgSz w:w="11900" w:h="16838" w:orient="portrait"/>
          <w:cols w:equalWidth="0" w:num="2">
            <w:col w:w="9300" w:space="720"/>
            <w:col w:w="1180"/>
          </w:cols>
          <w:pgMar w:left="320" w:top="900" w:right="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BUSINESS OPERATIONS AND 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BCTG Acquisition Corp. (the “Company”) is a newly organized blank check company incorporated in Delaware and formed for the purpose of effecting into a merger, share exchange, asset acquisition, stock purchase, recapitalization, reorganization or other similar business combination with one or more businesses or entities (“Business Combination”). Although the Company is not limited to a particular industry or geographic region for purposes of consummating a Business Combination, the Company intends to focus on businesses that have their primary operations located in North America and Europe in the biotechnology industry.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2020, the Company had not yet commenced operations. All activity for the period from May 21, 2020 (inception) through June 30, 2020 relates to the Company’s formation and the Proposed Public Offering, which is described below. The Company has selected December 31 as its fiscal year end.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ability to commence operations is contingent upon obtaining adequate financial resources through a proposed initial public offering of 14,500,000 shares of common stock at $10.00 per share (or 16,675,000 shares if the underwriter’s option to purchase additional shares is exercised in full) (“Public Shares”) which is discussed in Note 3 (the “Proposed Public Offering”) and the sale of 490,000 shares of common stock at a price of $10.00 per share (or 533,500 shares if the underwriter’s option to purchase additional shares is exercised in full) (“Private Placement Shares”) in a private placement to the Company’s sponsor, BCTG Holdings, LLC, a Delaware limited liability company (the “Sponsor”), that will close simultaneously with the Proposed Public Offering.</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its Proposed Public Offering and the sale of Private Placement Shares,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(as defined below) (excluding the amount of any deferred underwriting discount held in trust and taxes payable on the income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or the Investment Company Act. Upon the closing of the Proposed Public Offering, management has agreed that an amount equal to at least $10.00 per share sold in the Proposed Public Offering, including the proceeds of the Private Placement Shares, will be held in a trust account (“Trust Account”) in the United States maintained by Continental Stock Transfer &amp; Trust Company, as trustee, and will be invested only in U.S. government treasury bills, notes and bonds with a maturity of 185 days or less or in money market funds meeting certain conditions under Rule 2a-7 under the Investment Company Act and which invest solely in U.S. Treasuries, until the earlier of: (i) the completion of a Business Combination and (ii) the distribution of the Trust Account as described below.</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will provide the holders of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share, plus any pro rata interest earned on the funds held in the Trust Account and not previously released to the Company to pay its tax obligations). The per-share amount to be distributed to public stockholders who redeem their Public Shares will not be reduced by the deferred underwriting commissions the Company will pay to the underwriters (as discussed in Note 6). These Public Shares will be recorded at a redemption value and classified as temporary equity upon the completion of the Proposed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will be adopted by the Company upon the consummation of the Proposed Public Offering (the “Amended and Restated Certificate”),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holders of the Founder Shares prior to this Proposed Public Offering (the “Initial Stockholders”) have agreed to vote their Founder Shares (as defined in Note 5) and any Public Shares purchased during or after the Proposed Public Offering in favor of a Business Combination. In addition, the Initial Stockholders have agreed to waive their redemption rights with respect to their Founder Shares and Public Shares in connection with the completion of a Business Combination. In addition, the Company has agreed not to enter into a definitive agreement regarding an initial Business Combination without the prior consent of the Sponsor.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Company’s Amended and Restated Certificate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shares of common stock sold in the Proposed Public Offering, without the prior consent of the Company.</w:t>
      </w:r>
    </w:p>
    <w:p>
      <w:pPr>
        <w:spacing w:after="0" w:line="180" w:lineRule="exact"/>
        <w:rPr>
          <w:sz w:val="20"/>
          <w:szCs w:val="20"/>
          <w:color w:val="auto"/>
        </w:rPr>
      </w:pPr>
    </w:p>
    <w:p>
      <w:pPr>
        <w:jc w:val="both"/>
        <w:ind w:firstLine="52"/>
        <w:spacing w:after="0" w:line="261" w:lineRule="auto"/>
        <w:rPr>
          <w:sz w:val="20"/>
          <w:szCs w:val="20"/>
          <w:color w:val="auto"/>
        </w:rPr>
      </w:pPr>
      <w:r>
        <w:rPr>
          <w:rFonts w:ascii="Times New Roman" w:cs="Times New Roman" w:eastAsia="Times New Roman" w:hAnsi="Times New Roman"/>
          <w:sz w:val="18"/>
          <w:szCs w:val="18"/>
          <w:color w:val="auto"/>
        </w:rPr>
        <w:t>The Company’s Sponsor, executive officers, directors and director nominees will have agreed not to propose an amendment to the Company’s Amended and Restated Certificate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stockholders with the opportunity to redeem their shares of common stock in conjunction with any such amendment.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Business Combination has not been consummated within 24 months from the closing of the Proposed Public Offering (the “Combination Period”),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 (iii) above) to the Company’s obligations under Delaware law to provide for claims of creditors and the requirements of other applicable law.</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Initial Stockholders have agreed to waive their liquidation rights with respect to the Founder Shares if the Company fails to complete a Business Combination within the Combination Period. However, if the Initial Stockholders should acquire Public Shares in or after the Proposed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seek to have all third parties (other than the Company’s independent registered public accounting firm) and any prospective target businesses enter into valid and enforceable agreements with the Company waiving any right, title, interest or claim of any kind they may have in or to any monies held in the Trust Account. Nevertheless, there is no guarantee that vendors, service providers and prospective target businesses will execute such agreements. The Company’s insiders have agreed that they will be jointly and severally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$10.00 per Public Share, except as to any claims by a third party who executed a valid and enforceable agreement with the Company waiving any right, title, interest or claim of any kind they may have in or to any monies held in the Trust Account and except as to any claims under our indemnity of the underwriters of this offering against certain liabilities, including liabilities under the Securities Act. However, the Company’s insiders may not be able to satisfy their indemnification obligations. Moreover, the Company’s insiders will not be liable to the Public Stockholders and instead will only have liability to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are presented in U.S. dollars in conformity with accounting principles generally accepted in the United States of America (“U.S. GAAP”) and pursuant to the rules and regulations of the SEC. In connection with the Company’s assessment of going concern considerations in accordance with ASU 2014-15, “Disclosures of Uncertainties about an Entity’s Ability to Continue as a Going Concern,” as of June 30, 2020, the Company does not have sufficient liquidity to meet its current obligations. However, management has determined that the Company has access to funds from the Sponsor that are sufficient to fund the working capital needs of the Company until the earlier of the consummation of the Proposed Public Offering or a minimum one year from the date of issuance of these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from those estimates.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a cash account in a financial institution which, at times may exceed the Federal depository insurance coverage of $250,000. At June 30, 2020, the Company had not experienced losses on this account and management believes the Company is not exposed to significant risks on such account.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820, “Fair Value Measurements and Disclosures,” approximates the carrying amounts represented in the balance sheet.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offering costs associated with the Proposed Public Offering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offering costs consist of legal, accounting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common share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ASC Topic 260, “Earnings Per Share.” Net loss per share is computed by dividing net loss by the weighted average number of shares of common stock outstanding during the period. Weighted average share were reduced for the effect of an aggregate of 543,750 shares of common stock that are subject to forfeiture if the over-allotment option is not exercised by the underwriters (see Note 7). At June 30,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Financial Accounting Standards Board Accounting Standard Codification, or FASB ASC,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spacing w:after="0" w:line="256" w:lineRule="auto"/>
        <w:rPr>
          <w:sz w:val="20"/>
          <w:szCs w:val="20"/>
          <w:color w:val="auto"/>
        </w:rPr>
      </w:pPr>
      <w:r>
        <w:rPr>
          <w:rFonts w:ascii="Times New Roman" w:cs="Times New Roman" w:eastAsia="Times New Roman" w:hAnsi="Times New Roman"/>
          <w:sz w:val="18"/>
          <w:szCs w:val="18"/>
          <w:color w:val="auto"/>
        </w:rPr>
        <w:t>There were no unrecognized tax benefits as of June 30, 2020. FASB 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No amounts were accrued for the payment of interest and penalties at June 30,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was deemed to be de minimis for the period from May 21, 2020 (inception) through June 30, 2020.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pronouncements, if currently adopted, would have a material effect on the Company’s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PROPOSED PUBLIC OFFERING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Proposed Public Offering, the Company will offer for sale up to 14,500,000 shares of common stock (or 16,675,000 shares if the underwriter’s option to purchase additional shares is exercised in full) at a purchase price of $10.00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Sponsor agreed to purchase an aggregate of 490,000 Private Placement Shares (or 533,500 Private Placement Shares if the over-allotment option is exercised in full) at a price of $10.00 per Private Placement Share ($4.9 million in the aggregate, or approximately $5.3 million in the aggregate if the over-allotment option is exercised in full) in a private placement that will occur simultaneously with the closing of the Proposed Public Offering.</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portion of the proceeds from the Private Placement Shares will be added to the proceeds from the Proposed Public Offering to be held in the Trust Account.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4, 2020, the Company issued 3,593,750 shares of common stock to the Sponsor (the “Founder Shares”) for an aggregate purchase price of $25,000. On September 2, 2020, the Company declared a dividend of 0.16 shares for each outstanding share of common stock (an aggregate of 575,000 shares), resulting in an aggregate of 4,168,750 shares outstanding. All shares and associated amounts have been retroactively restated to reflect the share dividend. The Sponsor has agreed to forfeit up to an aggregate of 543,750 Founder Shares, to the extent that the option to purchase additional shares is not exercised in full by the underwriters. The forfeiture will be adjusted to the extent that the option to purchase additional shares is not exercised in full by the underwriters so that the Founder Shares will represent 20% of the Company’s issued and outstanding shares after the Proposed Public Offering. If the Company increases or decreases the size of the Proposed Public Offering, the Company will effect a share capitalization or a share repurchase or redemption or other appropriate mechanism, as applicable, with respect to the shares of common stock prior to the consummation of the Proposed Public Offering in such amount as to maintain the number of Founder Shares at 20% of the Company’s issued and outstanding common stock upon the consummation of the Proposed Public Offering.</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Initial Stockholders have agreed not to transfer, assign or sell any of their Founder Shares (except to certain permitted transferees) until the earlier of one year after the date of the consummation of the initial Business Combination or (ii) the date on which the closing price of the Company’s common stock equals or exceeds $12.00 per share (as adjusted for stock splits, stock dividends, reorganizations and recapitalizations) for any 20 trading days within any 30-trading day period commencing after the initial Business Combination, or earlier if, subsequent to the initial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21, 2020 and June 10, 2020, the Sponsor agreed to loan the Company up to $25,025 and $274,975, respectively, for an aggregate amount of $300,000 to be used for the payment of costs related to the Proposed Public Offering pursuant to a promissory note (each, a “Note” and, collectively, the “Notes”). The Notes are non-interest bearing, unsecured and due on the date the Company consummates the Proposed Public Offering or the date on which the Company determines not to conduct the Proposed Public Offering. The Company intends to repay the Notes from the proceeds of the Proposed Public Offering not being placed in the Trust Account. As of June 30, 2020, the Company has borrowed $25,025 under the Notes. Subsequent to June 30, 2020, the Company borrowed an additional amount of $102,206, for a total outstanding balance of $127,231 under the Notes.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Initial Stockholders may, but are not obligated to, loan the Company funds, from time to time or at any time, in whatever amount they deem reasonable in their sole discretion (the “Working Capital Loans”). Each loan would be evidenced by a promissory note. The notes would either be paid upon consummation of the initial Business Combination, without interest, or, at the lender’s discretion, up to $1,500,000 of the notes may be converted upon consummation of the Business Combination into additional private placement shares at a conversion price of $10.00 per share. If the Company does not complete a Business Combination, the loans will not be repaid. Such private placement shares would be identical to the Private Placement Shares. To date, the Company had no borrowings under the Working Capital Loans.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Common Stock in connection with the 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Sponsor has entered into an agreement to purchase at least $25,000,000 of the Company’s private shares, representing an aggregate of 2,500,000 shares of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Support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Commencing on the date of the Company’s prospectus, the Company will agree to pay an affiliate of the Sponsor a total of $10,000 per month for office space and certain office and secretarial services. Upon completion of the Initial Business Combination or the Company’s liquidation, the Company will cease paying these monthly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and Stockholder Rights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the Founder Shares, Private Placement Shares and shares that may be issued upon conversion of Working Capital Loans will be entitled to registration rights pursuant to a registration rights agreement to be signed prior to or on the effective date of the Proposed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grant the underwriters a 45-day option from the date of this prospectus to purchase up to 2,175,000 additional shares at the Proposed Public Offering price less the underwriting discounts and commissions.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underwriters will be entitled to an underwriting discount of $0.20 per share, or $2.9 million in the aggregate (or approximately $3.3 million in the aggregate if the underwriter’s over-allotment option is exercised in full), payable upon the closing of the Proposed Public Offering. In addition, the underwriters will be entitled to a deferred underwriting commission of $0.35 per share, or approximately $5.1 million in the aggregate (or approximately $5.8 million in the aggregate if the underwriter’s over-allotment option is exercised in full). The deferred fee will become payable to the underwriters from the amounts held in the Trust Account solely in the event that the Company completes a Business Combination, subject to the terms of the underwriting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—The Company is authorized to issue 5,000,000 shares of common stock, par value $0.0001. The Company’s Amended and Restated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 will provide additional shares in connection with the Proposed Public Offering. Holders of the Company’s common stock are entitled to one vote for each share. On June 4, 2020, the Company issued 3,593,750 shares of common stock. On September 2, 2020, the Company declared a dividend of 0.16 shares for each outstanding share of common stock (an aggregate of 575,000 shares), resulting in an aggregate of 4,168,750 shares outstanding. All shares and associated amounts have been retroactively restated to reflect the share dividend. Of the 4,168,750 shares outstanding, up to 543,750 shares will be subject to forfeiture by the Sponsor (or its permitted transferees) on a pro rata basis depending on the extent to which the underwriter’s over-allotment option is exercised. As of June 30, 2020, there were 4,168,750 shares of common stock issued or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June 30, 2020, the Company borrowed an additional amount of $102,206, for a total outstanding balance of $127,231 under the Notes.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 2020, the Company declared a dividend of 0.16 shares for each outstanding share (an aggregate of 575,000 shares), resulting in an aggregate of 4,168,750 shares outstanding. All shares and associated amounts have been retroactively restated to reflect the share dividend.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September 4, 2020, the date the financial statements were available for issuance, require potential adjustment to or disclosure in the financial statements and has concluded that, except as noted above, all such events that would require recognition or disclosure have been recognized or disclosed.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$145,000,000</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BCTG Acquisition Corp.</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14,500,000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161290</wp:posOffset>
            </wp:positionV>
            <wp:extent cx="178308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156845</wp:posOffset>
            </wp:positionV>
            <wp:extent cx="178308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Sole Bookrunning Manager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SVB Leerink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568325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decimal"/>
      <w:start w:val="2"/>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2"/>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lowerRoman"/>
      <w:start w:val="3"/>
    </w:lvl>
  </w:abstractNum>
  <w:abstractNum w:abstractNumId="28">
    <w:nsid w:val="580BD78F"/>
    <w:multiLevelType w:val="hybridMultilevel"/>
    <w:lvl w:ilvl="0">
      <w:lvlJc w:val="left"/>
      <w:lvlText w:val="●"/>
      <w:numFmt w:val="bullet"/>
      <w:start w:val="1"/>
    </w:lvl>
    <w:lvl w:ilvl="1">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lowerRoman"/>
      <w:start w:val="1"/>
    </w:lvl>
  </w:abstractNum>
  <w:abstractNum w:abstractNumId="38">
    <w:nsid w:val="7A6D8D3C"/>
    <w:multiLevelType w:val="hybridMultilevel"/>
    <w:lvl w:ilvl="0">
      <w:lvlJc w:val="left"/>
      <w:lvlText w:val="(%1)"/>
      <w:numFmt w:val="decimal"/>
      <w:start w:val="2"/>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lowerRoman"/>
      <w:start w:val="1"/>
    </w:lvl>
    <w:lvl w:ilvl="1">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1."/>
      <w:numFmt w:val="upperLetter"/>
      <w:start w:val="2"/>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2020-09-04T16:18:18Z</dcterms:created>
  <dcterms:modified xsi:type="dcterms:W3CDTF">2020-09-04T16:18:18Z</dcterms:modified>
</cp:coreProperties>
</file>