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3820" w:right="1620" w:hanging="3799"/>
        <w:spacing w:after="0" w:line="360" w:lineRule="auto"/>
        <w:tabs>
          <w:tab w:leader="none" w:pos="48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3140" w:right="1600" w:hanging="3119"/>
        <w:spacing w:after="0" w:line="375" w:lineRule="auto"/>
        <w:tabs>
          <w:tab w:leader="none" w:pos="471"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 to 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ectPr>
          <w:pgSz w:w="11900" w:h="16838" w:orient="portrait"/>
          <w:cols w:equalWidth="0" w:num="1">
            <w:col w:w="11240"/>
          </w:cols>
          <w:pgMar w:left="320" w:top="686"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8"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85-1195036</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 w:lineRule="exact"/>
        <w:rPr>
          <w:sz w:val="24"/>
          <w:szCs w:val="24"/>
          <w:color w:val="auto"/>
        </w:rPr>
      </w:pPr>
    </w:p>
    <w:p>
      <w:pPr>
        <w:sectPr>
          <w:pgSz w:w="11900" w:h="16838" w:orient="portrait"/>
          <w:cols w:equalWidth="0" w:num="2">
            <w:col w:w="7700" w:space="240"/>
            <w:col w:w="3300"/>
          </w:cols>
          <w:pgMar w:left="320" w:top="686"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4500" w:type="dxa"/>
            <w:vAlign w:val="bottom"/>
            <w:gridSpan w:val="3"/>
          </w:tcPr>
          <w:p>
            <w:pPr>
              <w:jc w:val="center"/>
              <w:ind w:left="1038"/>
              <w:spacing w:after="0" w:line="195" w:lineRule="exact"/>
              <w:rPr>
                <w:sz w:val="20"/>
                <w:szCs w:val="20"/>
                <w:color w:val="auto"/>
              </w:rPr>
            </w:pPr>
            <w:r>
              <w:rPr>
                <w:rFonts w:ascii="Times New Roman" w:cs="Times New Roman" w:eastAsia="Times New Roman" w:hAnsi="Times New Roman"/>
                <w:sz w:val="18"/>
                <w:szCs w:val="18"/>
                <w:b w:val="1"/>
                <w:bCs w:val="1"/>
                <w:color w:val="auto"/>
                <w:w w:val="99"/>
              </w:rPr>
              <w:t>100 Binney St., Suite 700</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00" w:type="dxa"/>
            <w:vAlign w:val="bottom"/>
            <w:vMerge w:val="restart"/>
          </w:tcPr>
          <w:p>
            <w:pPr>
              <w:jc w:val="right"/>
              <w:ind w:right="2501"/>
              <w:spacing w:after="0"/>
              <w:rPr>
                <w:sz w:val="20"/>
                <w:szCs w:val="20"/>
                <w:color w:val="auto"/>
              </w:rPr>
            </w:pPr>
            <w:r>
              <w:rPr>
                <w:rFonts w:ascii="Times New Roman" w:cs="Times New Roman" w:eastAsia="Times New Roman" w:hAnsi="Times New Roman"/>
                <w:sz w:val="18"/>
                <w:szCs w:val="18"/>
                <w:b w:val="1"/>
                <w:bCs w:val="1"/>
                <w:color w:val="auto"/>
              </w:rPr>
              <w:t>02142</w:t>
            </w:r>
          </w:p>
        </w:tc>
        <w:tc>
          <w:tcPr>
            <w:tcW w:w="0" w:type="dxa"/>
            <w:vAlign w:val="bottom"/>
          </w:tcPr>
          <w:p>
            <w:pPr>
              <w:spacing w:after="0"/>
              <w:rPr>
                <w:sz w:val="1"/>
                <w:szCs w:val="1"/>
                <w:color w:val="auto"/>
              </w:rPr>
            </w:pPr>
          </w:p>
        </w:tc>
      </w:tr>
      <w:tr>
        <w:trPr>
          <w:trHeight w:val="218"/>
        </w:trPr>
        <w:tc>
          <w:tcPr>
            <w:tcW w:w="4500" w:type="dxa"/>
            <w:vAlign w:val="bottom"/>
            <w:gridSpan w:val="3"/>
          </w:tcPr>
          <w:p>
            <w:pPr>
              <w:jc w:val="center"/>
              <w:ind w:left="1038"/>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500" w:type="dxa"/>
            <w:vAlign w:val="bottom"/>
            <w:gridSpan w:val="3"/>
          </w:tcPr>
          <w:p>
            <w:pPr>
              <w:jc w:val="center"/>
              <w:ind w:left="105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(857) 320-4900</w:t>
            </w:r>
          </w:p>
        </w:tc>
        <w:tc>
          <w:tcPr>
            <w:tcW w:w="540" w:type="dxa"/>
            <w:vAlign w:val="bottom"/>
          </w:tcPr>
          <w:p>
            <w:pPr>
              <w:spacing w:after="0"/>
              <w:rPr>
                <w:sz w:val="14"/>
                <w:szCs w:val="14"/>
                <w:color w:val="auto"/>
              </w:rPr>
            </w:pPr>
          </w:p>
        </w:tc>
        <w:tc>
          <w:tcPr>
            <w:tcW w:w="4500" w:type="dxa"/>
            <w:vAlign w:val="bottom"/>
          </w:tcPr>
          <w:p>
            <w:pPr>
              <w:jc w:val="center"/>
              <w:ind w:right="1041"/>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0" w:type="dxa"/>
            <w:vAlign w:val="bottom"/>
          </w:tcPr>
          <w:p>
            <w:pPr>
              <w:spacing w:after="0"/>
              <w:rPr>
                <w:sz w:val="1"/>
                <w:szCs w:val="1"/>
                <w:color w:val="auto"/>
              </w:rPr>
            </w:pPr>
          </w:p>
        </w:tc>
      </w:tr>
      <w:tr>
        <w:trPr>
          <w:trHeight w:val="108"/>
        </w:trPr>
        <w:tc>
          <w:tcPr>
            <w:tcW w:w="45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4500" w:type="dxa"/>
            <w:vAlign w:val="bottom"/>
            <w:gridSpan w:val="3"/>
            <w:vMerge w:val="continue"/>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500" w:type="dxa"/>
            <w:vAlign w:val="bottom"/>
            <w:gridSpan w:val="3"/>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500" w:type="dxa"/>
            <w:vAlign w:val="bottom"/>
            <w:vMerge w:val="restart"/>
          </w:tcPr>
          <w:p>
            <w:pPr>
              <w:jc w:val="center"/>
              <w:ind w:right="46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gridSpan w:val="3"/>
            <w:vMerge w:val="continue"/>
          </w:tcPr>
          <w:p>
            <w:pPr>
              <w:spacing w:after="0"/>
              <w:rPr>
                <w:sz w:val="16"/>
                <w:szCs w:val="16"/>
                <w:color w:val="auto"/>
              </w:rPr>
            </w:pPr>
          </w:p>
        </w:tc>
        <w:tc>
          <w:tcPr>
            <w:tcW w:w="22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tcPr>
          <w:p>
            <w:pPr>
              <w:jc w:val="center"/>
              <w:ind w:right="461"/>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62" w:lineRule="exact"/>
        <w:rPr>
          <w:sz w:val="24"/>
          <w:szCs w:val="24"/>
          <w:color w:val="auto"/>
        </w:rPr>
      </w:pPr>
    </w:p>
    <w:p>
      <w:pPr>
        <w:jc w:val="both"/>
        <w:ind w:firstLine="599"/>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1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right="260" w:firstLine="59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51"/>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51"/>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2" w:lineRule="exact"/>
        <w:rPr>
          <w:sz w:val="24"/>
          <w:szCs w:val="24"/>
          <w:color w:val="auto"/>
        </w:rPr>
      </w:pPr>
    </w:p>
    <w:p>
      <w:pPr>
        <w:ind w:right="5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00" w:right="202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2, 2022, the registrant had 87,897,475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5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6860" w:type="dxa"/>
            <w:vAlign w:val="bottom"/>
            <w:gridSpan w:val="9"/>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0000FF"/>
              </w:rPr>
              <w:t>Sheets</w:t>
            </w: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4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Balance</w:t>
            </w:r>
          </w:p>
        </w:tc>
        <w:tc>
          <w:tcPr>
            <w:tcW w:w="6860" w:type="dxa"/>
            <w:vAlign w:val="bottom"/>
            <w:gridSpan w:val="9"/>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380" w:type="dxa"/>
            <w:vAlign w:val="bottom"/>
            <w:gridSpan w:val="8"/>
            <w:vMerge w:val="restart"/>
          </w:tcPr>
          <w:p>
            <w:pPr>
              <w:spacing w:after="0" w:line="202" w:lineRule="exact"/>
              <w:rPr>
                <w:sz w:val="20"/>
                <w:szCs w:val="20"/>
                <w:color w:val="auto"/>
              </w:rPr>
            </w:pPr>
            <w:r>
              <w:rPr>
                <w:rFonts w:ascii="Times New Roman" w:cs="Times New Roman" w:eastAsia="Times New Roman" w:hAnsi="Times New Roman"/>
                <w:sz w:val="18"/>
                <w:szCs w:val="18"/>
                <w:color w:val="0000FF"/>
              </w:rPr>
              <w:t>Operations and Comprehensive Loss</w:t>
            </w: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2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w:t>
            </w:r>
          </w:p>
        </w:tc>
        <w:tc>
          <w:tcPr>
            <w:tcW w:w="6380" w:type="dxa"/>
            <w:vAlign w:val="bottom"/>
            <w:gridSpan w:val="8"/>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Redeemable Convertible Preferred Stock and Stockholders' Equity</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6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6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930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84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646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94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436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4940" w:type="dxa"/>
            <w:vAlign w:val="bottom"/>
            <w:gridSpan w:val="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vMerge w:val="continue"/>
          </w:tcPr>
          <w:p>
            <w:pPr>
              <w:spacing w:after="0"/>
              <w:rPr>
                <w:sz w:val="24"/>
                <w:szCs w:val="24"/>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4"/>
            <w:vMerge w:val="restart"/>
          </w:tcPr>
          <w:p>
            <w:pPr>
              <w:spacing w:after="0" w:line="20" w:lineRule="exact"/>
              <w:rPr>
                <w:sz w:val="1"/>
                <w:szCs w:val="1"/>
                <w:color w:val="auto"/>
              </w:rPr>
            </w:pPr>
          </w:p>
        </w:tc>
        <w:tc>
          <w:tcPr>
            <w:tcW w:w="2020" w:type="dxa"/>
            <w:vAlign w:val="bottom"/>
            <w:gridSpan w:val="4"/>
            <w:vMerge w:val="restart"/>
          </w:tcPr>
          <w:p>
            <w:pPr>
              <w:spacing w:after="0" w:line="20" w:lineRule="exact"/>
              <w:rPr>
                <w:sz w:val="1"/>
                <w:szCs w:val="1"/>
                <w:color w:val="auto"/>
              </w:rPr>
            </w:pPr>
          </w:p>
        </w:tc>
        <w:tc>
          <w:tcPr>
            <w:tcW w:w="49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32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gridSpan w:val="4"/>
            <w:vMerge w:val="continue"/>
          </w:tcPr>
          <w:p>
            <w:pPr>
              <w:spacing w:after="0"/>
              <w:rPr>
                <w:sz w:val="15"/>
                <w:szCs w:val="15"/>
                <w:color w:val="auto"/>
              </w:rPr>
            </w:pPr>
          </w:p>
        </w:tc>
        <w:tc>
          <w:tcPr>
            <w:tcW w:w="2020" w:type="dxa"/>
            <w:vAlign w:val="bottom"/>
            <w:gridSpan w:val="4"/>
            <w:vMerge w:val="continue"/>
          </w:tcPr>
          <w:p>
            <w:pPr>
              <w:spacing w:after="0"/>
              <w:rPr>
                <w:sz w:val="15"/>
                <w:szCs w:val="15"/>
                <w:color w:val="auto"/>
              </w:rPr>
            </w:pPr>
          </w:p>
        </w:tc>
        <w:tc>
          <w:tcPr>
            <w:tcW w:w="496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8380" w:type="dxa"/>
            <w:vAlign w:val="bottom"/>
            <w:gridSpan w:val="16"/>
            <w:vMerge w:val="restart"/>
          </w:tcPr>
          <w:p>
            <w:pPr>
              <w:ind w:left="40"/>
              <w:spacing w:after="0" w:line="20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9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4"/>
              </w:rPr>
              <w:t>Unregistered</w:t>
            </w:r>
          </w:p>
        </w:tc>
        <w:tc>
          <w:tcPr>
            <w:tcW w:w="8380" w:type="dxa"/>
            <w:vAlign w:val="bottom"/>
            <w:gridSpan w:val="1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434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698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232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80" w:type="dxa"/>
            <w:vAlign w:val="bottom"/>
            <w:gridSpan w:val="1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540" w:type="dxa"/>
            <w:vAlign w:val="bottom"/>
            <w:gridSpan w:val="13"/>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76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40" w:type="dxa"/>
            <w:vAlign w:val="bottom"/>
            <w:gridSpan w:val="1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3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8000" w:type="dxa"/>
            <w:vAlign w:val="bottom"/>
            <w:gridSpan w:val="1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283" w:lineRule="exact"/>
        <w:rPr>
          <w:sz w:val="20"/>
          <w:szCs w:val="20"/>
          <w:color w:val="auto"/>
        </w:rPr>
      </w:pPr>
    </w:p>
    <w:p>
      <w:pPr>
        <w:ind w:right="260" w:firstLine="599"/>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material and other risks that you should be aware of before making an investment decision. These risks are described more fully in the section of this Quarterly Report on Form 10-Q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These risks include, among others, the following:</w:t>
      </w:r>
    </w:p>
    <w:p>
      <w:pPr>
        <w:spacing w:after="0" w:line="41" w:lineRule="exact"/>
        <w:rPr>
          <w:sz w:val="20"/>
          <w:szCs w:val="20"/>
          <w:color w:val="auto"/>
        </w:rPr>
      </w:pPr>
    </w:p>
    <w:p>
      <w:pPr>
        <w:ind w:left="1040" w:right="620" w:hanging="46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precision oncology company with a limited operating history. We have no products approved for commercial sale, have not generated any revenue from product sales and may never become profitable.</w:t>
      </w:r>
    </w:p>
    <w:p>
      <w:pPr>
        <w:spacing w:after="0" w:line="176" w:lineRule="exact"/>
        <w:rPr>
          <w:rFonts w:ascii="Times New Roman" w:cs="Times New Roman" w:eastAsia="Times New Roman" w:hAnsi="Times New Roman"/>
          <w:sz w:val="18"/>
          <w:szCs w:val="18"/>
          <w:color w:val="auto"/>
        </w:rPr>
      </w:pPr>
    </w:p>
    <w:p>
      <w:pPr>
        <w:ind w:left="1040" w:hanging="46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anticipate that we will continue to incur losses for the foreseeable future.</w:t>
      </w:r>
    </w:p>
    <w:p>
      <w:pPr>
        <w:spacing w:after="0" w:line="198" w:lineRule="exact"/>
        <w:rPr>
          <w:rFonts w:ascii="Times New Roman" w:cs="Times New Roman" w:eastAsia="Times New Roman" w:hAnsi="Times New Roman"/>
          <w:sz w:val="18"/>
          <w:szCs w:val="18"/>
          <w:color w:val="auto"/>
        </w:rPr>
      </w:pPr>
    </w:p>
    <w:p>
      <w:pPr>
        <w:ind w:left="1040" w:right="60" w:hanging="452"/>
        <w:spacing w:after="0" w:line="250"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162" w:lineRule="exact"/>
        <w:rPr>
          <w:rFonts w:ascii="Times New Roman" w:cs="Times New Roman" w:eastAsia="Times New Roman" w:hAnsi="Times New Roman"/>
          <w:sz w:val="18"/>
          <w:szCs w:val="18"/>
          <w:color w:val="auto"/>
        </w:rPr>
      </w:pPr>
    </w:p>
    <w:p>
      <w:pPr>
        <w:ind w:left="1040" w:right="180" w:hanging="46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162" w:lineRule="exact"/>
        <w:rPr>
          <w:rFonts w:ascii="Times New Roman" w:cs="Times New Roman" w:eastAsia="Times New Roman" w:hAnsi="Times New Roman"/>
          <w:sz w:val="18"/>
          <w:szCs w:val="18"/>
          <w:color w:val="auto"/>
        </w:rPr>
      </w:pPr>
    </w:p>
    <w:p>
      <w:pPr>
        <w:ind w:left="1040" w:right="240" w:hanging="452"/>
        <w:spacing w:after="0" w:line="23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185" w:lineRule="exact"/>
        <w:rPr>
          <w:rFonts w:ascii="Times New Roman" w:cs="Times New Roman" w:eastAsia="Times New Roman" w:hAnsi="Times New Roman"/>
          <w:sz w:val="18"/>
          <w:szCs w:val="18"/>
          <w:color w:val="auto"/>
        </w:rPr>
      </w:pPr>
    </w:p>
    <w:p>
      <w:pPr>
        <w:ind w:left="1040" w:right="180" w:hanging="452"/>
        <w:spacing w:after="0" w:line="23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p>
    <w:p>
      <w:pPr>
        <w:spacing w:after="0" w:line="172" w:lineRule="exact"/>
        <w:rPr>
          <w:rFonts w:ascii="Times New Roman" w:cs="Times New Roman" w:eastAsia="Times New Roman" w:hAnsi="Times New Roman"/>
          <w:sz w:val="18"/>
          <w:szCs w:val="18"/>
          <w:color w:val="auto"/>
        </w:rPr>
      </w:pPr>
    </w:p>
    <w:p>
      <w:pPr>
        <w:ind w:left="1040" w:right="20" w:hanging="46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product development involves a lengthy and expensive process, with an uncertain outcome. Further, our current and potential future collaborations may not realize the anticipated benefits.</w:t>
      </w:r>
    </w:p>
    <w:p>
      <w:pPr>
        <w:spacing w:after="0" w:line="162" w:lineRule="exact"/>
        <w:rPr>
          <w:rFonts w:ascii="Times New Roman" w:cs="Times New Roman" w:eastAsia="Times New Roman" w:hAnsi="Times New Roman"/>
          <w:sz w:val="18"/>
          <w:szCs w:val="18"/>
          <w:color w:val="auto"/>
        </w:rPr>
      </w:pPr>
    </w:p>
    <w:p>
      <w:pPr>
        <w:ind w:left="1040" w:right="180" w:hanging="452"/>
        <w:spacing w:after="0" w:line="23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future clinical trials that we announce or publish from time to time may change as more patient data become available and are subject to confirmation, audit and verification procedures that could result in material changes in the final data.</w:t>
      </w:r>
    </w:p>
    <w:p>
      <w:pPr>
        <w:spacing w:after="0" w:line="185" w:lineRule="exact"/>
        <w:rPr>
          <w:rFonts w:ascii="Times New Roman" w:cs="Times New Roman" w:eastAsia="Times New Roman" w:hAnsi="Times New Roman"/>
          <w:sz w:val="18"/>
          <w:szCs w:val="18"/>
          <w:color w:val="auto"/>
        </w:rPr>
      </w:pPr>
    </w:p>
    <w:p>
      <w:pPr>
        <w:ind w:left="1040" w:right="20" w:hanging="452"/>
        <w:spacing w:after="0" w:line="232"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early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171" w:lineRule="exact"/>
        <w:rPr>
          <w:rFonts w:ascii="Times New Roman" w:cs="Times New Roman" w:eastAsia="Times New Roman" w:hAnsi="Times New Roman"/>
          <w:sz w:val="18"/>
          <w:szCs w:val="18"/>
          <w:color w:val="auto"/>
        </w:rPr>
      </w:pPr>
    </w:p>
    <w:p>
      <w:pPr>
        <w:ind w:left="1040" w:hanging="46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or enrollment of patients in clinical trials, the announcement of clinical trial results and our receipt of necessary regulatory approvals (if any) could be delayed or prevented.</w:t>
      </w:r>
    </w:p>
    <w:p>
      <w:pPr>
        <w:spacing w:after="0" w:line="162" w:lineRule="exact"/>
        <w:rPr>
          <w:rFonts w:ascii="Times New Roman" w:cs="Times New Roman" w:eastAsia="Times New Roman" w:hAnsi="Times New Roman"/>
          <w:sz w:val="18"/>
          <w:szCs w:val="18"/>
          <w:color w:val="auto"/>
        </w:rPr>
      </w:pPr>
    </w:p>
    <w:p>
      <w:pPr>
        <w:ind w:left="1040" w:right="520" w:hanging="452"/>
        <w:spacing w:after="0" w:line="23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85" w:lineRule="exact"/>
        <w:rPr>
          <w:rFonts w:ascii="Times New Roman" w:cs="Times New Roman" w:eastAsia="Times New Roman" w:hAnsi="Times New Roman"/>
          <w:sz w:val="18"/>
          <w:szCs w:val="18"/>
          <w:color w:val="auto"/>
        </w:rPr>
      </w:pPr>
    </w:p>
    <w:p>
      <w:pPr>
        <w:ind w:left="1040" w:right="60" w:hanging="452"/>
        <w:spacing w:after="0" w:line="23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172" w:lineRule="exact"/>
        <w:rPr>
          <w:rFonts w:ascii="Times New Roman" w:cs="Times New Roman" w:eastAsia="Times New Roman" w:hAnsi="Times New Roman"/>
          <w:sz w:val="18"/>
          <w:szCs w:val="18"/>
          <w:color w:val="auto"/>
        </w:rPr>
      </w:pPr>
    </w:p>
    <w:p>
      <w:pPr>
        <w:ind w:left="1040" w:right="140" w:hanging="452"/>
        <w:spacing w:after="0" w:line="23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3" w:name="page4"/>
    <w:bookmarkEnd w:id="3"/>
    <w:p>
      <w:pPr>
        <w:ind w:left="1040" w:right="320" w:hanging="465"/>
        <w:spacing w:after="0" w:line="23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or a similar pandemic, epidemic, or outbreak of an infectious disease, may materially and adversely affect our business and our financial results and could cause a disruption to the development of our product candidates and the initiation and completion of clinical trials.</w:t>
      </w:r>
    </w:p>
    <w:p>
      <w:pPr>
        <w:spacing w:after="0" w:line="185" w:lineRule="exact"/>
        <w:rPr>
          <w:rFonts w:ascii="Times New Roman" w:cs="Times New Roman" w:eastAsia="Times New Roman" w:hAnsi="Times New Roman"/>
          <w:sz w:val="18"/>
          <w:szCs w:val="18"/>
          <w:color w:val="auto"/>
        </w:rPr>
      </w:pPr>
    </w:p>
    <w:p>
      <w:pPr>
        <w:ind w:left="1040" w:right="40" w:hanging="452"/>
        <w:spacing w:after="0" w:line="232"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rely on third parties to conduct our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71" w:lineRule="exact"/>
        <w:rPr>
          <w:rFonts w:ascii="Times New Roman" w:cs="Times New Roman" w:eastAsia="Times New Roman" w:hAnsi="Times New Roman"/>
          <w:sz w:val="18"/>
          <w:szCs w:val="18"/>
          <w:color w:val="auto"/>
        </w:rPr>
      </w:pPr>
    </w:p>
    <w:p>
      <w:pPr>
        <w:ind w:left="1040" w:right="140" w:hanging="452"/>
        <w:spacing w:after="0" w:line="232"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of our product candidates for preclinical development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71" w:lineRule="exact"/>
        <w:rPr>
          <w:rFonts w:ascii="Times New Roman" w:cs="Times New Roman" w:eastAsia="Times New Roman" w:hAnsi="Times New Roman"/>
          <w:sz w:val="18"/>
          <w:szCs w:val="18"/>
          <w:color w:val="auto"/>
        </w:rPr>
      </w:pPr>
    </w:p>
    <w:p>
      <w:pPr>
        <w:ind w:left="1040" w:right="440" w:hanging="452"/>
        <w:spacing w:after="0" w:line="250"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176" w:lineRule="exact"/>
        <w:rPr>
          <w:rFonts w:ascii="Times New Roman" w:cs="Times New Roman" w:eastAsia="Times New Roman" w:hAnsi="Times New Roman"/>
          <w:sz w:val="18"/>
          <w:szCs w:val="18"/>
          <w:color w:val="auto"/>
        </w:rPr>
      </w:pPr>
    </w:p>
    <w:p>
      <w:pPr>
        <w:ind w:left="1040" w:right="80" w:hanging="452"/>
        <w:spacing w:after="0" w:line="236"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spacing w:after="0" w:line="172" w:lineRule="exact"/>
        <w:rPr>
          <w:rFonts w:ascii="Times New Roman" w:cs="Times New Roman" w:eastAsia="Times New Roman" w:hAnsi="Times New Roman"/>
          <w:sz w:val="18"/>
          <w:szCs w:val="18"/>
          <w:color w:val="auto"/>
        </w:rPr>
      </w:pPr>
    </w:p>
    <w:p>
      <w:pPr>
        <w:ind w:left="1040" w:right="360" w:hanging="452"/>
        <w:spacing w:after="0" w:line="250"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damages or settlement costs resulting from claims that we or our employees have violated the intellectual property rights of third parties, or are in breach of our agreements.</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02" w:lineRule="exact"/>
        <w:rPr>
          <w:sz w:val="20"/>
          <w:szCs w:val="20"/>
          <w:color w:val="auto"/>
        </w:rPr>
      </w:pPr>
    </w:p>
    <w:p>
      <w:pPr>
        <w:ind w:firstLine="495"/>
        <w:spacing w:after="0" w:line="243" w:lineRule="auto"/>
        <w:rPr>
          <w:sz w:val="20"/>
          <w:szCs w:val="20"/>
          <w:color w:val="auto"/>
        </w:rPr>
      </w:pPr>
      <w:r>
        <w:rPr>
          <w:rFonts w:ascii="Times New Roman" w:cs="Times New Roman" w:eastAsia="Times New Roman" w:hAnsi="Times New Roman"/>
          <w:sz w:val="18"/>
          <w:szCs w:val="18"/>
          <w:color w:val="auto"/>
        </w:rPr>
        <w:t>This Quarterly Report on Form 10-Q contains express or implied forward-looking statements within the meaning of Section 27A of the Securities Act of 1933, as amended, and Section 21E of the Securities Exchange Act of 1934, as amended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p>
      <w:pPr>
        <w:spacing w:after="0" w:line="78" w:lineRule="exact"/>
        <w:rPr>
          <w:sz w:val="20"/>
          <w:szCs w:val="20"/>
          <w:color w:val="auto"/>
        </w:rPr>
      </w:pPr>
    </w:p>
    <w:p>
      <w:pPr>
        <w:jc w:val="both"/>
        <w:ind w:left="1040" w:right="20" w:hanging="452"/>
        <w:spacing w:after="0" w:line="23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clinical trials and related preparatory work, the period during which the results of the clinical trials will become available, and our research and development programs;</w:t>
      </w:r>
    </w:p>
    <w:p>
      <w:pPr>
        <w:spacing w:after="0" w:line="172" w:lineRule="exact"/>
        <w:rPr>
          <w:rFonts w:ascii="Times New Roman" w:cs="Times New Roman" w:eastAsia="Times New Roman" w:hAnsi="Times New Roman"/>
          <w:sz w:val="18"/>
          <w:szCs w:val="18"/>
          <w:color w:val="auto"/>
        </w:rPr>
      </w:pPr>
    </w:p>
    <w:p>
      <w:pPr>
        <w:ind w:left="1040" w:right="300" w:hanging="45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discover and develop product candidates efficiently (including the advancement of development candidates on the timelines identified);</w:t>
      </w:r>
    </w:p>
    <w:p>
      <w:pPr>
        <w:spacing w:after="0" w:line="162" w:lineRule="exact"/>
        <w:rPr>
          <w:rFonts w:ascii="Times New Roman" w:cs="Times New Roman" w:eastAsia="Times New Roman" w:hAnsi="Times New Roman"/>
          <w:sz w:val="18"/>
          <w:szCs w:val="18"/>
          <w:color w:val="auto"/>
        </w:rPr>
      </w:pPr>
    </w:p>
    <w:p>
      <w:pPr>
        <w:ind w:left="1040" w:right="40" w:hanging="45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manufacture our drug substances and product candidates successfully for preclinical use, for clinical trials and on a larger scale for commercial use, if approved;</w:t>
      </w:r>
    </w:p>
    <w:p>
      <w:pPr>
        <w:spacing w:after="0" w:line="176" w:lineRule="exact"/>
        <w:rPr>
          <w:rFonts w:ascii="Times New Roman" w:cs="Times New Roman" w:eastAsia="Times New Roman" w:hAnsi="Times New Roman"/>
          <w:sz w:val="18"/>
          <w:szCs w:val="18"/>
          <w:color w:val="auto"/>
        </w:rPr>
      </w:pPr>
    </w:p>
    <w:p>
      <w:pPr>
        <w:ind w:left="1040" w:right="820" w:hanging="45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continue research and development activities relating to our development candidates and product candidates;</w:t>
      </w:r>
    </w:p>
    <w:p>
      <w:pPr>
        <w:spacing w:after="0" w:line="162" w:lineRule="exact"/>
        <w:rPr>
          <w:rFonts w:ascii="Times New Roman" w:cs="Times New Roman" w:eastAsia="Times New Roman" w:hAnsi="Times New Roman"/>
          <w:sz w:val="18"/>
          <w:szCs w:val="18"/>
          <w:color w:val="auto"/>
        </w:rPr>
      </w:pPr>
    </w:p>
    <w:p>
      <w:pPr>
        <w:ind w:left="1040" w:right="120" w:hanging="452"/>
        <w:spacing w:after="0" w:line="236"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 (and that existing cash, cash equivalents and marketable securities will enable us to fund our operating expenses and capital expenditure requirements at least into the second half of 2024);</w:t>
      </w:r>
    </w:p>
    <w:p>
      <w:pPr>
        <w:spacing w:after="0" w:line="172"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if approved, maintain regulatory approval of our product candidates;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sectPr>
      </w:pPr>
    </w:p>
    <w:bookmarkStart w:id="4" w:name="page5"/>
    <w:bookmarkEnd w:id="4"/>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211"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211"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capital requirements, and our need for additional financing;</w:t>
      </w:r>
    </w:p>
    <w:p>
      <w:pPr>
        <w:spacing w:after="0" w:line="198" w:lineRule="exact"/>
        <w:rPr>
          <w:rFonts w:ascii="Times New Roman" w:cs="Times New Roman" w:eastAsia="Times New Roman" w:hAnsi="Times New Roman"/>
          <w:sz w:val="18"/>
          <w:szCs w:val="18"/>
          <w:color w:val="auto"/>
        </w:rPr>
      </w:pPr>
    </w:p>
    <w:p>
      <w:pPr>
        <w:ind w:left="1040" w:right="80" w:hanging="452"/>
        <w:spacing w:after="0" w:line="250"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62" w:lineRule="exact"/>
        <w:rPr>
          <w:rFonts w:ascii="Times New Roman" w:cs="Times New Roman" w:eastAsia="Times New Roman" w:hAnsi="Times New Roman"/>
          <w:sz w:val="18"/>
          <w:szCs w:val="18"/>
          <w:color w:val="auto"/>
        </w:rPr>
      </w:pPr>
    </w:p>
    <w:p>
      <w:pPr>
        <w:ind w:left="1040" w:right="180" w:hanging="452"/>
        <w:spacing w:after="0" w:line="250"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(if approved) and any other approved products;</w:t>
      </w:r>
    </w:p>
    <w:p>
      <w:pPr>
        <w:spacing w:after="0" w:line="176"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the expectation that we will continue to incur operating losses and negative cash flow;</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211"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211"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98"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industry;</w:t>
      </w:r>
    </w:p>
    <w:p>
      <w:pPr>
        <w:spacing w:after="0" w:line="211" w:lineRule="exact"/>
        <w:rPr>
          <w:rFonts w:ascii="Times New Roman" w:cs="Times New Roman" w:eastAsia="Times New Roman" w:hAnsi="Times New Roman"/>
          <w:sz w:val="18"/>
          <w:szCs w:val="18"/>
          <w:color w:val="auto"/>
        </w:rPr>
      </w:pPr>
    </w:p>
    <w:p>
      <w:pPr>
        <w:ind w:left="1040" w:right="100" w:hanging="452"/>
        <w:spacing w:after="0" w:line="279" w:lineRule="auto"/>
        <w:tabs>
          <w:tab w:leader="none" w:pos="10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139" w:lineRule="exact"/>
        <w:rPr>
          <w:rFonts w:ascii="Times New Roman" w:cs="Times New Roman" w:eastAsia="Times New Roman" w:hAnsi="Times New Roman"/>
          <w:sz w:val="17"/>
          <w:szCs w:val="17"/>
          <w:color w:val="auto"/>
        </w:rPr>
      </w:pPr>
    </w:p>
    <w:p>
      <w:pPr>
        <w:ind w:left="1040" w:hanging="45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in this Quarterly Report on Form 10-Q under the section titled “Risk Factors.”</w:t>
      </w:r>
    </w:p>
    <w:p>
      <w:pPr>
        <w:spacing w:after="0" w:line="252" w:lineRule="exact"/>
        <w:rPr>
          <w:sz w:val="20"/>
          <w:szCs w:val="20"/>
          <w:color w:val="auto"/>
        </w:rPr>
      </w:pPr>
    </w:p>
    <w:p>
      <w:pPr>
        <w:ind w:firstLine="495"/>
        <w:spacing w:after="0" w:line="246"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II, Item 1A of this Quarterly Report on Form 10-Q.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w:t>
      </w:r>
    </w:p>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10" w:right="439" w:bottom="1440" w:gutter="0" w:footer="0" w:header="0"/>
        </w:sectPr>
      </w:pPr>
    </w:p>
    <w:bookmarkStart w:id="5" w:name="page6"/>
    <w:bookmarkEnd w:id="5"/>
    <w:p>
      <w:pPr>
        <w:ind w:right="20"/>
        <w:spacing w:after="0" w:line="282" w:lineRule="auto"/>
        <w:rPr>
          <w:sz w:val="20"/>
          <w:szCs w:val="20"/>
          <w:color w:val="auto"/>
        </w:rPr>
      </w:pPr>
      <w:r>
        <w:rPr>
          <w:rFonts w:ascii="Times New Roman" w:cs="Times New Roman" w:eastAsia="Times New Roman" w:hAnsi="Times New Roman"/>
          <w:sz w:val="18"/>
          <w:szCs w:val="18"/>
          <w:color w:val="auto"/>
        </w:rPr>
        <w:t>all such risks. We do not undertake any obligation to update or revise any forward-looking statements, whether as a result of new information, future events or otherwise, except as may be required under applicable securities laws.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 and Corporate Website</w:t>
      </w:r>
    </w:p>
    <w:p>
      <w:pPr>
        <w:spacing w:after="0" w:line="216"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We were formerly known as BCTG Acquisition Corp. (“BCTG”) and were incorporated in Delaware May 2020 as a special purpose acquisition company, formed for the purpose of effecting a merger, capital stock exchange, asset acquisition, stock purchase, reorganization or other similar business.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spacing w:after="0" w:line="164"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portion of our website free of charge as soon as reasonably practicable after we electronically file such material with, or furnish it to, the Securities and Exchange Commission (“SEC”). </w:t>
      </w:r>
      <w:r>
        <w:rPr>
          <w:rFonts w:ascii="Times New Roman" w:cs="Times New Roman" w:eastAsia="Times New Roman" w:hAnsi="Times New Roman"/>
          <w:sz w:val="19"/>
          <w:szCs w:val="19"/>
          <w:color w:val="auto"/>
        </w:rPr>
        <w:t>W</w:t>
      </w:r>
      <w:r>
        <w:rPr>
          <w:rFonts w:ascii="Times New Roman" w:cs="Times New Roman" w:eastAsia="Times New Roman" w:hAnsi="Times New Roman"/>
          <w:sz w:val="18"/>
          <w:szCs w:val="18"/>
          <w:color w:val="auto"/>
        </w:rPr>
        <w:t>e also make available, free of charge on our website, the reports filed with the SEC by our executive officers, directors and 10% stockholders pursuant to Section 16 under the Exchange Act as soon as reasonably practicable a</w:t>
      </w:r>
      <w:r>
        <w:rPr>
          <w:rFonts w:ascii="Times New Roman" w:cs="Times New Roman" w:eastAsia="Times New Roman" w:hAnsi="Times New Roman"/>
          <w:sz w:val="19"/>
          <w:szCs w:val="19"/>
          <w:color w:val="auto"/>
        </w:rPr>
        <w:t>f</w:t>
      </w:r>
      <w:r>
        <w:rPr>
          <w:rFonts w:ascii="Times New Roman" w:cs="Times New Roman" w:eastAsia="Times New Roman" w:hAnsi="Times New Roman"/>
          <w:sz w:val="18"/>
          <w:szCs w:val="18"/>
          <w:color w:val="auto"/>
        </w:rPr>
        <w:t>ter copies of those filings are provided to us by those persons</w:t>
      </w:r>
      <w:r>
        <w:rPr>
          <w:rFonts w:ascii="Times New Roman" w:cs="Times New Roman" w:eastAsia="Times New Roman" w:hAnsi="Times New Roman"/>
          <w:sz w:val="19"/>
          <w:szCs w:val="19"/>
          <w:color w:val="auto"/>
        </w:rPr>
        <w:t>. A</w:t>
      </w:r>
      <w:r>
        <w:rPr>
          <w:rFonts w:ascii="Times New Roman" w:cs="Times New Roman" w:eastAsia="Times New Roman" w:hAnsi="Times New Roman"/>
          <w:sz w:val="18"/>
          <w:szCs w:val="18"/>
          <w:color w:val="auto"/>
        </w:rPr>
        <w:t>ccordingly, investors should monitor such portions of the company’s website, in addition to following the company’s press releases, SEC filings and public conference calls and webcasts (if any). Information on our website is not to be deemed to be incorporated by reference in, and is not part of, this Quarterly Report on Form 10-Q or any of our other securities filings, unless specifically incorporated herein by reference, and should not be relied upon in making a decision as to whether or not to purchase our common stock.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2"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Further, the company intends to use its website http://www.tangotx.com as a means of disclosing material non-public information and for complying with its disclosure obligations under the SEC Regulation FD. Such disclosures will be included on the company’s website under the heading “Investors.” Accordingly, investors should monitor such portions of the company’s website, in addition to following the company’s press releases, SEC filings and public conference calls and webcasts.. The information contained on, or that may be accessed through, the website is not part of, and is not incorporated into, this Quarterly Report on Form 10-Q.</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principal executive office is located at 100 Binney Street, Suite 700, Cambridge, Massachusetts.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left="40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04"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99,909</w:t>
            </w:r>
          </w:p>
        </w:tc>
        <w:tc>
          <w:tcPr>
            <w:tcW w:w="2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Marketable securities</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349,976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342,510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8,202</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460,654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492,338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471,525</w:t>
            </w:r>
          </w:p>
        </w:tc>
        <w:tc>
          <w:tcPr>
            <w:tcW w:w="24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500,155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Income tax payable</w:t>
            </w:r>
          </w:p>
        </w:tc>
        <w:tc>
          <w:tcPr>
            <w:tcW w:w="2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39,211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3"/>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111,958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684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151,169</w:t>
            </w: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155,408</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84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Preferred stock, $0.001 par value; 10,000,000 shares authorized; no shares issued</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outstanding as of March 31, 2022 and December 31, 2021, respectively</w:t>
            </w:r>
          </w:p>
        </w:tc>
        <w:tc>
          <w:tcPr>
            <w:tcW w:w="2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5"/>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684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Common stock, $0.001 par value; 200,000,000 shares</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84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authorized at March 31, 2022 and December 31, 2021;</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8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87,709,499 and 87,598,184 shares issued and outstanding as of</w:t>
            </w:r>
          </w:p>
        </w:tc>
        <w:tc>
          <w:tcPr>
            <w:tcW w:w="2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31, 2022 and December 31, 2021, respectively</w:t>
            </w:r>
          </w:p>
        </w:tc>
        <w:tc>
          <w:tcPr>
            <w:tcW w:w="2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510,222</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506,760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(3,410 )</w:t>
            </w:r>
          </w:p>
        </w:tc>
        <w:tc>
          <w:tcPr>
            <w:tcW w:w="20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(765 )</w:t>
            </w: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(186,544 )</w:t>
            </w:r>
          </w:p>
        </w:tc>
        <w:tc>
          <w:tcPr>
            <w:tcW w:w="2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(161,336 )</w:t>
            </w:r>
          </w:p>
        </w:tc>
        <w:tc>
          <w:tcPr>
            <w:tcW w:w="0" w:type="dxa"/>
            <w:vAlign w:val="bottom"/>
          </w:tcPr>
          <w:p>
            <w:pPr>
              <w:spacing w:after="0"/>
              <w:rPr>
                <w:sz w:val="1"/>
                <w:szCs w:val="1"/>
                <w:color w:val="auto"/>
              </w:rPr>
            </w:pPr>
          </w:p>
        </w:tc>
      </w:tr>
      <w:tr>
        <w:trPr>
          <w:trHeight w:val="196"/>
        </w:trPr>
        <w:tc>
          <w:tcPr>
            <w:tcW w:w="68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320,356</w:t>
            </w: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344,747</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471,525</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500,155</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-3316605</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-3316605</wp:posOffset>
            </wp:positionV>
            <wp:extent cx="51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-2271395</wp:posOffset>
            </wp:positionV>
            <wp:extent cx="60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-2271395</wp:posOffset>
            </wp:positionV>
            <wp:extent cx="51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-1757045</wp:posOffset>
            </wp:positionV>
            <wp:extent cx="60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-1757045</wp:posOffset>
            </wp:positionV>
            <wp:extent cx="51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-299720</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-299720</wp:posOffset>
            </wp:positionV>
            <wp:extent cx="51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-25400</wp:posOffset>
            </wp:positionV>
            <wp:extent cx="60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0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-25400</wp:posOffset>
            </wp:positionV>
            <wp:extent cx="514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-8255</wp:posOffset>
            </wp:positionV>
            <wp:extent cx="514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20" w:right="899" w:bottom="1440" w:gutter="0" w:footer="0" w:header="0"/>
        </w:sectPr>
      </w:pPr>
    </w:p>
    <w:bookmarkStart w:id="7" w:name="page8"/>
    <w:bookmarkEnd w:id="7"/>
    <w:p>
      <w:pPr>
        <w:ind w:left="374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jc w:val="center"/>
        <w:ind w:right="60"/>
        <w:spacing w:after="0" w:line="234" w:lineRule="auto"/>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40" w:type="dxa"/>
            <w:vAlign w:val="bottom"/>
            <w:gridSpan w:val="5"/>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7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Pr>
          <w:p>
            <w:pPr>
              <w:spacing w:after="0"/>
              <w:rPr>
                <w:sz w:val="18"/>
                <w:szCs w:val="18"/>
                <w:color w:val="auto"/>
              </w:rPr>
            </w:pPr>
          </w:p>
        </w:tc>
      </w:tr>
      <w:tr>
        <w:trPr>
          <w:trHeight w:val="209"/>
        </w:trPr>
        <w:tc>
          <w:tcPr>
            <w:tcW w:w="67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31,137</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18"/>
                <w:szCs w:val="18"/>
                <w:color w:val="auto"/>
              </w:rPr>
            </w:pPr>
          </w:p>
        </w:tc>
        <w:tc>
          <w:tcPr>
            <w:tcW w:w="1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(25,379 )</w:t>
            </w:r>
          </w:p>
        </w:tc>
        <w:tc>
          <w:tcPr>
            <w:tcW w:w="3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(12,081 )</w:t>
            </w: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(47 )</w:t>
            </w: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10"/>
        </w:trPr>
        <w:tc>
          <w:tcPr>
            <w:tcW w:w="670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top w:val="single" w:sz="8" w:color="CFF0FC"/>
            </w:tcBorders>
          </w:tcPr>
          <w:p>
            <w:pPr>
              <w:spacing w:after="0"/>
              <w:rPr>
                <w:sz w:val="18"/>
                <w:szCs w:val="18"/>
                <w:color w:val="auto"/>
              </w:rPr>
            </w:pPr>
          </w:p>
        </w:tc>
      </w:tr>
      <w:tr>
        <w:trPr>
          <w:trHeight w:val="20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10"/>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6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(0.29 )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(0.29 )</w:t>
            </w:r>
          </w:p>
        </w:tc>
      </w:tr>
      <w:tr>
        <w:trPr>
          <w:trHeight w:val="171"/>
        </w:trPr>
        <w:tc>
          <w:tcPr>
            <w:tcW w:w="67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basic and diluted</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87,670,653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41,575,143</w:t>
            </w:r>
          </w:p>
        </w:tc>
        <w:tc>
          <w:tcPr>
            <w:tcW w:w="100" w:type="dxa"/>
            <w:vAlign w:val="bottom"/>
          </w:tcPr>
          <w:p>
            <w:pPr>
              <w:spacing w:after="0"/>
              <w:rPr>
                <w:sz w:val="20"/>
                <w:szCs w:val="20"/>
                <w:color w:val="auto"/>
              </w:rPr>
            </w:pPr>
          </w:p>
        </w:tc>
      </w:tr>
      <w:tr>
        <w:trPr>
          <w:trHeight w:val="216"/>
        </w:trPr>
        <w:tc>
          <w:tcPr>
            <w:tcW w:w="6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spacing w:after="0"/>
              <w:rPr>
                <w:sz w:val="18"/>
                <w:szCs w:val="18"/>
                <w:color w:val="auto"/>
              </w:rPr>
            </w:pPr>
          </w:p>
        </w:tc>
        <w:tc>
          <w:tcPr>
            <w:tcW w:w="1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(25,208 )</w:t>
            </w:r>
          </w:p>
        </w:tc>
        <w:tc>
          <w:tcPr>
            <w:tcW w:w="3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(12,106 )</w:t>
            </w: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360" w:type="dxa"/>
            <w:vAlign w:val="bottom"/>
          </w:tcPr>
          <w:p>
            <w:pPr>
              <w:spacing w:after="0"/>
              <w:rPr>
                <w:sz w:val="18"/>
                <w:szCs w:val="18"/>
                <w:color w:val="auto"/>
              </w:rPr>
            </w:pPr>
          </w:p>
        </w:tc>
        <w:tc>
          <w:tcPr>
            <w:tcW w:w="1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(2,645 )</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r>
      <w:tr>
        <w:trPr>
          <w:trHeight w:val="249"/>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(27,853</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-2391410</wp:posOffset>
            </wp:positionV>
            <wp:extent cx="603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-2391410</wp:posOffset>
            </wp:positionV>
            <wp:extent cx="603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-1833880</wp:posOffset>
            </wp:positionV>
            <wp:extent cx="60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-1833880</wp:posOffset>
            </wp:positionV>
            <wp:extent cx="60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-1259205</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-1259205</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603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60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03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03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20" w:right="899" w:bottom="1440" w:gutter="0" w:footer="0" w:header="0"/>
        </w:sectPr>
      </w:pPr>
    </w:p>
    <w:bookmarkStart w:id="8" w:name="page9"/>
    <w:bookmarkEnd w:id="8"/>
    <w:p>
      <w:pPr>
        <w:ind w:left="43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STOCK AND STOCKHOLDERS’ EQUITY</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5"/>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2"/>
                <w:szCs w:val="12"/>
                <w:color w:val="auto"/>
              </w:rPr>
            </w:pPr>
          </w:p>
        </w:tc>
        <w:tc>
          <w:tcPr>
            <w:tcW w:w="880" w:type="dxa"/>
            <w:vAlign w:val="bottom"/>
            <w:gridSpan w:val="2"/>
          </w:tcPr>
          <w:p>
            <w:pPr>
              <w:jc w:val="center"/>
              <w:ind w:left="158"/>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2"/>
        </w:trPr>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7"/>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left="158"/>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7"/>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3"/>
                <w:szCs w:val="13"/>
                <w:color w:val="auto"/>
              </w:rPr>
            </w:pPr>
          </w:p>
        </w:tc>
        <w:tc>
          <w:tcPr>
            <w:tcW w:w="1320" w:type="dxa"/>
            <w:vAlign w:val="bottom"/>
            <w:gridSpan w:val="5"/>
          </w:tcPr>
          <w:p>
            <w:pPr>
              <w:jc w:val="center"/>
              <w:ind w:right="133"/>
              <w:spacing w:after="0"/>
              <w:rPr>
                <w:sz w:val="20"/>
                <w:szCs w:val="20"/>
                <w:color w:val="auto"/>
              </w:rPr>
            </w:pPr>
            <w:r>
              <w:rPr>
                <w:rFonts w:ascii="Times New Roman" w:cs="Times New Roman" w:eastAsia="Times New Roman" w:hAnsi="Times New Roman"/>
                <w:sz w:val="12"/>
                <w:szCs w:val="12"/>
                <w:b w:val="1"/>
                <w:bCs w:val="1"/>
                <w:color w:val="auto"/>
                <w:w w:val="94"/>
              </w:rPr>
              <w:t>Comprehensive</w:t>
            </w:r>
          </w:p>
        </w:tc>
        <w:tc>
          <w:tcPr>
            <w:tcW w:w="80" w:type="dxa"/>
            <w:vAlign w:val="bottom"/>
          </w:tcPr>
          <w:p>
            <w:pPr>
              <w:spacing w:after="0"/>
              <w:rPr>
                <w:sz w:val="13"/>
                <w:szCs w:val="13"/>
                <w:color w:val="auto"/>
              </w:rPr>
            </w:pPr>
          </w:p>
        </w:tc>
        <w:tc>
          <w:tcPr>
            <w:tcW w:w="1560" w:type="dxa"/>
            <w:vAlign w:val="bottom"/>
            <w:gridSpan w:val="5"/>
          </w:tcPr>
          <w:p>
            <w:pPr>
              <w:jc w:val="right"/>
              <w:ind w:right="453"/>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Capital</w:t>
            </w:r>
          </w:p>
        </w:tc>
        <w:tc>
          <w:tcPr>
            <w:tcW w:w="140" w:type="dxa"/>
            <w:vAlign w:val="bottom"/>
          </w:tcPr>
          <w:p>
            <w:pPr>
              <w:spacing w:after="0"/>
              <w:rPr>
                <w:sz w:val="12"/>
                <w:szCs w:val="12"/>
                <w:color w:val="auto"/>
              </w:rPr>
            </w:pPr>
          </w:p>
        </w:tc>
        <w:tc>
          <w:tcPr>
            <w:tcW w:w="880" w:type="dxa"/>
            <w:vAlign w:val="bottom"/>
            <w:gridSpan w:val="2"/>
          </w:tcPr>
          <w:p>
            <w:pPr>
              <w:jc w:val="center"/>
              <w:ind w:left="178"/>
              <w:spacing w:after="0" w:line="136" w:lineRule="exact"/>
              <w:rPr>
                <w:sz w:val="20"/>
                <w:szCs w:val="20"/>
                <w:color w:val="auto"/>
              </w:rPr>
            </w:pPr>
            <w:r>
              <w:rPr>
                <w:rFonts w:ascii="Times New Roman" w:cs="Times New Roman" w:eastAsia="Times New Roman" w:hAnsi="Times New Roman"/>
                <w:sz w:val="12"/>
                <w:szCs w:val="12"/>
                <w:b w:val="1"/>
                <w:bCs w:val="1"/>
                <w:color w:val="auto"/>
              </w:rPr>
              <w:t>Loss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Deficit</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580"/>
              <w:spacing w:after="0" w:line="136" w:lineRule="exact"/>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69"/>
        </w:trPr>
        <w:tc>
          <w:tcPr>
            <w:tcW w:w="2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140" w:type="dxa"/>
            <w:vAlign w:val="bottom"/>
            <w:tcBorders>
              <w:top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87,598,184</w:t>
            </w:r>
          </w:p>
        </w:tc>
        <w:tc>
          <w:tcPr>
            <w:tcW w:w="160" w:type="dxa"/>
            <w:vAlign w:val="bottom"/>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right w:val="single" w:sz="8" w:color="CFF0FC"/>
            </w:tcBorders>
            <w:shd w:val="clear" w:color="auto" w:fill="CFF0FC"/>
          </w:tcPr>
          <w:p>
            <w:pPr>
              <w:spacing w:after="0"/>
              <w:rPr>
                <w:sz w:val="14"/>
                <w:szCs w:val="14"/>
                <w:color w:val="auto"/>
              </w:rPr>
            </w:pPr>
          </w:p>
        </w:tc>
        <w:tc>
          <w:tcPr>
            <w:tcW w:w="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6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506,760</w:t>
            </w: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tcBorders>
            <w:shd w:val="clear" w:color="auto" w:fill="CFF0FC"/>
          </w:tcPr>
          <w:p>
            <w:pPr>
              <w:spacing w:after="0"/>
              <w:rPr>
                <w:sz w:val="14"/>
                <w:szCs w:val="14"/>
                <w:color w:val="auto"/>
              </w:rPr>
            </w:pPr>
          </w:p>
        </w:tc>
        <w:tc>
          <w:tcPr>
            <w:tcW w:w="2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ind w:right="4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(161,336</w:t>
            </w:r>
          </w:p>
        </w:tc>
        <w:tc>
          <w:tcPr>
            <w:tcW w:w="1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344,747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111,315</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3,205</w:t>
            </w: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66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Business combination and PIPE financing,</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(8 )</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0" w:type="dxa"/>
            <w:vAlign w:val="bottom"/>
          </w:tcPr>
          <w:p>
            <w:pPr>
              <w:spacing w:after="0"/>
              <w:rPr>
                <w:sz w:val="1"/>
                <w:szCs w:val="1"/>
                <w:color w:val="auto"/>
              </w:rPr>
            </w:pPr>
          </w:p>
        </w:tc>
      </w:tr>
      <w:tr>
        <w:trPr>
          <w:trHeight w:val="174"/>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issuance costs</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6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(2,645 )</w:t>
            </w:r>
          </w:p>
        </w:tc>
        <w:tc>
          <w:tcPr>
            <w:tcW w:w="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(2,645 )</w:t>
            </w:r>
          </w:p>
        </w:tc>
        <w:tc>
          <w:tcPr>
            <w:tcW w:w="0" w:type="dxa"/>
            <w:vAlign w:val="bottom"/>
          </w:tcPr>
          <w:p>
            <w:pPr>
              <w:spacing w:after="0"/>
              <w:rPr>
                <w:sz w:val="1"/>
                <w:szCs w:val="1"/>
                <w:color w:val="auto"/>
              </w:rPr>
            </w:pPr>
          </w:p>
        </w:tc>
      </w:tr>
      <w:tr>
        <w:trPr>
          <w:trHeight w:val="174"/>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(25,208 )</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(25,208 )</w:t>
            </w:r>
          </w:p>
        </w:tc>
        <w:tc>
          <w:tcPr>
            <w:tcW w:w="0" w:type="dxa"/>
            <w:vAlign w:val="bottom"/>
          </w:tcPr>
          <w:p>
            <w:pPr>
              <w:spacing w:after="0"/>
              <w:rPr>
                <w:sz w:val="1"/>
                <w:szCs w:val="1"/>
                <w:color w:val="auto"/>
              </w:rPr>
            </w:pPr>
          </w:p>
        </w:tc>
      </w:tr>
      <w:tr>
        <w:trPr>
          <w:trHeight w:val="210"/>
        </w:trPr>
        <w:tc>
          <w:tcPr>
            <w:tcW w:w="26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2022</w:t>
            </w:r>
          </w:p>
        </w:tc>
        <w:tc>
          <w:tcPr>
            <w:tcW w:w="114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87,709,499</w:t>
            </w:r>
          </w:p>
        </w:tc>
        <w:tc>
          <w:tcPr>
            <w:tcW w:w="1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right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510,222</w:t>
            </w:r>
          </w:p>
        </w:tc>
        <w:tc>
          <w:tcPr>
            <w:tcW w:w="1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(3,410</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ind w:right="4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(186,544</w:t>
            </w:r>
          </w:p>
        </w:tc>
        <w:tc>
          <w:tcPr>
            <w:tcW w:w="14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320,356</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4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8"/>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jc w:val="center"/>
              <w:ind w:right="257"/>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4"/>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8"/>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140" w:type="dxa"/>
            <w:vAlign w:val="bottom"/>
          </w:tcPr>
          <w:p>
            <w:pPr>
              <w:spacing w:after="0"/>
              <w:rPr>
                <w:sz w:val="13"/>
                <w:szCs w:val="13"/>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4"/>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3"/>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3"/>
                <w:szCs w:val="13"/>
                <w:b w:val="1"/>
                <w:bCs w:val="1"/>
                <w:color w:val="auto"/>
                <w:w w:val="92"/>
              </w:rPr>
              <w:t>Capital</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center"/>
              <w:ind w:right="257"/>
              <w:spacing w:after="0" w:line="146"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53"/>
              <w:spacing w:after="0" w:line="146"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56"/>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2020</w:t>
            </w:r>
          </w:p>
        </w:tc>
        <w:tc>
          <w:tcPr>
            <w:tcW w:w="2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40,372,133</w:t>
            </w:r>
          </w:p>
        </w:tc>
        <w:tc>
          <w:tcPr>
            <w:tcW w:w="16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141,644</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6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(103,101</w:t>
            </w:r>
          </w:p>
        </w:tc>
        <w:tc>
          <w:tcPr>
            <w:tcW w:w="1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38,600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66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2"/>
                <w:szCs w:val="12"/>
                <w:color w:val="auto"/>
              </w:rPr>
              <w:t>Issuance of Series B redeemable</w:t>
            </w: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66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3"/>
                <w:szCs w:val="13"/>
                <w:color w:val="auto"/>
              </w:rPr>
              <w:t>convertible preferred stock, net</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6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of issuance costs of $0.1 million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22,686,025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29,990</w:t>
            </w: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Retroactive application of recapitalization</w:t>
            </w: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w w:val="99"/>
              </w:rPr>
              <w:t>(22,686,025 )</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(29,990 )</w:t>
            </w: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7,706,861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29,982</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29,990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89"/>
              </w:rPr>
              <w:t>304,080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60" w:type="dxa"/>
            <w:vAlign w:val="bottom"/>
            <w:gridSpan w:val="2"/>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Vesting of restricted common</w:t>
            </w:r>
          </w:p>
        </w:tc>
        <w:tc>
          <w:tcPr>
            <w:tcW w:w="6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6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stock awards</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20" w:type="dxa"/>
            <w:vAlign w:val="bottom"/>
            <w:tcBorders>
              <w:right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tcBorders>
              <w:right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right"/>
              <w:ind w:right="57"/>
              <w:spacing w:after="0"/>
              <w:rPr>
                <w:sz w:val="20"/>
                <w:szCs w:val="20"/>
                <w:color w:val="auto"/>
              </w:rPr>
            </w:pPr>
            <w:r>
              <w:rPr>
                <w:rFonts w:ascii="Times New Roman" w:cs="Times New Roman" w:eastAsia="Times New Roman" w:hAnsi="Times New Roman"/>
                <w:sz w:val="13"/>
                <w:szCs w:val="13"/>
                <w:color w:val="auto"/>
              </w:rPr>
              <w:t>(12,106 )</w:t>
            </w:r>
          </w:p>
        </w:tc>
        <w:tc>
          <w:tcPr>
            <w:tcW w:w="1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(12,106 )</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2021</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right w:val="single" w:sz="8" w:color="auto"/>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48,383,074</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173,017</w:t>
            </w:r>
          </w:p>
        </w:tc>
        <w:tc>
          <w:tcPr>
            <w:tcW w:w="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(115,207</w:t>
            </w:r>
          </w:p>
        </w:tc>
        <w:tc>
          <w:tcPr>
            <w:tcW w:w="18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57,891</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-1807845</wp:posOffset>
            </wp:positionV>
            <wp:extent cx="342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-1790700</wp:posOffset>
            </wp:positionV>
            <wp:extent cx="342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-1807845</wp:posOffset>
            </wp:positionV>
            <wp:extent cx="342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-1790700</wp:posOffset>
            </wp:positionV>
            <wp:extent cx="342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-1807845</wp:posOffset>
            </wp:positionV>
            <wp:extent cx="342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-1790700</wp:posOffset>
            </wp:positionV>
            <wp:extent cx="342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-1807845</wp:posOffset>
            </wp:positionV>
            <wp:extent cx="342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-1790700</wp:posOffset>
            </wp:positionV>
            <wp:extent cx="342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-1807845</wp:posOffset>
            </wp:positionV>
            <wp:extent cx="342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-1790700</wp:posOffset>
            </wp:positionV>
            <wp:extent cx="342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-1807845</wp:posOffset>
            </wp:positionV>
            <wp:extent cx="342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-1790700</wp:posOffset>
            </wp:positionV>
            <wp:extent cx="342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-24765</wp:posOffset>
            </wp:positionV>
            <wp:extent cx="431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-7620</wp:posOffset>
            </wp:positionV>
            <wp:extent cx="431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-24765</wp:posOffset>
            </wp:positionV>
            <wp:extent cx="431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-7620</wp:posOffset>
            </wp:positionV>
            <wp:extent cx="431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-24765</wp:posOffset>
            </wp:positionV>
            <wp:extent cx="260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-7620</wp:posOffset>
            </wp:positionV>
            <wp:extent cx="260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-24765</wp:posOffset>
            </wp:positionV>
            <wp:extent cx="260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260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254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254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254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254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342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342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ind w:left="43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(in thousands)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(25,208 )</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(12,106 )</w:t>
            </w: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(3,687 )</w:t>
            </w: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(359 )</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8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(157 )</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(636 )</w:t>
            </w:r>
          </w:p>
        </w:tc>
      </w:tr>
      <w:tr>
        <w:trPr>
          <w:trHeight w:val="216"/>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(429 )</w:t>
            </w: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(372 )</w:t>
            </w: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(3,758 )</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(4,386 )</w:t>
            </w:r>
          </w:p>
        </w:tc>
      </w:tr>
      <w:tr>
        <w:trPr>
          <w:trHeight w:val="209"/>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(29,665</w:t>
            </w:r>
          </w:p>
        </w:tc>
        <w:tc>
          <w:tcPr>
            <w:tcW w:w="3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(1,561 )</w:t>
            </w: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(165 )</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44,415</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40,645</w:t>
            </w: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(54,571 )</w:t>
            </w: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(19,868 )</w:t>
            </w:r>
          </w:p>
        </w:tc>
      </w:tr>
      <w:tr>
        <w:trPr>
          <w:trHeight w:val="20"/>
        </w:trPr>
        <w:tc>
          <w:tcPr>
            <w:tcW w:w="76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7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8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(11,717 )</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20,612</w:t>
            </w: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preferred stock, net of issuance costs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29,998</w:t>
            </w: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stock options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Business Combination and PIPE Financing transaction costs</w:t>
            </w:r>
          </w:p>
        </w:tc>
        <w:tc>
          <w:tcPr>
            <w:tcW w:w="98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(8 )</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10"/>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30,411</w:t>
            </w: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8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(41,125 )</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37,410</w:t>
            </w:r>
          </w:p>
        </w:tc>
        <w:tc>
          <w:tcPr>
            <w:tcW w:w="8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145,024</w:t>
            </w:r>
          </w:p>
        </w:tc>
        <w:tc>
          <w:tcPr>
            <w:tcW w:w="3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42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98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103,899</w:t>
            </w:r>
          </w:p>
        </w:tc>
        <w:tc>
          <w:tcPr>
            <w:tcW w:w="320" w:type="dxa"/>
            <w:vAlign w:val="bottom"/>
          </w:tcPr>
          <w:p>
            <w:pPr>
              <w:spacing w:after="0"/>
              <w:rPr>
                <w:sz w:val="24"/>
                <w:szCs w:val="24"/>
                <w:color w:val="auto"/>
              </w:rPr>
            </w:pPr>
          </w:p>
        </w:tc>
        <w:tc>
          <w:tcPr>
            <w:tcW w:w="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68,070</w:t>
            </w:r>
          </w:p>
        </w:tc>
        <w:tc>
          <w:tcPr>
            <w:tcW w:w="80" w:type="dxa"/>
            <w:vAlign w:val="bottom"/>
          </w:tcPr>
          <w:p>
            <w:pPr>
              <w:spacing w:after="0"/>
              <w:rPr>
                <w:sz w:val="24"/>
                <w:szCs w:val="24"/>
                <w:color w:val="auto"/>
              </w:rPr>
            </w:pPr>
          </w:p>
        </w:tc>
      </w:tr>
      <w:tr>
        <w:trPr>
          <w:trHeight w:val="209"/>
        </w:trPr>
        <w:tc>
          <w:tcPr>
            <w:tcW w:w="7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leases</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320" w:type="dxa"/>
            <w:vAlign w:val="bottom"/>
          </w:tcPr>
          <w:p>
            <w:pPr>
              <w:spacing w:after="0"/>
              <w:rPr>
                <w:sz w:val="18"/>
                <w:szCs w:val="18"/>
                <w:color w:val="auto"/>
              </w:rPr>
            </w:pP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activity:</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20" w:type="dxa"/>
            <w:vAlign w:val="bottom"/>
          </w:tcPr>
          <w:p>
            <w:pPr>
              <w:spacing w:after="0"/>
              <w:rPr>
                <w:sz w:val="18"/>
                <w:szCs w:val="18"/>
                <w:color w:val="auto"/>
              </w:rPr>
            </w:pP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issuance costs included in accounts payable and accrued expenses</w:t>
            </w:r>
          </w:p>
        </w:tc>
        <w:tc>
          <w:tcPr>
            <w:tcW w:w="980" w:type="dxa"/>
            <w:vAlign w:val="bottom"/>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18"/>
                <w:szCs w:val="18"/>
                <w:color w:val="auto"/>
              </w:rPr>
            </w:pPr>
          </w:p>
        </w:tc>
      </w:tr>
      <w:tr>
        <w:trPr>
          <w:trHeight w:val="171"/>
        </w:trPr>
        <w:tc>
          <w:tcPr>
            <w:tcW w:w="766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Merger with BCTG and PIPE financing deferred offering costs included in accounts payable and</w:t>
            </w: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4"/>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-2485390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-2485390</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-1370965</wp:posOffset>
            </wp:positionV>
            <wp:extent cx="603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-1370965</wp:posOffset>
            </wp:positionV>
            <wp:extent cx="51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 w:name="page11"/>
    <w:bookmarkEnd w:id="10"/>
    <w:p>
      <w:pPr>
        <w:ind w:left="43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Tango Therapeutics, Inc. (“Tango” or the “Company”) is a precision oncology company committed to the discovery and development of novel drugs in defined patient populations with high unmet medical need.</w:t>
      </w:r>
    </w:p>
    <w:p>
      <w:pPr>
        <w:spacing w:after="0" w:line="162" w:lineRule="exact"/>
        <w:rPr>
          <w:sz w:val="20"/>
          <w:szCs w:val="20"/>
          <w:color w:val="auto"/>
        </w:rPr>
      </w:pPr>
    </w:p>
    <w:p>
      <w:pPr>
        <w:ind w:right="80" w:firstLine="554"/>
        <w:spacing w:after="0" w:line="247" w:lineRule="auto"/>
        <w:rPr>
          <w:sz w:val="20"/>
          <w:szCs w:val="20"/>
          <w:color w:val="auto"/>
        </w:rPr>
      </w:pPr>
      <w:r>
        <w:rPr>
          <w:rFonts w:ascii="Times New Roman" w:cs="Times New Roman" w:eastAsia="Times New Roman" w:hAnsi="Times New Roman"/>
          <w:sz w:val="18"/>
          <w:szCs w:val="18"/>
          <w:color w:val="auto"/>
        </w:rPr>
        <w:t>Tango Therapeutics, Inc. (together with its consolidated subsidiaries, “Tango” or the “Company”) was incorporated in Delaware on May 21, 2020. On April 13, 2021, the Company, BCTG Merger Sub Inc., a Delaware corporation, and Tango Therapeutics, Inc. (now known as Tango Therapeutics Sub, Inc. or “Old Tango”) signed a definitive merger agreement (the "Merger Agreement"). Pursuant to the Merger Agreement, the business combination ("Business Combination") was approved on August 9, 2021 by shareholders of BCTG Acquisition Corp. ("BCTG"), resulting in BCTG acquiring 100% of Old Tango's issued and outstanding equity securities on August 10, 2021. As a result of the Business Combination, BCTG was renamed Tango Therapeutics, Inc.</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1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U.S. GAAP. The year-end balance sheet data was derived from audited financial statements, but does not include all disclosures required by U.S. GAAP. The accompanying unaudited condensed consolidated financial statements reflect the operations of Tango and its wholly owned subsidiaries. All intercompany accounts and transactions have been eliminated. The functional and reporting currency of the Company and its subsidiaries is the U.S. dollar.</w:t>
      </w:r>
    </w:p>
    <w:p>
      <w:pPr>
        <w:spacing w:after="0" w:line="191" w:lineRule="exact"/>
        <w:rPr>
          <w:sz w:val="20"/>
          <w:szCs w:val="20"/>
          <w:color w:val="auto"/>
        </w:rPr>
      </w:pPr>
    </w:p>
    <w:p>
      <w:pPr>
        <w:ind w:right="360" w:firstLine="509"/>
        <w:spacing w:after="0" w:line="244" w:lineRule="auto"/>
        <w:rPr>
          <w:sz w:val="20"/>
          <w:szCs w:val="20"/>
          <w:color w:val="auto"/>
        </w:rPr>
      </w:pPr>
      <w:r>
        <w:rPr>
          <w:rFonts w:ascii="Times New Roman" w:cs="Times New Roman" w:eastAsia="Times New Roman" w:hAnsi="Times New Roman"/>
          <w:sz w:val="18"/>
          <w:szCs w:val="18"/>
          <w:color w:val="auto"/>
        </w:rPr>
        <w:t>In the opinion of management, all adjustments necessary for a fair statement of the financial information, which are of a normal and recurring nature, have been made for the interim periods reported. Results of operations for the three months ended March 31, 2022 and 2021 are not necessarily indicative of the results for the year ending December 31, 2022, any other interim periods, or any future year or period. The unaudited condensed consolidated financial statements for the three months ended March 31, 2022 and 2021 have been prepared on the same basis as and should be read in conjunction with the audited consolidated financial statements and notes included in the Company’s Annual Report on Form 10-K for the year ended December 31, 2021 as filed with the SEC on March 28, 2022.</w:t>
      </w:r>
    </w:p>
    <w:p>
      <w:pPr>
        <w:spacing w:after="0" w:line="191"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4"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8"/>
          <w:szCs w:val="18"/>
          <w:color w:val="auto"/>
        </w:rPr>
        <w:t xml:space="preserve">There have been no significant changes from the significant accounting policies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audited consolidated financial statements and notes included in the Company’s Annual Report on Form 10-K for the year ended December 31, 2021.</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40" w:firstLine="509"/>
        <w:spacing w:after="0" w:line="242"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that the Company make estimates, judgments and assumptions that may affect the reported amounts of assets, liabilities, equity, revenues and expenses and related disclosure of contingent assets and liabilities. Significant estimates and assumptions made in the consolidated financial statements include, but are not limited to, the revenue recognized from collaboration agreements, the valuation of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 financial statements, the Company is not aware of any specific event or circumstance that would require the Company to update estimates, judgments or revise the carrying value of any assets or liabilities. Actual results may differ from these estimates under different assumptions or conditions. Changes in estimates are reflected in reported results in the period in which they become known.</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16"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Unless otherwise discussed, the Company believes that recently issued standards that are not yet effective will not have a material impact on the Company’s consolidated financial statements.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 w:name="page12"/>
    <w:bookmarkEnd w:id="11"/>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On August 10, 2021 (the "Closing Date"), BCTG, a Delaware corporation and now predecessor of the Company, consummated the Business Combination, pursuant to the Merger Agreement, by and among BCTG, BCTG Merger Sub Inc., a Delaware corporation ("BCTG Merger Sub"), and Old Tango. Prior to consummation of the Business Combination, Old Tango changed its name from “Tango Therapeutics, Inc.” to “Tango Therapeutics Sub, Inc.” and in connection with the Business Combination, BCTG changed its name to “Tango Therapeutics, Inc.” (the former name of Old Tango). Pursuant to the Merger Agreement, on the Closing Date, BCTG Merger Sub merged with and into Old Tango, or the Merger, with Old Tango surviving the Merger as a wholly-owned subsidiary of BCTG, and BCTG changed its name to “Tango Therapeutics, Inc.”, or New Tango.</w:t>
      </w:r>
    </w:p>
    <w:p>
      <w:pPr>
        <w:spacing w:after="0" w:line="195"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Pursuant to the terms and conditions of the Merger Agreement, the aggregate consideration paid to Old Tango equity holders upon the closing of the Merger was 55,000,000 shares of New Tango common stock. Subsequent to the closing of the Business Combination, New Tango entered into subscription agreements with certain investors ("PIPE Investors") pursuant to which the PIPE Investors purchased 18,610,000 shares of New Tango common stock at $10.00 per share, for aggregate gross proceeds of $186.1 million, under the PIPE Financing.</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elements of the net proceeds from the Business Combination and PIPE Financing transaction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7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Recapitalization</w:t>
            </w: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BCTG's Trust Account and cash (net of redemptions)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156,013</w:t>
            </w: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Cash - PIPE Financing</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186,100</w:t>
            </w: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transaction costs and advisory fees paid</w:t>
            </w:r>
          </w:p>
        </w:tc>
        <w:tc>
          <w:tcPr>
            <w:tcW w:w="3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(15,844 )</w:t>
            </w:r>
          </w:p>
        </w:tc>
      </w:tr>
      <w:tr>
        <w:trPr>
          <w:trHeight w:val="210"/>
        </w:trPr>
        <w:tc>
          <w:tcPr>
            <w:tcW w:w="79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proceeds from the Business Combination and PIPE Financing</w:t>
            </w:r>
          </w:p>
        </w:tc>
        <w:tc>
          <w:tcPr>
            <w:tcW w:w="3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326,269</w:t>
            </w:r>
          </w:p>
        </w:tc>
        <w:tc>
          <w:tcPr>
            <w:tcW w:w="100" w:type="dxa"/>
            <w:vAlign w:val="bottom"/>
            <w:tcBorders>
              <w:top w:val="single" w:sz="8" w:color="CCEEFF"/>
            </w:tcBorders>
          </w:tcPr>
          <w:p>
            <w:pPr>
              <w:spacing w:after="0"/>
              <w:rPr>
                <w:sz w:val="18"/>
                <w:szCs w:val="18"/>
                <w:color w:val="auto"/>
              </w:rPr>
            </w:pPr>
          </w:p>
        </w:tc>
      </w:tr>
      <w:tr>
        <w:trPr>
          <w:trHeight w:val="216"/>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non-cash net assets assumed from BCTG</w:t>
            </w:r>
          </w:p>
        </w:tc>
        <w:tc>
          <w:tcPr>
            <w:tcW w:w="3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Net contributions from Business Combination and PIPE Financing</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326,272</w:t>
            </w:r>
          </w:p>
        </w:tc>
        <w:tc>
          <w:tcPr>
            <w:tcW w:w="10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-454025</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outstanding immediately following the consummation of the Business Combination and PIPE Financing transaction:</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8520" w:type="dxa"/>
            <w:vAlign w:val="bottom"/>
          </w:tcPr>
          <w:p>
            <w:pPr>
              <w:spacing w:after="0"/>
              <w:rPr>
                <w:sz w:val="16"/>
                <w:szCs w:val="16"/>
                <w:color w:val="auto"/>
              </w:rPr>
            </w:pPr>
          </w:p>
        </w:tc>
        <w:tc>
          <w:tcPr>
            <w:tcW w:w="2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0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BCTG common shares outstanding prior to the Business Combination</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21,377,250</w:t>
            </w:r>
          </w:p>
        </w:tc>
        <w:tc>
          <w:tcPr>
            <w:tcW w:w="100" w:type="dxa"/>
            <w:vAlign w:val="bottom"/>
            <w:shd w:val="clear" w:color="auto" w:fill="CCEEFF"/>
          </w:tcPr>
          <w:p>
            <w:pPr>
              <w:spacing w:after="0"/>
              <w:rPr>
                <w:sz w:val="18"/>
                <w:szCs w:val="18"/>
                <w:color w:val="auto"/>
              </w:rPr>
            </w:pPr>
          </w:p>
        </w:tc>
      </w:tr>
      <w:tr>
        <w:trPr>
          <w:trHeight w:val="216"/>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redemption of BCTG shares</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(1,106,814 )</w:t>
            </w:r>
          </w:p>
        </w:tc>
      </w:tr>
      <w:tr>
        <w:trPr>
          <w:trHeight w:val="20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of BCTG outstanding as of the Business Combination</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20,270,436</w:t>
            </w:r>
          </w:p>
        </w:tc>
        <w:tc>
          <w:tcPr>
            <w:tcW w:w="100" w:type="dxa"/>
            <w:vAlign w:val="bottom"/>
            <w:shd w:val="clear" w:color="auto" w:fill="CCEEFF"/>
          </w:tcPr>
          <w:p>
            <w:pPr>
              <w:spacing w:after="0"/>
              <w:rPr>
                <w:sz w:val="18"/>
                <w:szCs w:val="18"/>
                <w:color w:val="auto"/>
              </w:rPr>
            </w:pPr>
          </w:p>
        </w:tc>
      </w:tr>
      <w:tr>
        <w:trPr>
          <w:trHeight w:val="216"/>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pursuant to the PIPE Financing</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18,610,000</w:t>
            </w:r>
          </w:p>
        </w:tc>
        <w:tc>
          <w:tcPr>
            <w:tcW w:w="100" w:type="dxa"/>
            <w:vAlign w:val="bottom"/>
          </w:tcPr>
          <w:p>
            <w:pPr>
              <w:spacing w:after="0"/>
              <w:rPr>
                <w:sz w:val="18"/>
                <w:szCs w:val="18"/>
                <w:color w:val="auto"/>
              </w:rPr>
            </w:pPr>
          </w:p>
        </w:tc>
      </w:tr>
      <w:tr>
        <w:trPr>
          <w:trHeight w:val="21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Combination and PIPE Financing shares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38,880,436</w:t>
            </w:r>
          </w:p>
        </w:tc>
        <w:tc>
          <w:tcPr>
            <w:tcW w:w="100" w:type="dxa"/>
            <w:vAlign w:val="bottom"/>
            <w:shd w:val="clear" w:color="auto" w:fill="CCEEFF"/>
          </w:tcPr>
          <w:p>
            <w:pPr>
              <w:spacing w:after="0"/>
              <w:rPr>
                <w:sz w:val="18"/>
                <w:szCs w:val="18"/>
                <w:color w:val="auto"/>
              </w:rPr>
            </w:pPr>
          </w:p>
        </w:tc>
      </w:tr>
      <w:tr>
        <w:trPr>
          <w:trHeight w:val="216"/>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Old Tango common shares (after preferred shares were converted 1-for-1 for common shares)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48,593,803</w:t>
            </w:r>
          </w:p>
        </w:tc>
        <w:tc>
          <w:tcPr>
            <w:tcW w:w="100" w:type="dxa"/>
            <w:vAlign w:val="bottom"/>
          </w:tcPr>
          <w:p>
            <w:pPr>
              <w:spacing w:after="0"/>
              <w:rPr>
                <w:sz w:val="18"/>
                <w:szCs w:val="18"/>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immediately after Business Combination consummation</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87,474,239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merger consideration of 55,000,000 shares of New Tango common stock issued to Old Tango equity holders consists of 48,593,803 shares issued in exchange for Old Tango common and preferred shares outstanding, included in the table above, as well as 6,406,197 shares issued in exchange for the Old Tango unvested restricted stock awards and unexercised stock options outstanding immediately prior to the effective time of the Business Combination.</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Retroactive Application of Recapitalization</w:t>
      </w:r>
    </w:p>
    <w:p>
      <w:pPr>
        <w:spacing w:after="0" w:line="216"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As discussed above, the Business Combination with BCTG, which was consummated on August 10, 2021, is accounted for as a reverse recapitalization of equity structure. Under the reverse recapitalization model, the Business Combination was treated as Old Tango issuing equity for the net assets of BCTG, with no goodwill or intangible assets recorded. Under this method of accounting, BCTG was treated as the “acquired” company for financial reporting purposes. This determination was primarily based on the fact that subsequent to the Business Combination, Old Tango’s stockholders possess a majority of the voting power of the combined company, the combined company comprises all of the ongoing operations of Old Tango, the combined company comprises a majority of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governing body of Old Tango, and the combined company’s senior management comprises all of the senior management of Old Tango.</w:t>
      </w:r>
    </w:p>
    <w:p>
      <w:pPr>
        <w:spacing w:after="0" w:line="225" w:lineRule="exact"/>
        <w:rPr>
          <w:sz w:val="20"/>
          <w:szCs w:val="20"/>
          <w:color w:val="auto"/>
        </w:rPr>
      </w:pPr>
    </w:p>
    <w:p>
      <w:pPr>
        <w:ind w:right="780" w:firstLine="509"/>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contain recasted stockholders' equity balances resulting from the retroactive application of reverse recapitalization accounting in accordance with U.S. GAAP.</w:t>
      </w:r>
    </w:p>
    <w:p>
      <w:pPr>
        <w:spacing w:after="0" w:line="16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Pursuant to the terms of the Merger Agreement, upon the closing of the Business Combination on August 10, 2021 (the “Effective Time”), each share of Old Tango’s redeemable convertible preferred stock (the “Preferred Stock”) issued and outstanding immediately prior to the Effective Time was converted into a share of the Company’s common stock using the exchange ratio of 0.34.</w:t>
      </w:r>
    </w:p>
    <w:p>
      <w:pPr>
        <w:spacing w:after="0" w:line="169"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All common shares, as well as previously issued share options and restricted stock awards (“RSAs”), presented in the accompanying unaudited recasted condensed consolidated statements of redeemable convertible preferred stock and stockholders' equity and/or in the related notes are presented on an as-converted basis, converted at the ratio of 0.34. The basic and diluted weighted-average shares of common stock outstanding for the three month period ended March 31, 2021 has been retroactively converted using the exchange ratio of 0.34. The historical proceeds from the issuance of preferred stock, less the par value of the historical preferred shares that were converted into common shares using the 0.34 ratio at the Effective Time, have been reclassified to additional paid in capital for the three month period ended March 31, 2021.</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to</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8/10/2021 Merger</w:t>
            </w: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3"/>
                <w:szCs w:val="13"/>
                <w:color w:val="auto"/>
              </w:rPr>
            </w:pPr>
          </w:p>
        </w:tc>
        <w:tc>
          <w:tcPr>
            <w:tcW w:w="218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3"/>
                <w:szCs w:val="13"/>
                <w:color w:val="auto"/>
              </w:rPr>
            </w:pPr>
          </w:p>
        </w:tc>
        <w:tc>
          <w:tcPr>
            <w:tcW w:w="1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80" w:type="dxa"/>
            <w:vAlign w:val="bottom"/>
          </w:tcPr>
          <w:p>
            <w:pPr>
              <w:spacing w:after="0"/>
              <w:rPr>
                <w:sz w:val="13"/>
                <w:szCs w:val="13"/>
                <w:color w:val="auto"/>
              </w:rPr>
            </w:pPr>
          </w:p>
        </w:tc>
        <w:tc>
          <w:tcPr>
            <w:tcW w:w="13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Common Exchange</w:t>
            </w:r>
          </w:p>
        </w:tc>
        <w:tc>
          <w:tcPr>
            <w:tcW w:w="1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Recapitalization</w:t>
            </w:r>
          </w:p>
        </w:tc>
        <w:tc>
          <w:tcPr>
            <w:tcW w:w="160" w:type="dxa"/>
            <w:vAlign w:val="bottom"/>
          </w:tcPr>
          <w:p>
            <w:pPr>
              <w:spacing w:after="0"/>
              <w:rPr>
                <w:sz w:val="13"/>
                <w:szCs w:val="13"/>
                <w:color w:val="auto"/>
              </w:rPr>
            </w:pPr>
          </w:p>
        </w:tc>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Recapitalization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8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Exchange Ratio</w:t>
            </w:r>
          </w:p>
        </w:tc>
        <w:tc>
          <w:tcPr>
            <w:tcW w:w="16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3/18/2021</w:t>
            </w:r>
          </w:p>
        </w:tc>
        <w:tc>
          <w:tcPr>
            <w:tcW w:w="120" w:type="dxa"/>
            <w:vAlign w:val="bottom"/>
            <w:shd w:val="clear" w:color="auto" w:fill="CFF0FC"/>
          </w:tcPr>
          <w:p>
            <w:pPr>
              <w:spacing w:after="0"/>
              <w:rPr>
                <w:sz w:val="14"/>
                <w:szCs w:val="14"/>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B (tranche 2)</w:t>
            </w:r>
          </w:p>
        </w:tc>
        <w:tc>
          <w:tcPr>
            <w:tcW w:w="12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22,686,025</w:t>
            </w: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22,686,025</w:t>
            </w:r>
          </w:p>
        </w:tc>
        <w:tc>
          <w:tcPr>
            <w:tcW w:w="16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7,706,861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weighted-average common shares, basic and diluted, for the three months ended March 31, 2021:</w:t>
      </w:r>
    </w:p>
    <w:p>
      <w:pPr>
        <w:spacing w:after="0" w:line="21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60" w:type="dxa"/>
            <w:vAlign w:val="bottom"/>
          </w:tcPr>
          <w:p>
            <w:pPr>
              <w:spacing w:after="0"/>
              <w:rPr>
                <w:sz w:val="12"/>
                <w:szCs w:val="12"/>
                <w:color w:val="auto"/>
              </w:rPr>
            </w:pPr>
          </w:p>
        </w:tc>
        <w:tc>
          <w:tcPr>
            <w:tcW w:w="12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8/10/2021 Merger</w:t>
            </w:r>
          </w:p>
        </w:tc>
        <w:tc>
          <w:tcPr>
            <w:tcW w:w="160" w:type="dxa"/>
            <w:vAlign w:val="bottom"/>
          </w:tcPr>
          <w:p>
            <w:pPr>
              <w:spacing w:after="0"/>
              <w:rPr>
                <w:sz w:val="12"/>
                <w:szCs w:val="12"/>
                <w:color w:val="auto"/>
              </w:rPr>
            </w:pPr>
          </w:p>
        </w:tc>
        <w:tc>
          <w:tcPr>
            <w:tcW w:w="120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Recapitalized</w:t>
            </w:r>
          </w:p>
        </w:tc>
        <w:tc>
          <w:tcPr>
            <w:tcW w:w="1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Days Outstanding</w:t>
            </w: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common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2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22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60" w:type="dxa"/>
            <w:vAlign w:val="bottom"/>
          </w:tcPr>
          <w:p>
            <w:pPr>
              <w:spacing w:after="0"/>
              <w:rPr>
                <w:sz w:val="16"/>
                <w:szCs w:val="16"/>
                <w:color w:val="auto"/>
              </w:rPr>
            </w:pPr>
          </w:p>
        </w:tc>
        <w:tc>
          <w:tcPr>
            <w:tcW w:w="1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Exchange Ratio</w:t>
            </w:r>
          </w:p>
        </w:tc>
        <w:tc>
          <w:tcPr>
            <w:tcW w:w="160" w:type="dxa"/>
            <w:vAlign w:val="bottom"/>
          </w:tcPr>
          <w:p>
            <w:pPr>
              <w:spacing w:after="0"/>
              <w:rPr>
                <w:sz w:val="16"/>
                <w:szCs w:val="16"/>
                <w:color w:val="auto"/>
              </w:rPr>
            </w:pPr>
          </w:p>
        </w:tc>
        <w:tc>
          <w:tcPr>
            <w:tcW w:w="12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2021</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3/31/2021</w:t>
            </w:r>
          </w:p>
        </w:tc>
        <w:tc>
          <w:tcPr>
            <w:tcW w:w="12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4"/>
                <w:szCs w:val="14"/>
                <w:color w:val="auto"/>
              </w:rPr>
              <w:t>Weighted-average shares,</w:t>
            </w:r>
          </w:p>
        </w:tc>
        <w:tc>
          <w:tcPr>
            <w:tcW w:w="1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13,731,583</w:t>
            </w:r>
          </w:p>
        </w:tc>
        <w:tc>
          <w:tcPr>
            <w:tcW w:w="13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3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4,643,802</w:t>
            </w:r>
          </w:p>
        </w:tc>
        <w:tc>
          <w:tcPr>
            <w:tcW w:w="1340" w:type="dxa"/>
            <w:vAlign w:val="bottom"/>
            <w:gridSpan w:val="2"/>
            <w:vMerge w:val="restart"/>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w w:val="99"/>
              </w:rPr>
              <w:t>89</w:t>
            </w:r>
          </w:p>
        </w:tc>
        <w:tc>
          <w:tcPr>
            <w:tcW w:w="940" w:type="dxa"/>
            <w:vAlign w:val="bottom"/>
            <w:gridSpan w:val="2"/>
            <w:vMerge w:val="restart"/>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100%</w:t>
            </w:r>
          </w:p>
        </w:tc>
        <w:tc>
          <w:tcPr>
            <w:tcW w:w="1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4,643,802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basic and diluted</w:t>
            </w:r>
          </w:p>
        </w:tc>
        <w:tc>
          <w:tcPr>
            <w:tcW w:w="1160" w:type="dxa"/>
            <w:vAlign w:val="bottom"/>
            <w:gridSpan w:val="2"/>
            <w:vMerge w:val="continue"/>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1360" w:type="dxa"/>
            <w:vAlign w:val="bottom"/>
            <w:gridSpan w:val="2"/>
            <w:vMerge w:val="continue"/>
            <w:shd w:val="clear" w:color="auto" w:fill="CFF0FC"/>
          </w:tcPr>
          <w:p>
            <w:pPr>
              <w:spacing w:after="0"/>
              <w:rPr>
                <w:sz w:val="14"/>
                <w:szCs w:val="14"/>
                <w:color w:val="auto"/>
              </w:rPr>
            </w:pPr>
          </w:p>
        </w:tc>
        <w:tc>
          <w:tcPr>
            <w:tcW w:w="1340" w:type="dxa"/>
            <w:vAlign w:val="bottom"/>
            <w:gridSpan w:val="2"/>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12/31/2019</w:t>
            </w:r>
          </w:p>
        </w:tc>
        <w:tc>
          <w:tcPr>
            <w:tcW w:w="12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Series A shares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55,700,000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18,922,317</w:t>
            </w:r>
          </w:p>
        </w:tc>
        <w:tc>
          <w:tcPr>
            <w:tcW w:w="13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89</w:t>
            </w:r>
          </w:p>
        </w:tc>
        <w:tc>
          <w:tcPr>
            <w:tcW w:w="9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18,922,317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4/7/2020</w:t>
            </w:r>
          </w:p>
        </w:tc>
        <w:tc>
          <w:tcPr>
            <w:tcW w:w="120" w:type="dxa"/>
            <w:vAlign w:val="bottom"/>
            <w:shd w:val="clear" w:color="auto" w:fill="CFF0FC"/>
          </w:tcPr>
          <w:p>
            <w:pPr>
              <w:spacing w:after="0"/>
              <w:rPr>
                <w:sz w:val="15"/>
                <w:szCs w:val="15"/>
                <w:color w:val="auto"/>
              </w:rPr>
            </w:pPr>
          </w:p>
        </w:tc>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B shares</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22,686,025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7,706,443</w:t>
            </w:r>
          </w:p>
        </w:tc>
        <w:tc>
          <w:tcPr>
            <w:tcW w:w="134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w w:val="99"/>
              </w:rPr>
              <w:t>89</w:t>
            </w:r>
          </w:p>
        </w:tc>
        <w:tc>
          <w:tcPr>
            <w:tcW w:w="940" w:type="dxa"/>
            <w:vAlign w:val="bottom"/>
            <w:gridSpan w:val="2"/>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100%</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7,706,443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8/17/2020</w:t>
            </w:r>
          </w:p>
        </w:tc>
        <w:tc>
          <w:tcPr>
            <w:tcW w:w="12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Series B-1 shares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27,152,255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9,223,621</w:t>
            </w:r>
          </w:p>
        </w:tc>
        <w:tc>
          <w:tcPr>
            <w:tcW w:w="13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89</w:t>
            </w:r>
          </w:p>
        </w:tc>
        <w:tc>
          <w:tcPr>
            <w:tcW w:w="9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9,223,621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3/18/2021</w:t>
            </w:r>
          </w:p>
        </w:tc>
        <w:tc>
          <w:tcPr>
            <w:tcW w:w="120" w:type="dxa"/>
            <w:vAlign w:val="bottom"/>
            <w:tcBorders>
              <w:bottom w:val="single" w:sz="8" w:color="CFF0FC"/>
            </w:tcBorders>
            <w:shd w:val="clear" w:color="auto" w:fill="CFF0FC"/>
          </w:tcPr>
          <w:p>
            <w:pPr>
              <w:spacing w:after="0"/>
              <w:rPr>
                <w:sz w:val="15"/>
                <w:szCs w:val="15"/>
                <w:color w:val="auto"/>
              </w:rPr>
            </w:pPr>
          </w:p>
        </w:tc>
        <w:tc>
          <w:tcPr>
            <w:tcW w:w="2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B shares (tranche 2)</w:t>
            </w:r>
          </w:p>
        </w:tc>
        <w:tc>
          <w:tcPr>
            <w:tcW w:w="11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22,686,025</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7,706,861</w:t>
            </w:r>
          </w:p>
        </w:tc>
        <w:tc>
          <w:tcPr>
            <w:tcW w:w="1340" w:type="dxa"/>
            <w:vAlign w:val="bottom"/>
            <w:tcBorders>
              <w:bottom w:val="single" w:sz="8" w:color="CFF0FC"/>
            </w:tcBorders>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w w:val="99"/>
              </w:rPr>
              <w:t>13</w:t>
            </w:r>
          </w:p>
        </w:tc>
        <w:tc>
          <w:tcPr>
            <w:tcW w:w="940" w:type="dxa"/>
            <w:vAlign w:val="bottom"/>
            <w:tcBorders>
              <w:bottom w:val="single" w:sz="8" w:color="CFF0FC"/>
            </w:tcBorders>
            <w:gridSpan w:val="2"/>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1,078,960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40" w:type="dxa"/>
            <w:vAlign w:val="bottom"/>
            <w:gridSpan w:val="11"/>
          </w:tcPr>
          <w:p>
            <w:pPr>
              <w:ind w:left="1460"/>
              <w:spacing w:after="0" w:line="155" w:lineRule="exact"/>
              <w:rPr>
                <w:sz w:val="20"/>
                <w:szCs w:val="20"/>
                <w:color w:val="auto"/>
              </w:rPr>
            </w:pPr>
            <w:r>
              <w:rPr>
                <w:rFonts w:ascii="Times New Roman" w:cs="Times New Roman" w:eastAsia="Times New Roman" w:hAnsi="Times New Roman"/>
                <w:sz w:val="14"/>
                <w:szCs w:val="14"/>
                <w:color w:val="auto"/>
              </w:rPr>
              <w:t>Weighted average number of common shares outstanding – basic and diluted for the three months ended March 31, 2021</w:t>
            </w:r>
          </w:p>
        </w:tc>
        <w:tc>
          <w:tcPr>
            <w:tcW w:w="12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41,575,143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7034530</wp:posOffset>
            </wp:positionH>
            <wp:positionV relativeFrom="paragraph">
              <wp:posOffset>-145415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ind w:left="520" w:right="8680" w:hanging="512"/>
        <w:spacing w:after="0" w:line="516" w:lineRule="auto"/>
        <w:tabs>
          <w:tab w:leader="none" w:pos="5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Collaboration Agreements </w:t>
      </w:r>
      <w:r>
        <w:rPr>
          <w:rFonts w:ascii="Times New Roman" w:cs="Times New Roman" w:eastAsia="Times New Roman" w:hAnsi="Times New Roman"/>
          <w:sz w:val="17"/>
          <w:szCs w:val="17"/>
          <w:b w:val="1"/>
          <w:bCs w:val="1"/>
          <w:i w:val="1"/>
          <w:iCs w:val="1"/>
          <w:color w:val="auto"/>
        </w:rPr>
        <w:t>2018 Gilead Agreement</w:t>
      </w: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 October 2018, the Company entered into a Research Collaboration and License Agreement (the “2018 Gilead Agreement”) with Gilead Sciences, Inc. (“Gilead”). Pursuant to the 2018 Gilead Agreement, the Company performed target discovery and validation activities in accordance with an agreed-upon multi-year research plan. During the initial three-year research term, Gilead had the option to obtain exclusive, worldwide licenses to develop and commercialize up to five validated programs (“Gilead Program License”).</w:t>
      </w:r>
    </w:p>
    <w:p>
      <w:pPr>
        <w:spacing w:after="0" w:line="19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2018, Gilead paid the Company a $50.0 million non-refundable upfront payment upon the execution of the 2018 Gilead Agreement. The Company was eligible to receive milestone payments of up to $1.7 billion across all programs and royalties on future sales of commercialized products, if any. For up to two programs licensed by Gilead, the Company had the option to co-develop and co-promote certain programs licensed by Gilead in the U.S. and was eligible to receive royalties on ex-U.S. sales.</w:t>
      </w:r>
    </w:p>
    <w:p>
      <w:pPr>
        <w:spacing w:after="0" w:line="175" w:lineRule="exact"/>
        <w:rPr>
          <w:sz w:val="20"/>
          <w:szCs w:val="20"/>
          <w:color w:val="auto"/>
        </w:rPr>
      </w:pPr>
    </w:p>
    <w:p>
      <w:pPr>
        <w:ind w:right="160" w:firstLine="509"/>
        <w:spacing w:after="0" w:line="245" w:lineRule="auto"/>
        <w:rPr>
          <w:sz w:val="20"/>
          <w:szCs w:val="20"/>
          <w:color w:val="auto"/>
        </w:rPr>
      </w:pPr>
      <w:r>
        <w:rPr>
          <w:rFonts w:ascii="Times New Roman" w:cs="Times New Roman" w:eastAsia="Times New Roman" w:hAnsi="Times New Roman"/>
          <w:sz w:val="18"/>
          <w:szCs w:val="18"/>
          <w:color w:val="auto"/>
        </w:rPr>
        <w:t xml:space="preserve">The Company assessed this arrangement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concluded that the contract counterparty, Gilead, was a customer. The Company identified a single performance obligation under the arrangement consisting of the combination of participating on the joint steering committee and the research and development services provided during the research term. The identified promises were determined to not be individually distinct due to the specialized nature of the early-stage research services to be provided by the Company and the interdependent relationship between the promises. The Company determined that the option for Gilead to extend the term of the arrangement was not priced at a discount, and therefore did not provide Gilead with a material right. This option will be excluded from the transaction price until exercised. At the inception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of the 2018 Gilead Agreement, the Company also determined that the Gilead program license options provided to Gilead did not include a material right.</w:t>
      </w:r>
    </w:p>
    <w:p>
      <w:pPr>
        <w:spacing w:after="0" w:line="22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total transaction price, subject to variable consideration constraints, was allocated to the combined single performance obligation. The Company determined that the single combined performance obligation is satisfied over time as the customer is simultaneously receiving and consuming the benefit of the Company’s performance. The future milestone payments represent variable consideration that is fully constrained at inception of the arrangement as the achievement of the milestone events are highly uncertain.</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Amended Gilead Agreement</w:t>
      </w:r>
    </w:p>
    <w:p>
      <w:pPr>
        <w:spacing w:after="0" w:line="216"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In August 2020, Gilead made an equity investment of $20.0 million into the Company as a participant in the Company’s Series B-1 preferred stock offering. At the time of the original investment, as well as of the March 31, 2022 balance sheet date, Gilead maintains an ownership of less than 10% of the Company's common stock and is thus not considered to be a related party to the Company.</w:t>
      </w:r>
    </w:p>
    <w:p>
      <w:pPr>
        <w:spacing w:after="0" w:line="16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August 2020, the Company and Gilead also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61" w:lineRule="exact"/>
        <w:rPr>
          <w:sz w:val="20"/>
          <w:szCs w:val="20"/>
          <w:color w:val="auto"/>
        </w:rPr>
      </w:pPr>
    </w:p>
    <w:p>
      <w:pPr>
        <w:ind w:left="1020" w:right="38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upfront, non-refundable consideration of $125.0 million from Gilead upon execution of the Gilead Agreement in 2020;</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2018 Gilead Agreement ended on the date the Gilead Agreement was executed. The Gilead Agreement has a research term of seven years;</w:t>
      </w:r>
    </w:p>
    <w:p>
      <w:pPr>
        <w:spacing w:after="0" w:line="54"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expanded its option to license up to 15 programs for which Gilead may obtain exclusive, worldwide licenses to develop and commercialize therapies, subject to applicable license fees;</w:t>
      </w:r>
    </w:p>
    <w:p>
      <w:pPr>
        <w:spacing w:after="0" w:line="40"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exercising its option to license a program, Gilead may “extend” such program, in which case Gilead will pay research extension fees and the Company will continue to collaborate with Gilead to discover and develop programs, potentially through early clinical development;</w:t>
      </w:r>
    </w:p>
    <w:p>
      <w:pPr>
        <w:spacing w:after="0" w:line="67"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has the option to “reserve” a target during which Gilead may: (i) license the target, (ii) “extend” the target, or (iii) decline the target, during the designated reserve target period. If, during the reserve target period Tango elects to work on the reserved target, Tango will retain full rights to the target program and Gilead receives a right of first negotiation in connection with any future partnering or licensing of such target by Tango, if any; and</w:t>
      </w:r>
    </w:p>
    <w:p>
      <w:pPr>
        <w:spacing w:after="0" w:line="69"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62"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 is eligible to receive up to $410.0 million per program in license, research extension, and clinical, regulatory, and commercial milestones and royalties on future sales of commercialized products, if any.</w:t>
      </w:r>
    </w:p>
    <w:p>
      <w:pPr>
        <w:spacing w:after="0" w:line="148"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The Gilead Agreement was accounted for as a modification of the 2018 Gilead Agreement under ASC 606 as both the scope and price of the contract were changed under the Gilead Agreement. The additional goods and services to be provided under the Gilead Agreement are not distinct from the combined performance obligation identified under the 2018 Gilead Agreement which was only partially satisfied at the date of contract modification. As such, the Company identified a single combined performance obligation under the Gilead Agreement consisting of the research services and continued participation on the joint steering committee during the research term. As a result, the Company’s progress towards completing its research services to Gilead over the seven-year term of the Amended Gilead Agreement was lower than its progress under the three-year term of the 2018 Gilead Agreement and a cumulative catch-up adjustment was recorded during the third quarter of 2020 resulting in a charge of $11.3 million against revenue previously recognized through the date of the Gilead Agreement.</w:t>
      </w:r>
    </w:p>
    <w:p>
      <w:pPr>
        <w:spacing w:after="0" w:line="200"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In December 2020 and in September 2021, Gilead elected to extend two programs for a research extension fee of $12.0 million each. The Company determined that the additional goods and services relating to the continued research services were not distinct from the early-stage research services already promised to Gilead under the on-going research plan. Consideration pertaining to each of the research extensions is paid to the Company in equal quarterly installment payments over an agreed upon payment schedule. Although future research installment payments are not payable in the event of scientific failure, the Company determined that the variable consideration of $12.0 million for each of the extensions should not be constrained as the potential for a significant reversal of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 w:name="page15"/>
    <w:bookmarkEnd w:id="14"/>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cumulative revenue recognized at the contract level is remote, and therefore the research extension consideration was added to the transaction price under the Gilead Agreement.</w:t>
      </w:r>
    </w:p>
    <w:p>
      <w:pPr>
        <w:spacing w:after="0" w:line="148"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In April 2021, Gilead licensed a program for an $11.0 million license fee. The $11.0 million license fee was received and recognized as revenue in the second quarter of 2021 since Tango has no continued involvement in the advancement of the program, Gilead can benefit from the license on its own and the license is separately identifiable from the research services.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Gilead Revenue Recognized</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transaction price allocated to the combined performance obligation under the Gilead Agreement was $199.0 million at March 31, 2022.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transaction price was comprised of the $50.0 million upfront payment pursuant to the 2018 Gilead Agreement, the $125.0 million upfront</w:t>
      </w:r>
    </w:p>
    <w:p>
      <w:pPr>
        <w:spacing w:after="0" w:line="234" w:lineRule="auto"/>
        <w:rPr>
          <w:sz w:val="20"/>
          <w:szCs w:val="20"/>
          <w:color w:val="auto"/>
        </w:rPr>
      </w:pPr>
      <w:r>
        <w:rPr>
          <w:rFonts w:ascii="Times New Roman" w:cs="Times New Roman" w:eastAsia="Times New Roman" w:hAnsi="Times New Roman"/>
          <w:sz w:val="18"/>
          <w:szCs w:val="18"/>
          <w:color w:val="auto"/>
        </w:rPr>
        <w:t>payment pursuant to the Gilead Agreement, the $12.0 million payment pursuant to the research extension fee in December 2020, and the $12.0 million</w:t>
      </w:r>
    </w:p>
    <w:p>
      <w:pPr>
        <w:spacing w:after="0" w:line="235" w:lineRule="auto"/>
        <w:rPr>
          <w:sz w:val="20"/>
          <w:szCs w:val="20"/>
          <w:color w:val="auto"/>
        </w:rPr>
      </w:pPr>
      <w:r>
        <w:rPr>
          <w:rFonts w:ascii="Times New Roman" w:cs="Times New Roman" w:eastAsia="Times New Roman" w:hAnsi="Times New Roman"/>
          <w:sz w:val="18"/>
          <w:szCs w:val="18"/>
          <w:color w:val="auto"/>
        </w:rPr>
        <w:t>payment pursuant to the research extension fee in September 2021. During the three months ended March 31, 2022 and 2021, the Company recognized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 million and $6.4 million, respectively, of collaboration revenue associated with the Gilead Agreements based on performance completed during each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193"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March 31, 2022 and December 31, 2021, the Company had short-term deferred revenue of $25.0 million and $26.0 million, respectively, and long-term deferred revenue of $112.0 million and $114.7 million, respectively, related to the Gilead collaboration. The remaining long-term revenue is expected to be recognized proportionally to the completed obligations over an expected remaining contractual term of approximately 5.4 years.</w:t>
      </w:r>
    </w:p>
    <w:p>
      <w:pPr>
        <w:spacing w:after="0" w:line="180" w:lineRule="exact"/>
        <w:rPr>
          <w:sz w:val="20"/>
          <w:szCs w:val="20"/>
          <w:color w:val="auto"/>
        </w:rPr>
      </w:pPr>
    </w:p>
    <w:p>
      <w:pPr>
        <w:ind w:right="220" w:firstLine="509"/>
        <w:spacing w:after="0" w:line="246" w:lineRule="auto"/>
        <w:rPr>
          <w:sz w:val="20"/>
          <w:szCs w:val="20"/>
          <w:color w:val="auto"/>
        </w:rPr>
      </w:pPr>
      <w:r>
        <w:rPr>
          <w:rFonts w:ascii="Times New Roman" w:cs="Times New Roman" w:eastAsia="Times New Roman" w:hAnsi="Times New Roman"/>
          <w:sz w:val="18"/>
          <w:szCs w:val="18"/>
          <w:color w:val="auto"/>
        </w:rPr>
        <w:t>Amounts due to the Company that have not yet been received are recorded as accounts receivable and amounts received that have not yet been recognized as revenue are recorded as deferred revenue on the Company’s unaudited condensed consolidated balance sheets. As of March 31, 2022, $4.0 million of the ongoing research extension fee total of $12.0 million had been received, $2.0 million had been recorded as accounts receivable and the remaining $6.0 million was determined to be conditional upon the satisfaction of additional research obligations, and thus a contract asset. The contract asset balance is presented net of the deferred revenue contract liability.</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Costs incurred pursuant to the Gilead Agreements are recorded as research and development expense.</w:t>
      </w:r>
    </w:p>
    <w:p>
      <w:pPr>
        <w:spacing w:after="0" w:line="208"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1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4"/>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87"/>
        </w:trPr>
        <w:tc>
          <w:tcPr>
            <w:tcW w:w="5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r>
      <w:tr>
        <w:trPr>
          <w:trHeight w:val="209"/>
        </w:trPr>
        <w:tc>
          <w:tcPr>
            <w:tcW w:w="58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38,797</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38,797</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290,201</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290,201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59,775</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59,775</w:t>
            </w: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3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13,861</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388,773</w:t>
            </w:r>
          </w:p>
        </w:tc>
        <w:tc>
          <w:tcPr>
            <w:tcW w:w="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402,634</w:t>
            </w:r>
          </w:p>
        </w:tc>
        <w:tc>
          <w:tcPr>
            <w:tcW w:w="560" w:type="dxa"/>
            <w:vAlign w:val="bottom"/>
          </w:tcPr>
          <w:p>
            <w:pPr>
              <w:spacing w:after="0"/>
              <w:rPr>
                <w:sz w:val="21"/>
                <w:szCs w:val="21"/>
                <w:color w:val="auto"/>
              </w:rPr>
            </w:pPr>
          </w:p>
        </w:tc>
      </w:tr>
      <w:tr>
        <w:trPr>
          <w:trHeight w:val="615"/>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7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-504825</wp:posOffset>
            </wp:positionV>
            <wp:extent cx="431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-487680</wp:posOffset>
            </wp:positionV>
            <wp:extent cx="431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-504825</wp:posOffset>
            </wp:positionV>
            <wp:extent cx="431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-487680</wp:posOffset>
            </wp:positionV>
            <wp:extent cx="431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-504825</wp:posOffset>
            </wp:positionV>
            <wp:extent cx="342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-487680</wp:posOffset>
            </wp:positionV>
            <wp:extent cx="342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-504825</wp:posOffset>
            </wp:positionV>
            <wp:extent cx="342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-487680</wp:posOffset>
            </wp:positionV>
            <wp:extent cx="342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 w:name="page16"/>
    <w:bookmarkEnd w:id="15"/>
    <w:tbl>
      <w:tblPr>
        <w:tblLayout w:type="fixed"/>
        <w:tblInd w:w="58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4"/>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5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4"/>
                <w:szCs w:val="14"/>
                <w:color w:val="auto"/>
              </w:rPr>
            </w:pPr>
          </w:p>
        </w:tc>
      </w:tr>
      <w:tr>
        <w:trPr>
          <w:trHeight w:val="169"/>
        </w:trPr>
        <w:tc>
          <w:tcPr>
            <w:tcW w:w="5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62,244</w:t>
            </w:r>
          </w:p>
        </w:tc>
        <w:tc>
          <w:tcPr>
            <w:tcW w:w="60" w:type="dxa"/>
            <w:vAlign w:val="bottom"/>
          </w:tcPr>
          <w:p>
            <w:pPr>
              <w:spacing w:after="0"/>
              <w:rPr>
                <w:sz w:val="18"/>
                <w:szCs w:val="18"/>
                <w:color w:val="auto"/>
              </w:rPr>
            </w:pPr>
          </w:p>
        </w:tc>
      </w:tr>
      <w:tr>
        <w:trPr>
          <w:trHeight w:val="216"/>
        </w:trPr>
        <w:tc>
          <w:tcPr>
            <w:tcW w:w="5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38,433</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38,433</w:t>
            </w:r>
          </w:p>
        </w:tc>
        <w:tc>
          <w:tcPr>
            <w:tcW w:w="6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287,123</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287,123</w:t>
            </w:r>
          </w:p>
        </w:tc>
        <w:tc>
          <w:tcPr>
            <w:tcW w:w="60" w:type="dxa"/>
            <w:vAlign w:val="bottom"/>
            <w:shd w:val="clear" w:color="auto" w:fill="CFF0FC"/>
          </w:tcPr>
          <w:p>
            <w:pPr>
              <w:spacing w:after="0"/>
              <w:rPr>
                <w:sz w:val="18"/>
                <w:szCs w:val="18"/>
                <w:color w:val="auto"/>
              </w:rPr>
            </w:pPr>
          </w:p>
        </w:tc>
      </w:tr>
      <w:tr>
        <w:trPr>
          <w:trHeight w:val="216"/>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55,387</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55,387</w:t>
            </w:r>
          </w:p>
        </w:tc>
        <w:tc>
          <w:tcPr>
            <w:tcW w:w="60" w:type="dxa"/>
            <w:vAlign w:val="bottom"/>
          </w:tcPr>
          <w:p>
            <w:pPr>
              <w:spacing w:after="0"/>
              <w:rPr>
                <w:sz w:val="18"/>
                <w:szCs w:val="18"/>
                <w:color w:val="auto"/>
              </w:rPr>
            </w:pPr>
          </w:p>
        </w:tc>
      </w:tr>
      <w:tr>
        <w:trPr>
          <w:trHeight w:val="249"/>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62,244</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380,943</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443,187</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-25400</wp:posOffset>
            </wp:positionV>
            <wp:extent cx="431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431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431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431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342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342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-25400</wp:posOffset>
            </wp:positionV>
            <wp:extent cx="342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three months ended March 31, 2022.</w:t>
      </w:r>
    </w:p>
    <w:p>
      <w:pPr>
        <w:spacing w:after="0" w:line="208"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marketable debt securities, classified as available-for-sale:</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9"/>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2022</w:t>
            </w:r>
          </w:p>
        </w:tc>
        <w:tc>
          <w:tcPr>
            <w:tcW w:w="900" w:type="dxa"/>
            <w:vAlign w:val="bottom"/>
            <w:tcBorders>
              <w:bottom w:val="single" w:sz="8" w:color="auto"/>
            </w:tcBorders>
          </w:tcPr>
          <w:p>
            <w:pPr>
              <w:spacing w:after="0"/>
              <w:rPr>
                <w:sz w:val="16"/>
                <w:szCs w:val="16"/>
                <w:color w:val="auto"/>
              </w:rPr>
            </w:pPr>
          </w:p>
        </w:tc>
      </w:tr>
      <w:tr>
        <w:trPr>
          <w:trHeight w:val="131"/>
        </w:trPr>
        <w:tc>
          <w:tcPr>
            <w:tcW w:w="5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left="14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0"/>
        </w:trPr>
        <w:tc>
          <w:tcPr>
            <w:tcW w:w="5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99"/>
              <w:spacing w:after="0" w:line="160"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3"/>
                <w:szCs w:val="13"/>
                <w:color w:val="auto"/>
              </w:rPr>
            </w:pPr>
          </w:p>
        </w:tc>
        <w:tc>
          <w:tcPr>
            <w:tcW w:w="900" w:type="dxa"/>
            <w:vAlign w:val="bottom"/>
          </w:tcPr>
          <w:p>
            <w:pPr>
              <w:jc w:val="center"/>
              <w:ind w:left="144"/>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3"/>
                <w:szCs w:val="13"/>
                <w:color w:val="auto"/>
              </w:rPr>
            </w:pPr>
          </w:p>
        </w:tc>
        <w:tc>
          <w:tcPr>
            <w:tcW w:w="900" w:type="dxa"/>
            <w:vAlign w:val="bottom"/>
          </w:tcPr>
          <w:p>
            <w:pPr>
              <w:jc w:val="center"/>
              <w:ind w:right="237"/>
              <w:spacing w:after="0" w:line="160"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89"/>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6"/>
                <w:szCs w:val="16"/>
                <w:color w:val="auto"/>
              </w:rPr>
            </w:pPr>
          </w:p>
        </w:tc>
        <w:tc>
          <w:tcPr>
            <w:tcW w:w="900" w:type="dxa"/>
            <w:vAlign w:val="bottom"/>
            <w:tcBorders>
              <w:bottom w:val="single" w:sz="8" w:color="auto"/>
            </w:tcBorders>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69"/>
        </w:trPr>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6"/>
        </w:trPr>
        <w:tc>
          <w:tcPr>
            <w:tcW w:w="50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6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292,838</w:t>
            </w:r>
          </w:p>
        </w:tc>
        <w:tc>
          <w:tcPr>
            <w:tcW w:w="1080" w:type="dxa"/>
            <w:vAlign w:val="bottom"/>
            <w:gridSpan w:val="2"/>
          </w:tcPr>
          <w:p>
            <w:pPr>
              <w:jc w:val="right"/>
              <w:ind w:right="72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center"/>
              <w:ind w:left="7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290,201</w:t>
            </w:r>
          </w:p>
        </w:tc>
      </w:tr>
      <w:tr>
        <w:trPr>
          <w:trHeight w:val="216"/>
        </w:trPr>
        <w:tc>
          <w:tcPr>
            <w:tcW w:w="50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6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60,548</w:t>
            </w:r>
          </w:p>
        </w:tc>
        <w:tc>
          <w:tcPr>
            <w:tcW w:w="180" w:type="dxa"/>
            <w:vAlign w:val="bottom"/>
            <w:tcBorders>
              <w:right w:val="single" w:sz="8" w:color="CFF0FC"/>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(773 )</w:t>
            </w:r>
          </w:p>
        </w:tc>
        <w:tc>
          <w:tcPr>
            <w:tcW w:w="26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59,775</w:t>
            </w:r>
          </w:p>
        </w:tc>
      </w:tr>
      <w:tr>
        <w:trPr>
          <w:trHeight w:val="20"/>
        </w:trPr>
        <w:tc>
          <w:tcPr>
            <w:tcW w:w="50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r>
      <w:tr>
        <w:trPr>
          <w:trHeight w:val="210"/>
        </w:trPr>
        <w:tc>
          <w:tcPr>
            <w:tcW w:w="50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353,386</w:t>
            </w:r>
          </w:p>
        </w:tc>
        <w:tc>
          <w:tcPr>
            <w:tcW w:w="180" w:type="dxa"/>
            <w:vAlign w:val="bottom"/>
          </w:tcPr>
          <w:p>
            <w:pPr>
              <w:spacing w:after="0"/>
              <w:rPr>
                <w:sz w:val="18"/>
                <w:szCs w:val="18"/>
                <w:color w:val="auto"/>
              </w:rPr>
            </w:pPr>
          </w:p>
        </w:tc>
        <w:tc>
          <w:tcPr>
            <w:tcW w:w="900" w:type="dxa"/>
            <w:vAlign w:val="bottom"/>
          </w:tcPr>
          <w:p>
            <w:pPr>
              <w:jc w:val="right"/>
              <w:ind w:right="72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349,976</w:t>
            </w:r>
          </w:p>
        </w:tc>
      </w:tr>
      <w:tr>
        <w:trPr>
          <w:trHeight w:val="20"/>
        </w:trPr>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99"/>
        </w:trPr>
        <w:tc>
          <w:tcPr>
            <w:tcW w:w="5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9"/>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2021</w:t>
            </w:r>
          </w:p>
        </w:tc>
        <w:tc>
          <w:tcPr>
            <w:tcW w:w="900" w:type="dxa"/>
            <w:vAlign w:val="bottom"/>
            <w:tcBorders>
              <w:bottom w:val="single" w:sz="8" w:color="auto"/>
            </w:tcBorders>
          </w:tcPr>
          <w:p>
            <w:pPr>
              <w:spacing w:after="0"/>
              <w:rPr>
                <w:sz w:val="24"/>
                <w:szCs w:val="24"/>
                <w:color w:val="auto"/>
              </w:rPr>
            </w:pPr>
          </w:p>
        </w:tc>
      </w:tr>
      <w:tr>
        <w:trPr>
          <w:trHeight w:val="144"/>
        </w:trPr>
        <w:tc>
          <w:tcPr>
            <w:tcW w:w="5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left="104"/>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8"/>
        </w:trPr>
        <w:tc>
          <w:tcPr>
            <w:tcW w:w="5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2"/>
                <w:szCs w:val="12"/>
                <w:color w:val="auto"/>
              </w:rPr>
            </w:pPr>
          </w:p>
        </w:tc>
        <w:tc>
          <w:tcPr>
            <w:tcW w:w="900" w:type="dxa"/>
            <w:vAlign w:val="bottom"/>
          </w:tcPr>
          <w:p>
            <w:pPr>
              <w:jc w:val="center"/>
              <w:ind w:left="12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90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87"/>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6"/>
                <w:szCs w:val="16"/>
                <w:color w:val="auto"/>
              </w:rPr>
            </w:pPr>
          </w:p>
        </w:tc>
        <w:tc>
          <w:tcPr>
            <w:tcW w:w="900" w:type="dxa"/>
            <w:vAlign w:val="bottom"/>
            <w:tcBorders>
              <w:bottom w:val="single" w:sz="8" w:color="auto"/>
            </w:tcBorders>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69"/>
        </w:trPr>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w:t>
            </w:r>
          </w:p>
        </w:tc>
        <w:tc>
          <w:tcPr>
            <w:tcW w:w="1280" w:type="dxa"/>
            <w:vAlign w:val="bottom"/>
            <w:gridSpan w:val="3"/>
          </w:tcPr>
          <w:p>
            <w:pPr>
              <w:jc w:val="center"/>
              <w:ind w:right="699"/>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6"/>
        </w:trPr>
        <w:tc>
          <w:tcPr>
            <w:tcW w:w="50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6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287,699</w:t>
            </w:r>
          </w:p>
        </w:tc>
        <w:tc>
          <w:tcPr>
            <w:tcW w:w="1080" w:type="dxa"/>
            <w:vAlign w:val="bottom"/>
            <w:gridSpan w:val="2"/>
          </w:tcPr>
          <w:p>
            <w:pPr>
              <w:jc w:val="right"/>
              <w:ind w:right="72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center"/>
              <w:ind w:left="3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287,123</w:t>
            </w:r>
          </w:p>
        </w:tc>
      </w:tr>
      <w:tr>
        <w:trPr>
          <w:trHeight w:val="216"/>
        </w:trPr>
        <w:tc>
          <w:tcPr>
            <w:tcW w:w="50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6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55,576</w:t>
            </w:r>
          </w:p>
        </w:tc>
        <w:tc>
          <w:tcPr>
            <w:tcW w:w="180" w:type="dxa"/>
            <w:vAlign w:val="bottom"/>
            <w:tcBorders>
              <w:right w:val="single" w:sz="8" w:color="CFF0FC"/>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(189 )</w:t>
            </w:r>
          </w:p>
        </w:tc>
        <w:tc>
          <w:tcPr>
            <w:tcW w:w="26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55,387</w:t>
            </w:r>
          </w:p>
        </w:tc>
      </w:tr>
      <w:tr>
        <w:trPr>
          <w:trHeight w:val="20"/>
        </w:trPr>
        <w:tc>
          <w:tcPr>
            <w:tcW w:w="50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r>
      <w:tr>
        <w:trPr>
          <w:trHeight w:val="210"/>
        </w:trPr>
        <w:tc>
          <w:tcPr>
            <w:tcW w:w="50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343,275</w:t>
            </w:r>
          </w:p>
        </w:tc>
        <w:tc>
          <w:tcPr>
            <w:tcW w:w="180" w:type="dxa"/>
            <w:vAlign w:val="bottom"/>
          </w:tcPr>
          <w:p>
            <w:pPr>
              <w:spacing w:after="0"/>
              <w:rPr>
                <w:sz w:val="18"/>
                <w:szCs w:val="18"/>
                <w:color w:val="auto"/>
              </w:rPr>
            </w:pPr>
          </w:p>
        </w:tc>
        <w:tc>
          <w:tcPr>
            <w:tcW w:w="900" w:type="dxa"/>
            <w:vAlign w:val="bottom"/>
          </w:tcPr>
          <w:p>
            <w:pPr>
              <w:jc w:val="right"/>
              <w:ind w:right="72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342,510</w:t>
            </w:r>
          </w:p>
        </w:tc>
      </w:tr>
      <w:tr>
        <w:trPr>
          <w:trHeight w:val="20"/>
        </w:trPr>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-1456690</wp:posOffset>
            </wp:positionV>
            <wp:extent cx="431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-1456690</wp:posOffset>
            </wp:positionV>
            <wp:extent cx="431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-1456690</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-1456690</wp:posOffset>
            </wp:positionV>
            <wp:extent cx="342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-170815</wp:posOffset>
            </wp:positionV>
            <wp:extent cx="43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431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-170815</wp:posOffset>
            </wp:positionV>
            <wp:extent cx="342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 Company holds investment grade marketable securities, with $3.4 million of U.S. Treasury bills and U.S. government agency bonds considered to be in an unrealized loss position as of March 31, 2022 and $0.8 million considered to be in an unrealized loss position as of December 31, 2021. Although these marketable securities are held at an unrealized loss position at March 31, 2022, the Company does not intend to sell the marketable securities prior to the value of the securities being recovered. Further, the Company has concluded that it is more likely than not that the marketable securities cost basis values will be recovered prior to sale of the securities and that there are no conditions or events that might require the Company to sell the securities before recovery of the cost basis occurs. As a result, the Company did not record any impairments to marketable securities or reserves for credit losses related to its marketable debt securities during the periods then ended. Marketable securities include $0.2 million in accrued interest at both March 31, 2022 and December 31, 2021.</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5" w:right="399" w:bottom="1440" w:gutter="0" w:footer="0" w:header="0"/>
        </w:sectPr>
      </w:pPr>
    </w:p>
    <w:bookmarkStart w:id="16" w:name="page17"/>
    <w:bookmarkEnd w:id="16"/>
    <w:p>
      <w:pPr>
        <w:ind w:left="520" w:right="7440" w:hanging="512"/>
        <w:spacing w:after="0" w:line="495" w:lineRule="auto"/>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Balance Sheet Information </w:t>
      </w:r>
      <w:r>
        <w:rPr>
          <w:rFonts w:ascii="Times New Roman" w:cs="Times New Roman" w:eastAsia="Times New Roman" w:hAnsi="Times New Roman"/>
          <w:sz w:val="18"/>
          <w:szCs w:val="18"/>
          <w:b w:val="1"/>
          <w:bCs w:val="1"/>
          <w:i w:val="1"/>
          <w:iCs w:val="1"/>
          <w:color w:val="auto"/>
        </w:rPr>
        <w:t>Property and Equipment</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as of March 31, 2022 and December 31, 2021 consists of the following:</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w:t>
            </w:r>
          </w:p>
        </w:tc>
        <w:tc>
          <w:tcPr>
            <w:tcW w:w="1440" w:type="dxa"/>
            <w:vAlign w:val="bottom"/>
            <w:tcBorders>
              <w:bottom w:val="single" w:sz="8" w:color="auto"/>
            </w:tcBorders>
            <w:gridSpan w:val="3"/>
          </w:tcPr>
          <w:p>
            <w:pPr>
              <w:jc w:val="center"/>
              <w:ind w:right="833"/>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100" w:type="dxa"/>
            <w:vAlign w:val="bottom"/>
          </w:tcPr>
          <w:p>
            <w:pPr>
              <w:spacing w:after="0"/>
              <w:rPr>
                <w:sz w:val="14"/>
                <w:szCs w:val="14"/>
                <w:color w:val="auto"/>
              </w:rPr>
            </w:pPr>
          </w:p>
        </w:tc>
      </w:tr>
      <w:tr>
        <w:trPr>
          <w:trHeight w:val="20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8"/>
                <w:szCs w:val="18"/>
                <w:color w:val="auto"/>
              </w:rPr>
            </w:pPr>
          </w:p>
        </w:tc>
      </w:tr>
      <w:tr>
        <w:trPr>
          <w:trHeight w:val="209"/>
        </w:trPr>
        <w:tc>
          <w:tcPr>
            <w:tcW w:w="5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Pr>
          <w:p>
            <w:pPr>
              <w:spacing w:after="0"/>
              <w:rPr>
                <w:sz w:val="18"/>
                <w:szCs w:val="18"/>
                <w:color w:val="auto"/>
              </w:rPr>
            </w:pPr>
          </w:p>
        </w:tc>
        <w:tc>
          <w:tcPr>
            <w:tcW w:w="12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(2,830 )</w:t>
            </w: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(2,529 )</w:t>
            </w:r>
          </w:p>
        </w:tc>
      </w:tr>
      <w:tr>
        <w:trPr>
          <w:trHeight w:val="250"/>
        </w:trPr>
        <w:tc>
          <w:tcPr>
            <w:tcW w:w="5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was $0.3 million and $0.2 million for the three months ended March 31, 2022 and 2021, respectively.</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as of March 31, 2022 and December 31, 2021 include the following:</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4"/>
                <w:szCs w:val="14"/>
                <w:color w:val="auto"/>
              </w:rPr>
            </w:pPr>
          </w:p>
        </w:tc>
      </w:tr>
      <w:tr>
        <w:trPr>
          <w:trHeight w:val="173"/>
        </w:trPr>
        <w:tc>
          <w:tcPr>
            <w:tcW w:w="5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r>
      <w:tr>
        <w:trPr>
          <w:trHeight w:val="169"/>
        </w:trPr>
        <w:tc>
          <w:tcPr>
            <w:tcW w:w="5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(in</w:t>
            </w:r>
          </w:p>
        </w:tc>
        <w:tc>
          <w:tcPr>
            <w:tcW w:w="1440" w:type="dxa"/>
            <w:vAlign w:val="bottom"/>
            <w:tcBorders>
              <w:bottom w:val="single" w:sz="8" w:color="auto"/>
            </w:tcBorders>
            <w:gridSpan w:val="3"/>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60" w:type="dxa"/>
            <w:vAlign w:val="bottom"/>
          </w:tcPr>
          <w:p>
            <w:pPr>
              <w:spacing w:after="0"/>
              <w:rPr>
                <w:sz w:val="14"/>
                <w:szCs w:val="14"/>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employee-related costs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6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60" w:type="dxa"/>
            <w:vAlign w:val="bottom"/>
          </w:tcPr>
          <w:p>
            <w:pPr>
              <w:spacing w:after="0"/>
              <w:rPr>
                <w:sz w:val="18"/>
                <w:szCs w:val="18"/>
                <w:color w:val="auto"/>
              </w:rPr>
            </w:pP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6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-170815</wp:posOffset>
            </wp:positionV>
            <wp:extent cx="431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342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As of March 31, 2022 and 2021, the Company maintained a restricted cash balance of $4.0 million and $2.3 million, respectively, all of which was related to security deposits associated with the Company’s facility leases. The cash will remain restricted in accordance with the lease agreements absent the event of a lease termination or modification. The reconciliation of cash and cash equivalents and restricted cash to amounts presented in the condensed consolidated statements of cash flows are as follows:</w:t>
      </w:r>
    </w:p>
    <w:p>
      <w:pPr>
        <w:spacing w:after="0" w:line="211"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4"/>
                <w:szCs w:val="14"/>
                <w:color w:val="auto"/>
              </w:rPr>
            </w:pPr>
          </w:p>
        </w:tc>
      </w:tr>
      <w:tr>
        <w:trPr>
          <w:trHeight w:val="173"/>
        </w:trPr>
        <w:tc>
          <w:tcPr>
            <w:tcW w:w="50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r>
      <w:tr>
        <w:trPr>
          <w:trHeight w:val="169"/>
        </w:trPr>
        <w:tc>
          <w:tcPr>
            <w:tcW w:w="5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99,909</w:t>
            </w:r>
          </w:p>
        </w:tc>
        <w:tc>
          <w:tcPr>
            <w:tcW w:w="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65,791</w:t>
            </w:r>
          </w:p>
        </w:tc>
        <w:tc>
          <w:tcPr>
            <w:tcW w:w="6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60" w:type="dxa"/>
            <w:vAlign w:val="bottom"/>
          </w:tcPr>
          <w:p>
            <w:pPr>
              <w:spacing w:after="0"/>
              <w:rPr>
                <w:sz w:val="18"/>
                <w:szCs w:val="18"/>
                <w:color w:val="auto"/>
              </w:rPr>
            </w:pPr>
          </w:p>
        </w:tc>
      </w:tr>
      <w:tr>
        <w:trPr>
          <w:trHeight w:val="250"/>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103,899</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68,070</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-24765</wp:posOffset>
            </wp:positionV>
            <wp:extent cx="431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431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342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342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90" w:lineRule="exact"/>
        <w:rPr>
          <w:sz w:val="20"/>
          <w:szCs w:val="20"/>
          <w:color w:val="auto"/>
        </w:rPr>
      </w:pPr>
    </w:p>
    <w:p>
      <w:pPr>
        <w:ind w:left="520" w:right="8060" w:hanging="512"/>
        <w:spacing w:after="0" w:line="516" w:lineRule="auto"/>
        <w:tabs>
          <w:tab w:leader="none" w:pos="5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Other Funding Commitments</w:t>
      </w:r>
    </w:p>
    <w:p>
      <w:pPr>
        <w:ind w:right="320" w:firstLine="509"/>
        <w:spacing w:after="0" w:line="250" w:lineRule="auto"/>
        <w:rPr>
          <w:sz w:val="20"/>
          <w:szCs w:val="20"/>
          <w:color w:val="auto"/>
        </w:rPr>
      </w:pPr>
      <w:r>
        <w:rPr>
          <w:rFonts w:ascii="Times New Roman" w:cs="Times New Roman" w:eastAsia="Times New Roman" w:hAnsi="Times New Roman"/>
          <w:sz w:val="18"/>
          <w:szCs w:val="18"/>
          <w:color w:val="auto"/>
        </w:rPr>
        <w:t>As of March 31, 2022, the Company had ongoing preclinical and clinical studies. The Company enters into contracts in the normal course of business with contract research organizations in preparation for clinical trials, professional consultants for expert advice and other vendors for clinical supply manufacturing or other preclinical services. These contracts are generally cancellable, with notice, at the Company's option and do not have significant cancellation penalties.</w:t>
      </w:r>
    </w:p>
    <w:p>
      <w:pPr>
        <w:spacing w:after="0" w:line="1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36" w:right="45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The Company enters into certain agreements with other parties in the ordinary course of business that contain indemnification provisions. These typically include agreements with directors and officers, business partners, contractors, landlords, construction companies, contract research organizations and clinical trial sites. Under these provisions, the Company generally indemnifies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16"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7"/>
          <w:szCs w:val="17"/>
          <w:color w:val="auto"/>
        </w:rPr>
        <w:t>The Company, from time to time, may be party to litigation arising in the ordinary course of business. The Company was not subject to any material legal proceedings as of March 31, 2022,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 be unable to prevail in any such proceedings, the consolidated financial position, results of operations, and future cash flows of the Company may be materially impacted.</w:t>
      </w:r>
    </w:p>
    <w:p>
      <w:pPr>
        <w:spacing w:after="0" w:line="381"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March 2021, Old Tango sold 22,686,025 additional shares of Series B stock at a price of $1.32 per share upon the achievement of specified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milestones in connection with the second tranche of the Series B stock purchase agreement. Proceeds from this issuance totaled $30.0 million.</w:t>
      </w:r>
    </w:p>
    <w:p>
      <w:pPr>
        <w:spacing w:after="0"/>
        <w:rPr>
          <w:sz w:val="20"/>
          <w:szCs w:val="20"/>
          <w:color w:val="auto"/>
        </w:rPr>
      </w:pPr>
      <w:r>
        <w:rPr>
          <w:rFonts w:ascii="Times New Roman" w:cs="Times New Roman" w:eastAsia="Times New Roman" w:hAnsi="Times New Roman"/>
          <w:sz w:val="18"/>
          <w:szCs w:val="18"/>
          <w:color w:val="auto"/>
        </w:rPr>
        <w:t>Total issuance costs associated with the March 2021 issuance of Series B preferred stock was less than $0.1 million.</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Conversion of Redeemable Convertible Preferred Stock</w:t>
      </w:r>
    </w:p>
    <w:p>
      <w:pPr>
        <w:spacing w:after="0" w:line="229"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7"/>
          <w:szCs w:val="17"/>
          <w:color w:val="auto"/>
        </w:rPr>
        <w:t>Pursuant to the terms of the Merger Agreement, upon the Effective Time, each share of Old Tango’s Preferred Stock issued and outstanding immediately prior to the Effective Time was converted into a share of Old Tango’s common stock and subsequently converted into shares of New Tango common stock using an exchange ratio of 0.34. A retroactive adjustment has been applied to all periods presented to reflect the Business Combination and reverse recapitalization, therefore, resulting in no outstanding Preferred Stock as of March 31, 2022 and 2021. Refer to Note 3 for additional discussion.</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16"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Company’s Certificate of Incorporation, as amended and restated, authorizes the Company to issue shares of preferred stock with a par value of $0.001 per share. The number of shares of preferred stock authorized to be issued is 10,000,000 shares as of March 31, 2022. The shares of preferred stock are currently undesignated.</w:t>
      </w:r>
    </w:p>
    <w:p>
      <w:pPr>
        <w:spacing w:after="0" w:line="165" w:lineRule="exact"/>
        <w:rPr>
          <w:sz w:val="20"/>
          <w:szCs w:val="20"/>
          <w:color w:val="auto"/>
        </w:rPr>
      </w:pPr>
    </w:p>
    <w:p>
      <w:pPr>
        <w:ind w:left="520" w:right="8600" w:hanging="512"/>
        <w:spacing w:after="0" w:line="524" w:lineRule="auto"/>
        <w:tabs>
          <w:tab w:leader="none" w:pos="52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Stock Incentive Plan</w:t>
      </w:r>
    </w:p>
    <w:p>
      <w:pPr>
        <w:spacing w:after="0" w:line="1" w:lineRule="exact"/>
        <w:rPr>
          <w:sz w:val="20"/>
          <w:szCs w:val="20"/>
          <w:color w:val="auto"/>
        </w:rPr>
      </w:pPr>
    </w:p>
    <w:p>
      <w:pPr>
        <w:jc w:val="both"/>
        <w:ind w:right="440" w:firstLine="509"/>
        <w:spacing w:after="0" w:line="250" w:lineRule="auto"/>
        <w:rPr>
          <w:sz w:val="20"/>
          <w:szCs w:val="20"/>
          <w:color w:val="auto"/>
        </w:rPr>
      </w:pPr>
      <w:r>
        <w:rPr>
          <w:rFonts w:ascii="Times New Roman" w:cs="Times New Roman" w:eastAsia="Times New Roman" w:hAnsi="Times New Roman"/>
          <w:sz w:val="18"/>
          <w:szCs w:val="18"/>
          <w:color w:val="auto"/>
        </w:rPr>
        <w:t>In March 2017, Old Tango's stockholders approved the 2017 Stock Option and Grant Plan, pursuant to which Old Tango issued stock options, restricted stock awards (“RSAs”), unrestricted stock awards, restricted stock units, or any combination of the forgoing to eligible employees, officers, directors, consultants, or other key persons who provide services to the Company.</w:t>
      </w:r>
    </w:p>
    <w:p>
      <w:pPr>
        <w:spacing w:after="0" w:line="19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2021 Stock Option and Incentive Plan (the “2021 Plan”) became effective upon the closing of the Business Combination and replaced the 2017 Stock Option and Grant Plan. The 2021 Plan allows the Company to make equity and equity-based incentive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8" w:name="page19"/>
    <w:bookmarkEnd w:id="18"/>
    <w:p>
      <w:pPr>
        <w:ind w:right="380"/>
        <w:spacing w:after="0" w:line="282" w:lineRule="auto"/>
        <w:rPr>
          <w:sz w:val="20"/>
          <w:szCs w:val="20"/>
          <w:color w:val="auto"/>
        </w:rPr>
      </w:pPr>
      <w:r>
        <w:rPr>
          <w:rFonts w:ascii="Times New Roman" w:cs="Times New Roman" w:eastAsia="Times New Roman" w:hAnsi="Times New Roman"/>
          <w:sz w:val="18"/>
          <w:szCs w:val="18"/>
          <w:color w:val="auto"/>
        </w:rPr>
        <w:t>awards to officers, employees, non-employee directors and consultants. As of March 31, 2022, the Company had 7,149,519 shares available for future issuance under the 2021 Plan.</w:t>
      </w:r>
    </w:p>
    <w:p>
      <w:pPr>
        <w:spacing w:after="0" w:line="148"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in its accompanying condensed consolidated statements of operations: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060" w:type="dxa"/>
            <w:vAlign w:val="bottom"/>
          </w:tcPr>
          <w:p>
            <w:pPr>
              <w:spacing w:after="0"/>
              <w:rPr>
                <w:sz w:val="16"/>
                <w:szCs w:val="16"/>
                <w:color w:val="auto"/>
              </w:rPr>
            </w:pPr>
          </w:p>
        </w:tc>
        <w:tc>
          <w:tcPr>
            <w:tcW w:w="346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060" w:type="dxa"/>
            <w:vAlign w:val="bottom"/>
          </w:tcPr>
          <w:p>
            <w:pPr>
              <w:spacing w:after="0"/>
              <w:rPr>
                <w:sz w:val="14"/>
                <w:szCs w:val="14"/>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606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shd w:val="clear" w:color="auto" w:fill="CFF0FC"/>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520" w:type="dxa"/>
            <w:vAlign w:val="bottom"/>
            <w:gridSpan w:val="2"/>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6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60" w:type="dxa"/>
            <w:vAlign w:val="bottom"/>
          </w:tcPr>
          <w:p>
            <w:pPr>
              <w:spacing w:after="0"/>
              <w:rPr>
                <w:sz w:val="18"/>
                <w:szCs w:val="18"/>
                <w:color w:val="auto"/>
              </w:rPr>
            </w:pPr>
          </w:p>
        </w:tc>
      </w:tr>
      <w:tr>
        <w:trPr>
          <w:trHeight w:val="250"/>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FF0FC"/>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2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431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431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1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Pursuant to the terms of the Business Combination, upon the Closing Date, each option to purchase Old Tango’s common stock became an option to purchase shares of common stock of the surviving entity and was subsequently adjusted using an exchange ratio of 0.34. A retroactive adjustment has been applied to all periods presented to reflect the Business Combination and reverse recapitalization as discussed further in Note 3.</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three months ended March 31, 2022:</w:t>
      </w:r>
    </w:p>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tcPr>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13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88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6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4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December 31, 2021</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9,372,993</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5.59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51,415,394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3,499,675</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9.31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(111,315 )</w:t>
            </w: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2.39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(19,407 )</w:t>
            </w: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March 31, 2022</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12,741,946</w:t>
            </w:r>
          </w:p>
        </w:tc>
        <w:tc>
          <w:tcPr>
            <w:tcW w:w="2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6.64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27,139,806</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exercisable as of March 31, 2022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2,898,853</w:t>
            </w:r>
          </w:p>
        </w:tc>
        <w:tc>
          <w:tcPr>
            <w:tcW w:w="240" w:type="dxa"/>
            <w:vAlign w:val="bottom"/>
          </w:tcPr>
          <w:p>
            <w:pPr>
              <w:spacing w:after="0"/>
              <w:rPr>
                <w:sz w:val="20"/>
                <w:szCs w:val="20"/>
                <w:color w:val="auto"/>
              </w:rPr>
            </w:pPr>
          </w:p>
        </w:tc>
        <w:tc>
          <w:tcPr>
            <w:tcW w:w="880" w:type="dxa"/>
            <w:vAlign w:val="bottom"/>
          </w:tcPr>
          <w:p>
            <w:pPr>
              <w:jc w:val="right"/>
              <w:ind w:right="70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2.84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14,120,122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4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2022, total unrecognized compensation expense related to stock options was $27.1 million, which the Company expects to recognize over a remaining weighted-average period of 3.1 years.</w:t>
      </w:r>
    </w:p>
    <w:p>
      <w:pPr>
        <w:spacing w:after="0" w:line="172"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1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loss per share attributable to common stockholders was calculated as follows: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40" w:type="dxa"/>
            <w:vAlign w:val="bottom"/>
            <w:gridSpan w:val="5"/>
          </w:tcPr>
          <w:p>
            <w:pPr>
              <w:jc w:val="right"/>
              <w:ind w:right="10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02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3540" w:type="dxa"/>
            <w:vAlign w:val="bottom"/>
            <w:tcBorders>
              <w:top w:val="single" w:sz="8" w:color="auto"/>
              <w:bottom w:val="single" w:sz="8" w:color="auto"/>
            </w:tcBorders>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0" w:type="dxa"/>
            <w:vAlign w:val="bottom"/>
          </w:tcPr>
          <w:p>
            <w:pPr>
              <w:spacing w:after="0"/>
              <w:rPr>
                <w:sz w:val="14"/>
                <w:szCs w:val="14"/>
                <w:color w:val="auto"/>
              </w:rPr>
            </w:pPr>
          </w:p>
        </w:tc>
      </w:tr>
      <w:tr>
        <w:trPr>
          <w:trHeight w:val="169"/>
        </w:trPr>
        <w:tc>
          <w:tcPr>
            <w:tcW w:w="60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(25,208 )</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(12,106 )</w:t>
            </w:r>
          </w:p>
        </w:tc>
      </w:tr>
      <w:tr>
        <w:trPr>
          <w:trHeight w:val="21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common stock outstanding – basic and diluted</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87,670,653</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41,575,143</w:t>
            </w:r>
          </w:p>
        </w:tc>
        <w:tc>
          <w:tcPr>
            <w:tcW w:w="100" w:type="dxa"/>
            <w:vAlign w:val="bottom"/>
          </w:tcPr>
          <w:p>
            <w:pPr>
              <w:spacing w:after="0"/>
              <w:rPr>
                <w:sz w:val="18"/>
                <w:szCs w:val="18"/>
                <w:color w:val="auto"/>
              </w:rPr>
            </w:pPr>
          </w:p>
        </w:tc>
      </w:tr>
      <w:tr>
        <w:trPr>
          <w:trHeight w:val="209"/>
        </w:trPr>
        <w:tc>
          <w:tcPr>
            <w:tcW w:w="60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 Company’s potential dilutive securities, which include common stock options and unvested restricted common stock,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9" w:name="page20"/>
    <w:bookmarkEnd w:id="19"/>
    <w:p>
      <w:pPr>
        <w:ind w:right="260"/>
        <w:spacing w:after="0" w:line="282" w:lineRule="auto"/>
        <w:rPr>
          <w:sz w:val="20"/>
          <w:szCs w:val="20"/>
          <w:color w:val="auto"/>
        </w:rPr>
      </w:pPr>
      <w:r>
        <w:rPr>
          <w:rFonts w:ascii="Times New Roman" w:cs="Times New Roman" w:eastAsia="Times New Roman" w:hAnsi="Times New Roman"/>
          <w:sz w:val="18"/>
          <w:szCs w:val="18"/>
          <w:color w:val="auto"/>
        </w:rPr>
        <w:t>outstanding at each period end, from the computation of diluted net loss per share attributable to common stockholders for the periods indicated because including them would have had an anti-dilutive effect:</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2200" w:type="dxa"/>
            <w:vAlign w:val="bottom"/>
            <w:tcBorders>
              <w:bottom w:val="single" w:sz="8" w:color="auto"/>
            </w:tcBorders>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460" w:type="dxa"/>
            <w:vAlign w:val="bottom"/>
          </w:tcPr>
          <w:p>
            <w:pPr>
              <w:spacing w:after="0"/>
              <w:rPr>
                <w:sz w:val="14"/>
                <w:szCs w:val="14"/>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12,741,946</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6,445,622</w:t>
            </w:r>
          </w:p>
        </w:tc>
        <w:tc>
          <w:tcPr>
            <w:tcW w:w="60" w:type="dxa"/>
            <w:vAlign w:val="bottom"/>
            <w:shd w:val="clear" w:color="auto" w:fill="CFF0FC"/>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22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87,249</w:t>
            </w:r>
          </w:p>
        </w:tc>
        <w:tc>
          <w:tcPr>
            <w:tcW w:w="60" w:type="dxa"/>
            <w:vAlign w:val="bottom"/>
          </w:tcPr>
          <w:p>
            <w:pPr>
              <w:spacing w:after="0"/>
              <w:rPr>
                <w:sz w:val="18"/>
                <w:szCs w:val="18"/>
                <w:color w:val="auto"/>
              </w:rPr>
            </w:pPr>
          </w:p>
        </w:tc>
      </w:tr>
      <w:tr>
        <w:trPr>
          <w:trHeight w:val="209"/>
        </w:trPr>
        <w:tc>
          <w:tcPr>
            <w:tcW w:w="44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12,741,946</w:t>
            </w: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6,532,871</w:t>
            </w:r>
          </w:p>
        </w:tc>
        <w:tc>
          <w:tcPr>
            <w:tcW w:w="6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-7620</wp:posOffset>
            </wp:positionV>
            <wp:extent cx="431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342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68"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 Company’s effective income tax rate was 0.0% and -0.6% for the three months ended March 31, 2022 and 2021, respectively. The income tax provision was $0 and $74 thousand for the three months ended March 31, 2022 and 2021, respectively. The change in the provision for income taxes for the three months ended March 31, 2022 compared to the three months ended March 31, 2021 was primarily due to taxable deferred revenue in 2021 partially offset by the utilization of federal and state net operating losses and federal and state tax credits. For 2022, the Company assessed the new requirement to capitalize and amortize research and experimentation expenditures for US tax purposes, which became effective as of January 1, 2022. The Company is forecasting a taxable loss position in 2022 for which no tax benefit is recorded due to the valuation allowance maintained against the Company’s deferred tax assets.</w:t>
      </w:r>
    </w:p>
    <w:p>
      <w:pPr>
        <w:spacing w:after="0" w:line="200"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the three months ended March 31, 2022 and 2021 differed from the federal statutory rate primarily due to the valuation allowance maintained against the Company’s deferred tax assets.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ind w:firstLine="495"/>
        <w:spacing w:after="0" w:line="24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related notes appearing elsewhere in this Quarterly Report on Form 10-Q and with our audited consolidated financial statements and related notes for the year ended December 31, 2021 included in our Annual Report on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73" w:lineRule="exact"/>
        <w:rPr>
          <w:sz w:val="20"/>
          <w:szCs w:val="20"/>
          <w:color w:val="auto"/>
        </w:rPr>
      </w:pPr>
    </w:p>
    <w:p>
      <w:pPr>
        <w:ind w:right="18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Unless otherwise indicated, references in this Management’s Discussion and Analysis of Financial Condition and Results of Operations section to “Tango,” “we,” “us,” “our” and other similar terms refer to our wholly-owned subsidiary Tango Therapeutics Sub, Inc. and its subsidiary prior to the closing of the business combination with BCTG Acquisition Corp. and to Tango Therapeutics, Inc. and its consolidated subsidiaries after giving effect to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designed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w:t>
      </w:r>
    </w:p>
    <w:p>
      <w:pPr>
        <w:spacing w:after="0" w:line="186"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lead program, TNG908, a protein arginine methyl transferase 5, or PRMT5, inhibitor is synthetic lethal with MTAP deletion, is being developed as a treatment for cancers with MTAP deletions. MTAP deletions occur in 10% to 15% of all human cancers. In preclinical studies, TNG908 demonstrated 15-fold greater potency in cells with MTAP deletions than those without and showed strong regressions in multiple cancer types. In the first quarter of 2022, the U.S. Food and Drug Administration (FDA) cleared the Investigational New Drug (IND) application for the Phase 1/2 clinical trial and granted Fast Track designation to TNG908. The Phase 1/2 clinical trial is open for enrollment and will evaluate safety and efficacy in multiple indications, with specific cohorts for non-small cell lung cancer, malignant peripheral nerve sheath cancer, mesothelioma, and cholangiocarcinoma, with glioblastoma planned for the dose expansion phase. The clinical trial also includes a histology-agnostic cohort for all other MTAP-deleted solid tumors. We expect to have initial safety and efficacy data in the first half of 2023.</w:t>
      </w:r>
    </w:p>
    <w:p>
      <w:pPr>
        <w:spacing w:after="0" w:line="186"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Given the large number of patients with MTAP-deleted cancers, we are investing in our PRMT5 franchise to develop a product candidate with increased potency, MTAP-deletion selectivity, as well as longer target coverage. TNG462, our next-generation PRMT5 inhibitor, is 45-fold more potent in cells with an MTAP deletion than those without and induces deep tumor regressions in preclinical models of multiple cancer types. We plan to file an IND for TNG462 in the first half of 2023. The clinical development path for TNG462 is expected to be similar to TNG908, evaluating safety and efficacy in multiple tumor types in a Phase 1/2 clinical trial. Glioblastoma will be excluded from the clinical trial as TNG462 does not cross the blood-brain barrier in preclinical primate models.</w:t>
      </w:r>
    </w:p>
    <w:p>
      <w:pPr>
        <w:spacing w:after="0" w:line="180"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Our development candidate, TNG260, an inhibitor of an undisclosed synthetic lethal target (Target 3), reverses the immune evasion effect of serine-threonine kinase 11 (STK11) loss-of-function mutations. In syngeneic models with an STK11 mutation and an intact immune system, the combination of TNG260 with an anti</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PD1 antibody resulted in sustained complete tumor regressions and the induction of immune memory against re-implantation of tumors. We expect to file an IND for TNG260 in 2023.</w:t>
      </w:r>
    </w:p>
    <w:p>
      <w:pPr>
        <w:spacing w:after="0" w:line="175" w:lineRule="exact"/>
        <w:rPr>
          <w:sz w:val="20"/>
          <w:szCs w:val="20"/>
          <w:color w:val="auto"/>
        </w:rPr>
      </w:pPr>
    </w:p>
    <w:p>
      <w:pPr>
        <w:ind w:right="120" w:firstLine="509"/>
        <w:spacing w:after="0" w:line="251" w:lineRule="auto"/>
        <w:rPr>
          <w:sz w:val="20"/>
          <w:szCs w:val="20"/>
          <w:color w:val="auto"/>
        </w:rPr>
      </w:pPr>
      <w:r>
        <w:rPr>
          <w:rFonts w:ascii="Times New Roman" w:cs="Times New Roman" w:eastAsia="Times New Roman" w:hAnsi="Times New Roman"/>
          <w:sz w:val="18"/>
          <w:szCs w:val="18"/>
          <w:color w:val="auto"/>
        </w:rPr>
        <w:t xml:space="preserve">We are also developing a ubiquitin-specific protease 1, or USP1, inhibitor that is synthetic lethal with BRCA1 and BRCA2-mutant tumors.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preclinical data for USP1 demonstrated potent anti-tumor activity. We expect this molecule to have both single agent activity in PARPi-naïve and PARPi-resistant BRCA1/2 mutant cancers and to synergize with PARP inhibitors. We anticipate declaring a development candidate in the second half of 2022 and filing an IND for this program in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1" w:name="page22"/>
    <w:bookmarkEnd w:id="21"/>
    <w:p>
      <w:pPr>
        <w:ind w:firstLine="509"/>
        <w:spacing w:after="0" w:line="246" w:lineRule="auto"/>
        <w:rPr>
          <w:sz w:val="20"/>
          <w:szCs w:val="20"/>
          <w:color w:val="auto"/>
        </w:rPr>
      </w:pPr>
      <w:r>
        <w:rPr>
          <w:rFonts w:ascii="Times New Roman" w:cs="Times New Roman" w:eastAsia="Times New Roman" w:hAnsi="Times New Roman"/>
          <w:sz w:val="18"/>
          <w:szCs w:val="18"/>
          <w:color w:val="auto"/>
        </w:rPr>
        <w:t>On April 13, 2021, the Company, BCTG Merger Sub Inc., a Delaware corporation, and Tango Therapeutics, Inc. (now known as Tango Therapeutics Sub, Inc., or “Old Tango”) signed a definitive merger agreement, or the Merger Agreement, memorializing the terms of BCTG’s acquisition of 100% of Old Tango’s issued and outstanding equity securities in exchange for $550.0 million worth of consideration in the form of BCTG common stock, or the Business Combination. The Business Combination was approved on August 9, 2021 by shareholders of BCTG, resulting in BCTG acquiring 100% of our issued and outstanding equity securities on August 10, 2021. Upon the closing of the Business Combination, BCTG Merger Sub Inc. merged with and into Tango, with Tango as the surviving company in the Merger, and BCTG changed its name to “Tango Therapeutics, Inc.”, or New Tango. For additional information on the Business Combination, see Note 3 to the unaudited condensed consolidated financial statements included elsewhere in this Quarterly Report on Form 10-Q.</w:t>
      </w:r>
    </w:p>
    <w:p>
      <w:pPr>
        <w:spacing w:after="0" w:line="179"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We received gross proceeds of $167.1 million upon the closing of the Business Combination. Simultaneous with the closing of the Business Combination, Tango entered into agreements with certain investors, the PIPE Investors, pursuant to which these PIPE Investors purchased 18,610,000 shares of our common stock at $10.00 per share, for aggregate gross proceeds of $186.1 million, upon the closing of the PIPE financing. Total transaction costs and redemptions totaled $26.9 million, resulting in total net proceeds of $326.3 million.</w:t>
      </w:r>
    </w:p>
    <w:p>
      <w:pPr>
        <w:spacing w:after="0" w:line="177"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Subject to the terms of the Merger Agreement, at the effective time of the Business Combination, each share of Old Tango redeemable convertible preferred stock issued and outstanding immediately prior to the effective time of the Business Combination was converted into a share of New Tango common stock, at the conversion ratio of 0.34. At the effective time of the Business Combination, each option to purchase Old Tango common stock became an option to purchase shares of New Tango common stock, subject to adjustment in accordance with the exchange ratio.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Since the Company's inception, we have focused primarily on organizing and staffing our company, business planning, raising capital, discovering product candidates, securing related intellectual property, and conducting research and development activities for our programs. Since our inception, we have funded our operations primarily through equity financings and from the proceeds received from our collaboration agreement with Gilead Sciences, Inc., or Gilead. Since inception, we have raised an aggregate of $166.9 million of gross proceeds from the sale of our preferred shares, $342.1 million in gross proceeds through the closing of the Business Combination and PIPE Financing transactions (as described above) and another $214.1 million through our collaboration with Gilead.</w:t>
      </w:r>
    </w:p>
    <w:p>
      <w:pPr>
        <w:spacing w:after="0" w:line="195"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on hand as of March 31, 2022 of $449.9 million will enable us to fund our operating expenses and capital expenditure requirements at least into the second half of 2024. Since inception, we have incurred significant operating losses. For the three months ended March 31, 2022 and 2021, our net losses were $25.2 million and $12.1 million, respectively. We had an accumulated deficit of $186.5 million as of March 31, 2022. We expect to continue to incur significant and increasing expenses and operating losses for the foreseeable future, as we advance our product candidates through preclinical and clinical development and seek regulatory approvals, manufacture drug product and drug supply, maintain and expand our intellectual property portfolio, as well as hire additional personnel, pay for accounting, audit, legal, regulatory and consulting services, and pay costs associated with maintaining compliance with Nasdaq listing rules and the requirements of the U.S. Securities and Exchange Commission, or SEC,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20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87" w:lineRule="exact"/>
        <w:rPr>
          <w:sz w:val="20"/>
          <w:szCs w:val="20"/>
          <w:color w:val="auto"/>
        </w:rPr>
      </w:pPr>
    </w:p>
    <w:p>
      <w:pPr>
        <w:ind w:right="420" w:firstLine="509"/>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therapies, we may not become profitable. If we fail to become profitable or are unable to</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sustain profitability on a continuing basis, then we may be unable to continue our operations at planned levels and be forced to reduce our operations.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Agreements with Gilead Sciences</w:t>
      </w:r>
    </w:p>
    <w:p>
      <w:pPr>
        <w:spacing w:after="0" w:line="214"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In October 2018, we entered into a collaboration agreement with Gilead, or the “2018 Gilead Agreement”. Pursuant to the terms of the 2018 Gilead Agreement, we received an initial upfront payment of $50.0 million. The upfront payment was initially recorded as deferred revenue on our balance sheet and is recognized as revenue as or when the performance obligation under the contract is satisfied.</w:t>
      </w:r>
    </w:p>
    <w:p>
      <w:pPr>
        <w:spacing w:after="0" w:line="169"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In August 2020, the 2018 Gilead Agreement was expanded into a broader collaboration via an amended and restated research collaboration and license agreement, or the “Gilead Agreement”.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w:t>
      </w:r>
    </w:p>
    <w:p>
      <w:pPr>
        <w:spacing w:after="0" w:line="177"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 December 2020 and September 2021, Gilead elected to extend two programs for research extension fees totaling $24.0 million, which was added to our estimate of the transaction price to total $199.0 million. A total of $8.0 million of fees related to the research extensions have not been received as of March 31, 2022 as these were determined to be conditional upon the satisfaction of additional research obligations, and thus a contract asset, however, we determined that achievement of the entire research extension fees was probable and that a significant reversal in the amount of cumulative revenue recognized would not occur.</w:t>
      </w:r>
    </w:p>
    <w:p>
      <w:pPr>
        <w:spacing w:after="0" w:line="17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April 2021, Gilead licensed a program for an $11.0 million fee. The $11.0 million license fee was received and recognized as revenue in the second quarter of 2021 since we have no continued involvement in the advancement of the program, Gilead can benefit from the license on its own and the license is separately identifiable from the research services.</w:t>
      </w:r>
    </w:p>
    <w:p>
      <w:pPr>
        <w:spacing w:after="0" w:line="16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2022, $56.0 million has been recognized as collaboration revenue related to the upfront and research extension payments from the Gilead Agreement.</w:t>
      </w:r>
    </w:p>
    <w:p>
      <w:pPr>
        <w:spacing w:after="0" w:line="176"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and 2021, we recognized $5.8 million and $6.4 million, respectively, of collaboration revenue associated with the Gilead Agreement based on performance completed during each period.</w:t>
      </w:r>
    </w:p>
    <w:p>
      <w:pPr>
        <w:spacing w:after="0" w:line="162" w:lineRule="exact"/>
        <w:rPr>
          <w:sz w:val="20"/>
          <w:szCs w:val="20"/>
          <w:color w:val="auto"/>
        </w:rPr>
      </w:pPr>
    </w:p>
    <w:p>
      <w:pPr>
        <w:jc w:val="both"/>
        <w:ind w:right="240" w:firstLine="509"/>
        <w:spacing w:after="0" w:line="258" w:lineRule="auto"/>
        <w:rPr>
          <w:sz w:val="20"/>
          <w:szCs w:val="20"/>
          <w:color w:val="auto"/>
        </w:rPr>
      </w:pPr>
      <w:r>
        <w:rPr>
          <w:rFonts w:ascii="Times New Roman" w:cs="Times New Roman" w:eastAsia="Times New Roman" w:hAnsi="Times New Roman"/>
          <w:sz w:val="18"/>
          <w:szCs w:val="18"/>
          <w:color w:val="auto"/>
        </w:rPr>
        <w:t>Refer to Note 4 to our unaudited condensed consolidated financial statements and related notes appearing elsewhere in this Quarterly Report on Form 10-Q and our audited consolidated financial statements and related notes for the year ended December 31, 2021 included in our Annual Report on Form 10-K for additional information regarding our revenue recognition accounting policy and our collaboration agreement with Gilead.</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efforts and the development of our product candidates. We expense research and development costs as incurred, which include:</w:t>
      </w:r>
    </w:p>
    <w:p>
      <w:pPr>
        <w:spacing w:after="0" w:line="54" w:lineRule="exact"/>
        <w:rPr>
          <w:sz w:val="20"/>
          <w:szCs w:val="20"/>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other related costs for those employees involved in research and development efforts;</w:t>
      </w:r>
    </w:p>
    <w:p>
      <w:pPr>
        <w:spacing w:after="0" w:line="40"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or CROs, as well as consultants that conduct our preclinical studies and development services;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and clinical studies;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23" w:name="page24"/>
    <w:bookmarkEnd w:id="23"/>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fulfill our obligations under the collaboration with Gilead;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utilities and insurance.</w:t>
      </w:r>
    </w:p>
    <w:p>
      <w:pPr>
        <w:spacing w:after="0" w:line="212" w:lineRule="exact"/>
        <w:rPr>
          <w:sz w:val="20"/>
          <w:szCs w:val="20"/>
          <w:color w:val="auto"/>
        </w:rPr>
      </w:pPr>
    </w:p>
    <w:p>
      <w:pPr>
        <w:jc w:val="both"/>
        <w:ind w:right="360" w:firstLine="509"/>
        <w:spacing w:after="0" w:line="258" w:lineRule="auto"/>
        <w:rPr>
          <w:sz w:val="20"/>
          <w:szCs w:val="20"/>
          <w:color w:val="auto"/>
        </w:rPr>
      </w:pPr>
      <w:r>
        <w:rPr>
          <w:rFonts w:ascii="Times New Roman" w:cs="Times New Roman" w:eastAsia="Times New Roman" w:hAnsi="Times New Roman"/>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69" w:lineRule="exact"/>
        <w:rPr>
          <w:sz w:val="20"/>
          <w:szCs w:val="20"/>
          <w:color w:val="auto"/>
        </w:rPr>
      </w:pPr>
    </w:p>
    <w:p>
      <w:pPr>
        <w:ind w:right="120" w:firstLine="509"/>
        <w:spacing w:after="0" w:line="280" w:lineRule="auto"/>
        <w:rPr>
          <w:sz w:val="20"/>
          <w:szCs w:val="20"/>
          <w:color w:val="auto"/>
        </w:rPr>
      </w:pPr>
      <w:r>
        <w:rPr>
          <w:rFonts w:ascii="Times New Roman" w:cs="Times New Roman" w:eastAsia="Times New Roman" w:hAnsi="Times New Roman"/>
          <w:sz w:val="17"/>
          <w:szCs w:val="17"/>
          <w:color w:val="auto"/>
        </w:rPr>
        <w:t>Our direct external research and development expenses consist primarily of fees paid to CROs and outside consultants in connection with our preclinical and 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153"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We do not allocate employee costs,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w:t>
      </w:r>
    </w:p>
    <w:p>
      <w:pPr>
        <w:spacing w:after="0" w:line="232" w:lineRule="exact"/>
        <w:rPr>
          <w:sz w:val="20"/>
          <w:szCs w:val="20"/>
          <w:color w:val="auto"/>
        </w:rPr>
      </w:pPr>
    </w:p>
    <w:tbl>
      <w:tblPr>
        <w:tblLayout w:type="fixed"/>
        <w:tblInd w:w="102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262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69"/>
        </w:trPr>
        <w:tc>
          <w:tcPr>
            <w:tcW w:w="5980" w:type="dxa"/>
            <w:vAlign w:val="bottom"/>
          </w:tcPr>
          <w:p>
            <w:pPr>
              <w:spacing w:after="0"/>
              <w:rPr>
                <w:sz w:val="14"/>
                <w:szCs w:val="14"/>
                <w:color w:val="auto"/>
              </w:rPr>
            </w:pPr>
          </w:p>
        </w:tc>
        <w:tc>
          <w:tcPr>
            <w:tcW w:w="9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5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w:t>
            </w:r>
          </w:p>
        </w:tc>
        <w:tc>
          <w:tcPr>
            <w:tcW w:w="1120" w:type="dxa"/>
            <w:vAlign w:val="bottom"/>
            <w:gridSpan w:val="2"/>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TNG908 direct program expenses</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120" w:type="dxa"/>
            <w:vAlign w:val="bottom"/>
            <w:gridSpan w:val="2"/>
            <w:shd w:val="clear" w:color="auto" w:fill="CFF0FC"/>
          </w:tcPr>
          <w:p>
            <w:pPr>
              <w:jc w:val="center"/>
              <w:ind w:right="5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40" w:type="dxa"/>
            <w:vAlign w:val="bottom"/>
            <w:shd w:val="clear" w:color="auto" w:fill="CFF0FC"/>
          </w:tcPr>
          <w:p>
            <w:pPr>
              <w:spacing w:after="0"/>
              <w:rPr>
                <w:sz w:val="18"/>
                <w:szCs w:val="18"/>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USP1 direct program expenses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40" w:type="dxa"/>
            <w:vAlign w:val="bottom"/>
          </w:tcPr>
          <w:p>
            <w:pPr>
              <w:spacing w:after="0"/>
              <w:rPr>
                <w:sz w:val="18"/>
                <w:szCs w:val="18"/>
                <w:color w:val="auto"/>
              </w:rPr>
            </w:pP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Discovery direct program expenses</w:t>
            </w: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40" w:type="dxa"/>
            <w:vAlign w:val="bottom"/>
            <w:shd w:val="clear" w:color="auto" w:fill="CFF0FC"/>
          </w:tcPr>
          <w:p>
            <w:pPr>
              <w:spacing w:after="0"/>
              <w:rPr>
                <w:sz w:val="18"/>
                <w:szCs w:val="18"/>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9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Personnel related expenses</w:t>
            </w: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40" w:type="dxa"/>
            <w:vAlign w:val="bottom"/>
            <w:shd w:val="clear" w:color="auto" w:fill="CFF0FC"/>
          </w:tcPr>
          <w:p>
            <w:pPr>
              <w:spacing w:after="0"/>
              <w:rPr>
                <w:sz w:val="18"/>
                <w:szCs w:val="18"/>
                <w:color w:val="auto"/>
              </w:rPr>
            </w:pPr>
          </w:p>
        </w:tc>
      </w:tr>
      <w:tr>
        <w:trPr>
          <w:trHeight w:val="216"/>
        </w:trPr>
        <w:tc>
          <w:tcPr>
            <w:tcW w:w="5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Facilities and other related expenses</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2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40" w:type="dxa"/>
            <w:vAlign w:val="bottom"/>
          </w:tcPr>
          <w:p>
            <w:pPr>
              <w:spacing w:after="0"/>
              <w:rPr>
                <w:sz w:val="18"/>
                <w:szCs w:val="18"/>
                <w:color w:val="auto"/>
              </w:rPr>
            </w:pPr>
          </w:p>
        </w:tc>
      </w:tr>
      <w:tr>
        <w:trPr>
          <w:trHeight w:val="250"/>
        </w:trPr>
        <w:tc>
          <w:tcPr>
            <w:tcW w:w="5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24,330</w:t>
            </w:r>
          </w:p>
        </w:tc>
        <w:tc>
          <w:tcPr>
            <w:tcW w:w="2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center"/>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-24765</wp:posOffset>
            </wp:positionV>
            <wp:extent cx="342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342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342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-8255</wp:posOffset>
            </wp:positionV>
            <wp:extent cx="342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7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are expected to increase significantly as we commence clinical trials. We anticipate that our expenses will increase substantially, particularly due to the numerous risks and uncertainties associated with developing product candidates, including the uncertainty of:</w:t>
      </w:r>
    </w:p>
    <w:p>
      <w:pPr>
        <w:spacing w:after="0" w:line="78" w:lineRule="exact"/>
        <w:rPr>
          <w:sz w:val="20"/>
          <w:szCs w:val="20"/>
          <w:color w:val="auto"/>
        </w:rPr>
      </w:pPr>
    </w:p>
    <w:p>
      <w:pPr>
        <w:ind w:left="1140" w:right="580" w:hanging="383"/>
        <w:spacing w:after="0" w:line="266"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our ongoing research activities as well as any preclinical studies, clinical trials and other research and development activities;</w:t>
      </w:r>
    </w:p>
    <w:p>
      <w:pPr>
        <w:spacing w:after="0" w:line="5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 enabling studies;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show safety and efficacy in our clinical trials;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collaboration with Gilead;</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4" w:name="page25"/>
    <w:bookmarkEnd w:id="24"/>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products following any regulatory approval.</w:t>
      </w:r>
    </w:p>
    <w:p>
      <w:pPr>
        <w:spacing w:after="0" w:line="212"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7"/>
          <w:szCs w:val="17"/>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U.S. Food and Drug Administration, or FDA, European Medicines Agency, or EMA,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80" w:firstLine="509"/>
        <w:spacing w:after="0" w:line="272" w:lineRule="auto"/>
        <w:rPr>
          <w:sz w:val="20"/>
          <w:szCs w:val="20"/>
          <w:color w:val="auto"/>
        </w:rPr>
      </w:pPr>
      <w:r>
        <w:rPr>
          <w:rFonts w:ascii="Times New Roman" w:cs="Times New Roman" w:eastAsia="Times New Roman" w:hAnsi="Times New Roman"/>
          <w:sz w:val="17"/>
          <w:szCs w:val="17"/>
          <w:color w:val="auto"/>
        </w:rPr>
        <w:t>General and administrative expense consists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72"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operating as a public company.</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of income earned and losses incurred in connection with our investments in money market funds, U.S. Treasury bills and U.S. government agency bonds.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expense, net consists of miscellaneous expense unrelated to our core operations.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16"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Our provision for income tax consists of an estimate for U.S. federal and state income taxes based on enacted rates, as adjusted for allowable credits, deductions, uncertain tax positions, changes in deferred tax assets and liabilities and changes in tax law. We recorded no provision for income taxes for the three months ended March 31, 2022 and an insignificant provision for income taxes for the three months ended March 31, 2021.</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2022 and 2021</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2022 and 2021:</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5"/>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1180" w:type="dxa"/>
            <w:vAlign w:val="bottom"/>
            <w:gridSpan w:val="2"/>
            <w:vMerge w:val="restart"/>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31,137</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18,467</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13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(25,379 )</w:t>
            </w:r>
          </w:p>
        </w:tc>
        <w:tc>
          <w:tcPr>
            <w:tcW w:w="160" w:type="dxa"/>
            <w:vAlign w:val="bottom"/>
          </w:tcPr>
          <w:p>
            <w:pPr>
              <w:spacing w:after="0"/>
              <w:rPr>
                <w:sz w:val="18"/>
                <w:szCs w:val="18"/>
                <w:color w:val="auto"/>
              </w:rPr>
            </w:pP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(12,081 )</w:t>
            </w: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(13,298 )</w:t>
            </w: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(47 )</w:t>
            </w:r>
          </w:p>
        </w:tc>
        <w:tc>
          <w:tcPr>
            <w:tcW w:w="1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(55 )</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(12,032</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18"/>
                <w:szCs w:val="18"/>
                <w:color w:val="auto"/>
              </w:rPr>
            </w:pP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(74 )</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(27,853 )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(12,091 )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(15,762 )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-1285240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-1285240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-1285240</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-728345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-728345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-728345</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-153670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-153670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-153670</wp:posOffset>
            </wp:positionV>
            <wp:extent cx="59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Collaboration revenue of $5.8 million and $6.4 million for the three months ended March 31, 2022 and 2021, respectively, was derived from the Gilead collaboration. The decrease of $0.6 million was due to lower research costs incurred under the collaboration during the three months ended March 31, 2022 resulting in lower collaboration revenue recognition.</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 was $24.3 million for the three months ended March 31, 2022 compared to $15.0 million for the three months ended March 31, 2021. The increase of $9.3 million was primarily due to a $6.2 million increase in external CRO expenses and lab supplies primarily relating to the advancement of our programs. Additionally, personnel-related costs increased $2.2 million primarily due to an increase of share-based compensation expense and additional headcount to support our research and development activities.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jc w:val="both"/>
        <w:ind w:right="36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was $6.8 million for the three months ended March 31, 2022 compared to $3.5 million for the three months ended March 31, 2021. The increase of $3.3 million was primarily due to a $2.0 million increase in personnel-related costs due to an increase in share-based compensation expense and additional headcount.</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Interest income was $0.2 million for the three months ended March 31, 2022 compared to interest income of $0.1 million for the three months ended March 31, 2021. Interest income and expense was not significant for the three month periods primarily due to low interest rates in each period.</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Other expense, net was less than $0.1 million for both the three months ended March 31, 2022 and 2021. Other expense was not significant for both the three months ended March 31, 2022 and 2021.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Provision for income taxes was $0 for the three months ended March 31, 2022 compared to $0.1 million for the three months ended March 31, 2021. The tax provision in the period ended March 31, 2021 is primarily attributable to taxable deferred revenue partially offset by the utilization of federal and state net operating losses and federal and state tax credits.</w:t>
      </w:r>
    </w:p>
    <w:p>
      <w:pPr>
        <w:spacing w:after="0" w:line="186"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16"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Since our inception, we have generated recurring net losses. We have not yet commercialized any product and we do not expect to generate revenue from sales of any products for several years, if at all. Since our inception, we have funded our operations primarily through proceeds from the issuance of equity in the form of stock and from the proceeds received from our collaboration with Gilead. To date, we have raised an aggregate of approximately $166.9 million of gross proceeds from the private placement of preferred shares, $342.1 million of gross proceeds from the Business Combination and PIPE Financing transactions, and $214.1 million through the collaboration with Gilead. As of March 31, 2022, we had cash and cash equivalents and marketable securities of $449.9 million.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1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on hand as of March 31, 2022 of $449.9 million will enable us to fund our operating expenses and capital expenditure requirements at least into the second half of 2024. We have based this estimate on assumptions that may prove to be wrong, and we could expend our capital resources sooner than we expect.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2022 and 2021</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nine month periods presented:</w:t>
      </w:r>
    </w:p>
    <w:p>
      <w:pPr>
        <w:spacing w:after="0" w:line="219" w:lineRule="exact"/>
        <w:rPr>
          <w:sz w:val="20"/>
          <w:szCs w:val="20"/>
          <w:color w:val="auto"/>
        </w:rPr>
      </w:pPr>
    </w:p>
    <w:tbl>
      <w:tblPr>
        <w:tblLayout w:type="fixed"/>
        <w:tblInd w:w="420" w:type="dxa"/>
        <w:tblCellMar>
          <w:top w:w="0" w:type="dxa"/>
          <w:left w:w="0" w:type="dxa"/>
          <w:bottom w:w="0" w:type="dxa"/>
          <w:right w:w="0" w:type="dxa"/>
        </w:tblCellMar>
      </w:tblPr>
      <w:tr>
        <w:trPr>
          <w:trHeight w:val="187"/>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10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(29,665 )</w:t>
            </w:r>
          </w:p>
        </w:tc>
        <w:tc>
          <w:tcPr>
            <w:tcW w:w="420" w:type="dxa"/>
            <w:vAlign w:val="bottom"/>
            <w:shd w:val="clear" w:color="auto" w:fill="CFF0FC"/>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(13,613 )</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(16,052 )</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80" w:type="dxa"/>
            <w:vAlign w:val="bottom"/>
          </w:tcPr>
          <w:p>
            <w:pPr>
              <w:spacing w:after="0"/>
              <w:rPr>
                <w:sz w:val="18"/>
                <w:szCs w:val="18"/>
                <w:color w:val="auto"/>
              </w:rPr>
            </w:pPr>
          </w:p>
        </w:tc>
        <w:tc>
          <w:tcPr>
            <w:tcW w:w="13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(11,717 )</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(32,329 )</w:t>
            </w: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(30,154 )</w:t>
            </w:r>
          </w:p>
        </w:tc>
        <w:tc>
          <w:tcPr>
            <w:tcW w:w="0" w:type="dxa"/>
            <w:vAlign w:val="bottom"/>
          </w:tcPr>
          <w:p>
            <w:pPr>
              <w:spacing w:after="0"/>
              <w:rPr>
                <w:sz w:val="1"/>
                <w:szCs w:val="1"/>
                <w:color w:val="auto"/>
              </w:rPr>
            </w:pPr>
          </w:p>
        </w:tc>
      </w:tr>
      <w:tr>
        <w:trPr>
          <w:trHeight w:val="20"/>
        </w:trPr>
        <w:tc>
          <w:tcPr>
            <w:tcW w:w="58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(41,125 )</w:t>
            </w:r>
          </w:p>
        </w:tc>
        <w:tc>
          <w:tcPr>
            <w:tcW w:w="4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37,410</w:t>
            </w:r>
          </w:p>
        </w:tc>
        <w:tc>
          <w:tcPr>
            <w:tcW w:w="22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(78,535 )</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-170815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-170815</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Cash flows from operating activities represent the cash receipts and disbursements related to all of our activities other than investing and financing activities. Operating cash flow is derived by adjusting our net loss for non-cash operating items such as depreciation, and stock-based compensation as well as changes in operating assets and liabilities, which reflect timing differences between the receipt and payment of cash associated with transactions and when they are recognized in our results of operations.</w:t>
      </w:r>
    </w:p>
    <w:p>
      <w:pPr>
        <w:spacing w:after="0" w:line="177"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was $29.7 million for the three months ended March 31, 2022 compared to net cash used in operating activities of $13.6 million for the three months ended March 31, 2021. The increase in net cash used in operating activities for the three months ended March 31, 2022 was primarily due to an increase to the net loss as a direct result of higher operating expenses related to the advancement of our programs and personnel-related costs. The increase was partially offset by higher non-cash expenses, including stock compensation.</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14"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Net cash used in investing activities was $11.7 million for the three months ended March 31, 2022 compared to net cash provided by investing activities of $20.6 million for the three months ended March 31, 2021. The increase in net cash used in investing activities was primarily due to an increase in purchases of marketable securities partially offset by increased sales and maturities of marketable securities as compared to the three month period ended March 31, 2021.</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Net cash provided by financing activities was $0.3 million for the three months ended March 31, 2022 compared to net cash provided by financing activities of $30.4 million for the three months ended March 31, 2021. The decrease in net cash provided by financing activities was a result of $30.0 million in net proceeds related to the issuance of shares of redeemable convertible Series B preferred stock in March 2021. The cash provided by financing activities for the three months ended March 31, 2022 was the result of cash provided from the exercises of stock options.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1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at March 31, 2022 and the effects that such obligations are expected to have on our liquidity and cash flows in future periods:</w:t>
      </w:r>
    </w:p>
    <w:p>
      <w:pPr>
        <w:spacing w:after="0" w:line="155" w:lineRule="exact"/>
        <w:rPr>
          <w:sz w:val="20"/>
          <w:szCs w:val="20"/>
          <w:color w:val="auto"/>
        </w:rPr>
      </w:pPr>
    </w:p>
    <w:tbl>
      <w:tblPr>
        <w:tblLayout w:type="fixed"/>
        <w:tblInd w:w="42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right"/>
              <w:ind w:right="279"/>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80" w:type="dxa"/>
            <w:vAlign w:val="bottom"/>
          </w:tcPr>
          <w:p>
            <w:pPr>
              <w:spacing w:after="0"/>
              <w:rPr>
                <w:sz w:val="11"/>
                <w:szCs w:val="11"/>
                <w:color w:val="auto"/>
              </w:rPr>
            </w:pPr>
          </w:p>
        </w:tc>
        <w:tc>
          <w:tcPr>
            <w:tcW w:w="104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-153670</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-153670</wp:posOffset>
            </wp:positionV>
            <wp:extent cx="431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-153670</wp:posOffset>
            </wp:positionV>
            <wp:extent cx="431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-153670</wp:posOffset>
            </wp:positionV>
            <wp:extent cx="342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-153670</wp:posOffset>
            </wp:positionV>
            <wp:extent cx="342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The commitment amounts in the table above reflect the minimum payments due under our operating lease for office and laboratory space at our 100 Binney Street, Cambridge, Massachusetts location. These commitments are also recognized as operating lease liabilities in our balance sheet at March 31, 2022. In November 2021, we entered into a lease termination agreement for the leased office and laboratory space at 100 Binney Street in Cambridge, Massachusetts. The lease termination agreement is a modification of the lease agreement for these premises that provides, among other things, the acceleration of the expiration of the original term of the lease from June 30, 2026 to an earlier lease termination date, which earlier date shall be no later than October 15, 2022.</w:t>
      </w:r>
    </w:p>
    <w:p>
      <w:pPr>
        <w:spacing w:after="0" w:line="195"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The table does not include the minimum payments due under our new operating lease for office and laboratory space at 201 Brookline Avenue, Boston, Massachusetts as we have not occupied the premises and the lease payments in connection with this lease are yet to commence as of March 31, 2022. Commitments pertaining to the 201 Brookline Avenue lease will be added to the table above, and also recognized as operating lease liabilities on our balance sheet upon achievement of the new lease commencement date. The fixed annual rent payable under the lease is $5.1 million, increasing by 3% annually from the rent commencement date.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227"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we enter into contracts with third parties for preclinical studies, clinical operations, manufacturing and research and development supplies. These contracts generally do not contain minimum purchase commitments and provide for termination on notice, and therefore are cancellable contracts. These payments are not included in the table above as the amount and timing of such payments are not known as of March 31, 2022.</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Obligations</w:t>
      </w:r>
    </w:p>
    <w:p>
      <w:pPr>
        <w:spacing w:after="0" w:line="214"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We have also entered into a license agreement under which we may be obligated to make milestone and royalty payments. We have not included future milestone or royalty payments under the agreement in the table above since the payment obligations are contingent upon future events, such as achieving certain development, regulatory, and commercial milestones or generating product sales. As of March 31, 2022 and December 31, 2021, we were unable to estimate the timing or likelihood of achieving these milestones or generating future product sales. Refer to Note 8 of our unaudited condensed consolidated financial statements and related notes in this Quarterly Report on Form 10-Q for a description of our license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16"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and at the time these estimates are made, the results of which form the basis for making judgments about the carrying values of assets and liabilities that are not readily apparent from other sources. We evaluate our estimates and assumptions on an ongoing basis. Some of the judgments and estimates we make can be subjective and complex. Our actual results may differ from these estimates under different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28" w:name="page29"/>
    <w:bookmarkEnd w:id="28"/>
    <w:p>
      <w:pPr>
        <w:ind w:right="120"/>
        <w:spacing w:after="0" w:line="258" w:lineRule="auto"/>
        <w:rPr>
          <w:sz w:val="20"/>
          <w:szCs w:val="20"/>
          <w:color w:val="auto"/>
        </w:rPr>
      </w:pPr>
      <w:r>
        <w:rPr>
          <w:rFonts w:ascii="Times New Roman" w:cs="Times New Roman" w:eastAsia="Times New Roman" w:hAnsi="Times New Roman"/>
          <w:sz w:val="18"/>
          <w:szCs w:val="18"/>
          <w:color w:val="auto"/>
        </w:rPr>
        <w:t>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6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and related notes included in our Annual Report on Form 10-K for the year ended December 31, 2021, we believe that the following accounting policies are those most critical to the judgments and estimates used in the preparation of our financial statements.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60" w:lineRule="exact"/>
        <w:rPr>
          <w:sz w:val="20"/>
          <w:szCs w:val="20"/>
          <w:color w:val="auto"/>
        </w:rPr>
      </w:pPr>
    </w:p>
    <w:p>
      <w:pPr>
        <w:ind w:right="120" w:firstLine="509"/>
        <w:spacing w:after="0" w:line="242" w:lineRule="auto"/>
        <w:rPr>
          <w:sz w:val="20"/>
          <w:szCs w:val="20"/>
          <w:color w:val="auto"/>
        </w:rPr>
      </w:pPr>
      <w:r>
        <w:rPr>
          <w:rFonts w:ascii="Times New Roman" w:cs="Times New Roman" w:eastAsia="Times New Roman" w:hAnsi="Times New Roman"/>
          <w:sz w:val="18"/>
          <w:szCs w:val="18"/>
          <w:color w:val="auto"/>
        </w:rPr>
        <w:t xml:space="preserve">We recognize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probable.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92"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18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188" w:lineRule="exact"/>
        <w:rPr>
          <w:sz w:val="20"/>
          <w:szCs w:val="20"/>
          <w:color w:val="auto"/>
        </w:rPr>
      </w:pPr>
    </w:p>
    <w:p>
      <w:pPr>
        <w:ind w:right="340" w:firstLine="509"/>
        <w:spacing w:after="0" w:line="250" w:lineRule="auto"/>
        <w:rPr>
          <w:sz w:val="20"/>
          <w:szCs w:val="20"/>
          <w:color w:val="auto"/>
        </w:rPr>
      </w:pPr>
      <w:r>
        <w:rPr>
          <w:rFonts w:ascii="Times New Roman" w:cs="Times New Roman" w:eastAsia="Times New Roman" w:hAnsi="Times New Roman"/>
          <w:sz w:val="18"/>
          <w:szCs w:val="18"/>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9" w:name="page30"/>
    <w:bookmarkEnd w:id="29"/>
    <w:p>
      <w:pPr>
        <w:ind w:right="140"/>
        <w:spacing w:after="0" w:line="282" w:lineRule="auto"/>
        <w:rPr>
          <w:sz w:val="20"/>
          <w:szCs w:val="20"/>
          <w:color w:val="auto"/>
        </w:rPr>
      </w:pPr>
      <w:r>
        <w:rPr>
          <w:rFonts w:ascii="Times New Roman" w:cs="Times New Roman" w:eastAsia="Times New Roman" w:hAnsi="Times New Roman"/>
          <w:sz w:val="18"/>
          <w:szCs w:val="18"/>
          <w:color w:val="auto"/>
        </w:rPr>
        <w:t>to determine the standalone selling price may include forecasted revenues, development timelines, reimbursement rates for personnel costs, discount rates and probabilities of technical and regulatory success.</w:t>
      </w:r>
    </w:p>
    <w:p>
      <w:pPr>
        <w:spacing w:after="0" w:line="148"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77" w:lineRule="exact"/>
        <w:rPr>
          <w:sz w:val="20"/>
          <w:szCs w:val="20"/>
          <w:color w:val="auto"/>
        </w:rPr>
      </w:pPr>
    </w:p>
    <w:p>
      <w:pPr>
        <w:jc w:val="both"/>
        <w:ind w:right="120" w:firstLine="509"/>
        <w:spacing w:after="0" w:line="250" w:lineRule="auto"/>
        <w:rPr>
          <w:sz w:val="20"/>
          <w:szCs w:val="20"/>
          <w:color w:val="auto"/>
        </w:rPr>
      </w:pPr>
      <w:r>
        <w:rPr>
          <w:rFonts w:ascii="Times New Roman" w:cs="Times New Roman" w:eastAsia="Times New Roman" w:hAnsi="Times New Roman"/>
          <w:sz w:val="18"/>
          <w:szCs w:val="18"/>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77"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 certain instances, the timing of and total costs of satisfying these obligations under our collaboration agreement can be difficult to estimate. Accordingly, our estimates may change in the future. Such changes to estimates would result in a change in revenue recognition amounts. If these estimates and judgments change over the course of these agreements, it may affect the timing and amount of revenue that we will recognize and record in future periods.</w:t>
      </w:r>
    </w:p>
    <w:p>
      <w:pPr>
        <w:spacing w:after="0" w:line="191" w:lineRule="exact"/>
        <w:rPr>
          <w:sz w:val="20"/>
          <w:szCs w:val="20"/>
          <w:color w:val="auto"/>
        </w:rPr>
      </w:pPr>
    </w:p>
    <w:p>
      <w:pPr>
        <w:ind w:right="180" w:firstLine="509"/>
        <w:spacing w:after="0" w:line="245" w:lineRule="auto"/>
        <w:rPr>
          <w:sz w:val="20"/>
          <w:szCs w:val="20"/>
          <w:color w:val="auto"/>
        </w:rPr>
      </w:pPr>
      <w:r>
        <w:rPr>
          <w:rFonts w:ascii="Times New Roman" w:cs="Times New Roman" w:eastAsia="Times New Roman" w:hAnsi="Times New Roman"/>
          <w:sz w:val="18"/>
          <w:szCs w:val="18"/>
          <w:color w:val="auto"/>
        </w:rPr>
        <w:t>Under ASC 606, we will recognize revenue when we fulfill our performance obligations under the agreement with Gilead.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16"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18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16"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18"/>
          <w:szCs w:val="18"/>
          <w:color w:val="auto"/>
        </w:rPr>
        <w:t>We estimate the fair value of our stock option awards using the Black Scholes method utilizing the “simplified method,” for determining the expected life of the award, which is based on the mid-point between the vesting date and the end of the contractual term as all options granted after becoming a public entity will be granted “at-the-money.” We determine the volatility for options granted based on an analysis of reported data for a peer group of companies. The expected volatility of granted options has been determined using a weighted-average of the historical volatility measures of this peer group of companies. We will continue to apply</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0" w:name="page31"/>
    <w:bookmarkEnd w:id="30"/>
    <w:p>
      <w:pPr>
        <w:ind w:right="80"/>
        <w:spacing w:after="0" w:line="250" w:lineRule="auto"/>
        <w:rPr>
          <w:sz w:val="20"/>
          <w:szCs w:val="20"/>
          <w:color w:val="auto"/>
        </w:rPr>
      </w:pPr>
      <w:r>
        <w:rPr>
          <w:rFonts w:ascii="Times New Roman" w:cs="Times New Roman" w:eastAsia="Times New Roman" w:hAnsi="Times New Roman"/>
          <w:sz w:val="18"/>
          <w:szCs w:val="18"/>
          <w:color w:val="auto"/>
        </w:rPr>
        <w:t>this method until a sufficient amount of historical information regarding the volatility of our own stock price becomes available. The fair value of each share of common stock underlying stock-based awards is based on the closing price of our common stock as reported by Nasdaq on the date of grant. The risk-free interest rate utilized in our calculations is based on a treasury instrument whose term is consistent with the expected life of the stock options. The expected dividend yield is assumed to be zero as we have never paid dividends and do not have current plans to pay any dividends on our common stock.</w:t>
      </w:r>
    </w:p>
    <w:p>
      <w:pPr>
        <w:spacing w:after="0" w:line="191" w:lineRule="exact"/>
        <w:rPr>
          <w:sz w:val="20"/>
          <w:szCs w:val="20"/>
          <w:color w:val="auto"/>
        </w:rPr>
      </w:pPr>
    </w:p>
    <w:p>
      <w:pPr>
        <w:ind w:right="320" w:firstLine="509"/>
        <w:spacing w:after="0" w:line="250" w:lineRule="auto"/>
        <w:rPr>
          <w:sz w:val="20"/>
          <w:szCs w:val="20"/>
          <w:color w:val="auto"/>
        </w:rPr>
      </w:pPr>
      <w:r>
        <w:rPr>
          <w:rFonts w:ascii="Times New Roman" w:cs="Times New Roman" w:eastAsia="Times New Roman" w:hAnsi="Times New Roman"/>
          <w:sz w:val="18"/>
          <w:szCs w:val="18"/>
          <w:color w:val="auto"/>
        </w:rPr>
        <w:t>We measured stock-based awards granted to employees, non-employees and directors based on their fair value on the date of the grant using the Black-Scholes option-pricing model for options or the difference between the purchase price per share of the award, if any, and the fair value of our common stock for restricted common stock awards.</w:t>
      </w:r>
    </w:p>
    <w:p>
      <w:pPr>
        <w:spacing w:after="0" w:line="190"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 xml:space="preserve">Prior to the consummation of the Business Combination, as there was not a public market for our common stock prior to becoming publicly traded in August 2021, the estimated fair value of our common stock was determined by our board of directors as of the date of grant of each option or restricted stock award,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Our common stock valuations were prepared using either an option pricing method, or OPM, or a hybrid method, both of which used market approaches to estimate our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had value only if the funds available for distribution to stockholders exceed the value of the preferred stock liquidation preferences at the time of the liquidity event, such as a strategic sale or a merger. The hybrid method was a probability-weighted expected return method, or PWERM, where the equity value in one or more scenarios is calculated using an OPM. The PWERM is a scenario-based methodology that estimated the fair value of common stock based upon an analysis of future values for the company, assuming various outcomes. The common stock value was based on the probability-weighted present value of expected future investment returns considering each of the possible outcomes available as well as the rights of each class of stock. The future value of the common stock under each outcome was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 The Black-Scholes option-pricing model also uses as inputs the fair value of our common stock and assumptions we make for the volatility of our common stock, the expected term of our common stock options, the risk-free interest rate for a period that approximates the expected term of our common stock options, and our expected dividend yield.</w:t>
      </w:r>
    </w:p>
    <w:p>
      <w:pPr>
        <w:spacing w:after="0" w:line="198"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Compensation expense for awards is recognized over the requisite service period, which is generally the vesting period of the respective award for employees and directors and the period during which services are performed for non-employees. We use the straight-line method to record the expense of awards with service-based vesting conditions.</w:t>
      </w:r>
    </w:p>
    <w:p>
      <w:pPr>
        <w:spacing w:after="0" w:line="16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believe our methodologies are reasonable based upon our internal peer company analyses. If different assumptions had been made, equity-based compensation expense, consolidated net loss and consolidated net loss per share could have been significantly different.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1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 description of recently issued and adopted accounting pronouncements that may potentially impact our financial position, results of operations or cash flows is disclosed within Note 2 of our unaudited condensed consolidated financial statements and related notes appearing elsewhere in this Quarterly Report on Form 10-Q and also in Note 2 to our audited consolidated financial statements and related notes in our Annual Report on Form 10-K for the year ended December 31,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16"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18"/>
          <w:szCs w:val="18"/>
          <w:color w:val="auto"/>
        </w:rPr>
        <w:t>We are an “emerging growth company,” under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private entities. As an emerging growth company, we may take advantage of certain exemptions and reduced reporting requirements under the JOBS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certain conditions, as an emerging growth company:</w:t>
      </w:r>
    </w:p>
    <w:p>
      <w:pPr>
        <w:spacing w:after="0" w:line="85" w:lineRule="exact"/>
        <w:rPr>
          <w:sz w:val="20"/>
          <w:szCs w:val="20"/>
          <w:color w:val="auto"/>
        </w:rPr>
      </w:pPr>
    </w:p>
    <w:p>
      <w:pPr>
        <w:ind w:left="1020" w:right="4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present only two years of audited financial statements and only two years of related Management’s Discussion and Analysis of Financial Condition and Results of Operations in our periodic reports and registration statements;</w:t>
      </w:r>
    </w:p>
    <w:p>
      <w:pPr>
        <w:spacing w:after="0" w:line="67"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avail ourselves of the exemption from providing an auditor’s attestation report on our system of internal controls over financial reporting pursuant to Section 404(b) of the Sarbanes-Oxley Act;</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provide reduced disclosure about our executive compensation arrangements;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require nonbinding advisory votes on executive compensation or stockholder approval of any golden parachute payments.</w:t>
      </w:r>
    </w:p>
    <w:p>
      <w:pPr>
        <w:spacing w:after="0" w:line="212"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December 31, 2025, (ii) the last day of the fiscal year in which we have total annual gross revenues of $1.07 billion or more,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w:t>
      </w:r>
    </w:p>
    <w:p>
      <w:pPr>
        <w:spacing w:after="0" w:line="195"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Market risk represents the risk of loss that may impact our financial position due to adverse changes in financial market prices and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14"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We had cash, cash equivalents and marketable securities of $449.9 million and $485.3 million as of March 31, 2022 and December 31, 2021, respectively, which consisted of cash, money market funds, U.S. Treasury bills and U.S. government agency bonds. Interest income is sensitive to changes in the general level of interest rates; however, due to the nature of these investments, an immediate 1% change in interest rates would not have a material effect on the fair market value of our investment portfolio.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14"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1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Our operations may be subject to inflation in the future.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32" w:name="page33"/>
    <w:bookmarkEnd w:id="32"/>
    <w:p>
      <w:pPr>
        <w:ind w:firstLine="509"/>
        <w:spacing w:after="0" w:line="247"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March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w:t>
      </w:r>
    </w:p>
    <w:p>
      <w:pPr>
        <w:spacing w:after="0" w:line="16" w:lineRule="exact"/>
        <w:rPr>
          <w:sz w:val="20"/>
          <w:szCs w:val="20"/>
          <w:color w:val="auto"/>
        </w:rPr>
      </w:pPr>
    </w:p>
    <w:p>
      <w:pPr>
        <w:ind w:right="200" w:firstLine="8"/>
        <w:spacing w:after="0" w:line="243"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Exchange Act Rules 13a-15 or 15d-15 that occurred during the quarter ended March 31, 2022 that materially affected, or were reasonably likely to materially affect, the Company’s internal control over financial reporting.</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3" w:name="page34"/>
    <w:bookmarkEnd w:id="3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Regardless of outcome, litigation can have an adverse impact on our business, financial condition, results of operations and prospects because of defense and settlement costs, diversion of management resources and other factors.</w:t>
      </w:r>
    </w:p>
    <w:p>
      <w:pPr>
        <w:spacing w:after="0" w:line="16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litigation or legal proceedings that, in the opinion of our management, are probable to have a material adverse effect on our business.</w:t>
      </w:r>
    </w:p>
    <w:p>
      <w:pPr>
        <w:spacing w:after="0" w:line="1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20" w:right="5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80" w:firstLine="576"/>
        <w:spacing w:after="0" w:line="242"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all other information in this Quarterly Report on Form 10-Q, including our financial statements and the related notes and the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Quarterly Report on Form 10-Q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See also the section titled “Note Regarding Forward-Looking Statements” above.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precision oncology company with a limited operating history.</w:t>
      </w:r>
    </w:p>
    <w:p>
      <w:pPr>
        <w:spacing w:after="0" w:line="108"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8"/>
          <w:szCs w:val="18"/>
          <w:color w:val="auto"/>
        </w:rPr>
        <w:t>We are a precision oncology company with a limited operating history. Biopharmaceutical product development is a highly speculative undertaking and involves a substantial degree of risk. Since the Company's inception, we have devoted substantially all of our efforts to organizing and staffing our company, acquiring and developing intellectual property, business planning, raising capital, conducting discovery, research and development activities, and providing general and administrative support for these operations. We have no products approved for commercial sale and therefore have never generated any revenue from product sales, and we do not expect to in the foreseeable future. We have not obtained regulatory approvals for any of our product candidates, and there is no assurance that we will obtain approvals in the future. Our first investigational new drug, or IND, application, for TNG908, was cleared by the FDA in the first quarter of 2022. Other than TNG908, all of our product candidates are still in preclinical development. We expect to continue to incur significant expenses and operating losses over the next several years and for the foreseeable future. Our prior losses, combined with expected future losses, have had and will continue to have an adverse effect on cash and cash equivalent holdings, our stockholders’ equity and working capital.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anticipate that we will continue to incur losses for the foreseeable future.</w:t>
      </w:r>
    </w:p>
    <w:p>
      <w:pPr>
        <w:spacing w:after="0" w:line="108" w:lineRule="exact"/>
        <w:rPr>
          <w:sz w:val="20"/>
          <w:szCs w:val="20"/>
          <w:color w:val="auto"/>
        </w:rPr>
      </w:pPr>
    </w:p>
    <w:p>
      <w:pPr>
        <w:ind w:firstLine="576"/>
        <w:spacing w:after="0" w:line="246"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For the three months ended March 31, 2022, our net loss was $25.2 million. As of March 31, 2022, we had an accumulated deficit of $186.5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71" w:lineRule="exact"/>
        <w:rPr>
          <w:sz w:val="20"/>
          <w:szCs w:val="20"/>
          <w:color w:val="auto"/>
        </w:rPr>
      </w:pPr>
    </w:p>
    <w:p>
      <w:pPr>
        <w:ind w:right="140" w:firstLine="576"/>
        <w:spacing w:after="0" w:line="250" w:lineRule="auto"/>
        <w:rPr>
          <w:sz w:val="20"/>
          <w:szCs w:val="20"/>
          <w:color w:val="auto"/>
        </w:rPr>
      </w:pPr>
      <w:r>
        <w:rPr>
          <w:rFonts w:ascii="Times New Roman" w:cs="Times New Roman" w:eastAsia="Times New Roman" w:hAnsi="Times New Roman"/>
          <w:sz w:val="18"/>
          <w:szCs w:val="18"/>
          <w:color w:val="auto"/>
        </w:rPr>
        <w:t>The amount of our future losses is uncertain and our quarterly and annual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p>
    <w:p>
      <w:pPr>
        <w:spacing w:after="0" w:line="177" w:lineRule="exact"/>
        <w:rPr>
          <w:sz w:val="20"/>
          <w:szCs w:val="20"/>
          <w:color w:val="auto"/>
        </w:rPr>
      </w:pPr>
    </w:p>
    <w:p>
      <w:pPr>
        <w:ind w:right="720" w:firstLine="230"/>
        <w:spacing w:after="0" w:line="266" w:lineRule="auto"/>
        <w:rPr>
          <w:sz w:val="20"/>
          <w:szCs w:val="20"/>
          <w:color w:val="auto"/>
        </w:rPr>
      </w:pPr>
      <w:r>
        <w:rPr>
          <w:rFonts w:ascii="Times New Roman" w:cs="Times New Roman" w:eastAsia="Times New Roman" w:hAnsi="Times New Roman"/>
          <w:sz w:val="18"/>
          <w:szCs w:val="18"/>
          <w:color w:val="auto"/>
        </w:rPr>
        <w:t>the timing and success or failure of future clinical trials for our product candidates or competing product candidates, or any other change in the competitive landscape of our industry, including consolidation among our competitors or partners;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5" w:name="page36"/>
    <w:bookmarkEnd w:id="35"/>
    <w:p>
      <w:pPr>
        <w:ind w:right="100" w:firstLine="230"/>
        <w:spacing w:after="0" w:line="254" w:lineRule="auto"/>
        <w:rPr>
          <w:sz w:val="20"/>
          <w:szCs w:val="20"/>
          <w:color w:val="auto"/>
        </w:rPr>
      </w:pPr>
      <w:r>
        <w:rPr>
          <w:rFonts w:ascii="Times New Roman" w:cs="Times New Roman" w:eastAsia="Times New Roman" w:hAnsi="Times New Roman"/>
          <w:sz w:val="18"/>
          <w:szCs w:val="18"/>
          <w:color w:val="auto"/>
        </w:rPr>
        <w:t>our ability to obtain INDs for our pipeline product candidates, successfully open clinical trial sites and recruit and retain subjects for clinical trials, and any delays caused by difficulties in such efforts;</w:t>
      </w:r>
    </w:p>
    <w:p>
      <w:pPr>
        <w:spacing w:after="0" w:line="234" w:lineRule="auto"/>
        <w:rPr>
          <w:sz w:val="20"/>
          <w:szCs w:val="20"/>
          <w:color w:val="auto"/>
        </w:rPr>
      </w:pPr>
      <w:r>
        <w:rPr>
          <w:rFonts w:ascii="Times New Roman" w:cs="Times New Roman" w:eastAsia="Times New Roman" w:hAnsi="Times New Roman"/>
          <w:sz w:val="18"/>
          <w:szCs w:val="18"/>
          <w:color w:val="auto"/>
        </w:rPr>
        <w:t>our ability to obtain regulatory approval for our product candidates, and the timing and scope of any such approvals we may receive;</w:t>
      </w:r>
    </w:p>
    <w:p>
      <w:pPr>
        <w:ind w:right="600" w:firstLine="230"/>
        <w:spacing w:after="0" w:line="242" w:lineRule="auto"/>
        <w:rPr>
          <w:sz w:val="20"/>
          <w:szCs w:val="20"/>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and any future product candidates and research-stage programs, which may change from time to time;</w:t>
      </w:r>
    </w:p>
    <w:p>
      <w:pPr>
        <w:spacing w:after="0" w:line="1" w:lineRule="exact"/>
        <w:rPr>
          <w:sz w:val="20"/>
          <w:szCs w:val="20"/>
          <w:color w:val="auto"/>
        </w:rPr>
      </w:pPr>
    </w:p>
    <w:p>
      <w:pPr>
        <w:ind w:right="100" w:firstLine="230"/>
        <w:spacing w:after="0" w:line="241" w:lineRule="auto"/>
        <w:rPr>
          <w:sz w:val="20"/>
          <w:szCs w:val="20"/>
          <w:color w:val="auto"/>
        </w:rPr>
      </w:pPr>
      <w:r>
        <w:rPr>
          <w:rFonts w:ascii="Times New Roman" w:cs="Times New Roman" w:eastAsia="Times New Roman" w:hAnsi="Times New Roman"/>
          <w:sz w:val="18"/>
          <w:szCs w:val="18"/>
          <w:color w:val="auto"/>
        </w:rPr>
        <w:t>the cost of manufacturing our product candidates and products, should they receive regulatory approval, which may vary depending on FDA and other comparable foreign regulatory requirements, the quantity of production and the terms of our agreements with manufacturers;</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our ability to attract, hire and retain qualified personnel;</w:t>
      </w:r>
    </w:p>
    <w:p>
      <w:pPr>
        <w:spacing w:after="0" w:line="234" w:lineRule="auto"/>
        <w:rPr>
          <w:sz w:val="20"/>
          <w:szCs w:val="20"/>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234" w:lineRule="auto"/>
        <w:rPr>
          <w:sz w:val="20"/>
          <w:szCs w:val="20"/>
          <w:color w:val="auto"/>
        </w:rPr>
      </w:pPr>
      <w:r>
        <w:rPr>
          <w:rFonts w:ascii="Times New Roman" w:cs="Times New Roman" w:eastAsia="Times New Roman" w:hAnsi="Times New Roman"/>
          <w:sz w:val="18"/>
          <w:szCs w:val="18"/>
          <w:color w:val="auto"/>
        </w:rPr>
        <w:t>the level of demand for our product candidates should they receive regulatory approval, which may vary significantly;</w:t>
      </w:r>
    </w:p>
    <w:p>
      <w:pPr>
        <w:ind w:right="800" w:firstLine="230"/>
        <w:spacing w:after="0" w:line="242" w:lineRule="auto"/>
        <w:rPr>
          <w:sz w:val="20"/>
          <w:szCs w:val="20"/>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1" w:lineRule="exact"/>
        <w:rPr>
          <w:sz w:val="20"/>
          <w:szCs w:val="20"/>
          <w:color w:val="auto"/>
        </w:rPr>
      </w:pPr>
    </w:p>
    <w:p>
      <w:pPr>
        <w:ind w:left="240" w:right="2240"/>
        <w:spacing w:after="0" w:line="243" w:lineRule="auto"/>
        <w:rPr>
          <w:sz w:val="20"/>
          <w:szCs w:val="20"/>
          <w:color w:val="auto"/>
        </w:rPr>
      </w:pPr>
      <w:r>
        <w:rPr>
          <w:rFonts w:ascii="Times New Roman" w:cs="Times New Roman" w:eastAsia="Times New Roman" w:hAnsi="Times New Roman"/>
          <w:sz w:val="18"/>
          <w:szCs w:val="18"/>
          <w:color w:val="auto"/>
        </w:rPr>
        <w:t>the changing and volatile U.S. and global economic environments, including as a result of the COVID-19 pandemic; and future accounting pronouncements or changes in our accounting policies.</w:t>
      </w:r>
    </w:p>
    <w:p>
      <w:pPr>
        <w:spacing w:after="0" w:line="195" w:lineRule="exact"/>
        <w:rPr>
          <w:sz w:val="20"/>
          <w:szCs w:val="20"/>
          <w:color w:val="auto"/>
        </w:rPr>
      </w:pPr>
    </w:p>
    <w:p>
      <w:pPr>
        <w:ind w:firstLine="576"/>
        <w:spacing w:after="0" w:line="244" w:lineRule="auto"/>
        <w:rPr>
          <w:sz w:val="20"/>
          <w:szCs w:val="20"/>
          <w:color w:val="auto"/>
        </w:rPr>
      </w:pPr>
      <w:r>
        <w:rPr>
          <w:rFonts w:ascii="Times New Roman" w:cs="Times New Roman" w:eastAsia="Times New Roman" w:hAnsi="Times New Roman"/>
          <w:sz w:val="18"/>
          <w:szCs w:val="18"/>
          <w:color w:val="auto"/>
        </w:rPr>
        <w:t>The individual or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products approved for commercial sale and have not generated any revenue from product sales.</w:t>
      </w:r>
    </w:p>
    <w:p>
      <w:pPr>
        <w:spacing w:after="0" w:line="108" w:lineRule="exact"/>
        <w:rPr>
          <w:sz w:val="20"/>
          <w:szCs w:val="20"/>
          <w:color w:val="auto"/>
        </w:rPr>
      </w:pPr>
    </w:p>
    <w:p>
      <w:pPr>
        <w:ind w:right="20" w:firstLine="576"/>
        <w:spacing w:after="0" w:line="250"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any revenue from product sales, and we do not expect to generate any revenue from the sale of products in the near future. We do not expect to generate significant product revenue unless and until we obtain regulatory approval of, and begin to sell, one or more of our product candidates. Our ability to generate revenue depends on a number of factors, including, but not limited to, our ability to:</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successfully complete our planned preclinical studies for our novel precision oncology development programs;</w:t>
      </w:r>
    </w:p>
    <w:p>
      <w:pPr>
        <w:spacing w:after="0" w:line="15" w:lineRule="exact"/>
        <w:rPr>
          <w:sz w:val="20"/>
          <w:szCs w:val="20"/>
          <w:color w:val="auto"/>
        </w:rPr>
      </w:pPr>
    </w:p>
    <w:p>
      <w:pPr>
        <w:ind w:left="240" w:right="1820"/>
        <w:spacing w:after="0" w:line="242" w:lineRule="auto"/>
        <w:rPr>
          <w:sz w:val="20"/>
          <w:szCs w:val="20"/>
          <w:color w:val="auto"/>
        </w:rPr>
      </w:pPr>
      <w:r>
        <w:rPr>
          <w:rFonts w:ascii="Times New Roman" w:cs="Times New Roman" w:eastAsia="Times New Roman" w:hAnsi="Times New Roman"/>
          <w:sz w:val="18"/>
          <w:szCs w:val="18"/>
          <w:color w:val="auto"/>
        </w:rPr>
        <w:t>timely file INDs for our other programs, and clearance of these INDs to allow for commencement of such future clinical trials; timely patient enrollment and patient dosing in our TNG908 clinical trial;</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successfully complete our TNG908 clinical trial and any future clinical trials;</w:t>
      </w:r>
    </w:p>
    <w:p>
      <w:pPr>
        <w:ind w:left="240" w:right="340"/>
        <w:spacing w:after="0" w:line="242" w:lineRule="auto"/>
        <w:rPr>
          <w:sz w:val="20"/>
          <w:szCs w:val="20"/>
          <w:color w:val="auto"/>
        </w:rPr>
      </w:pPr>
      <w:r>
        <w:rPr>
          <w:rFonts w:ascii="Times New Roman" w:cs="Times New Roman" w:eastAsia="Times New Roman" w:hAnsi="Times New Roman"/>
          <w:sz w:val="18"/>
          <w:szCs w:val="18"/>
          <w:color w:val="auto"/>
        </w:rPr>
        <w:t>initiate and successfully complete all safety and efficacy studies required to obtain U.S. and foreign regulatory approval for our product candidates; make and maintain arrangements with third-party manufacturers for clinical supply and commercial manufacturing;</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obtain and maintain patent and trade secret protection or regulatory exclusivity for our product candidates;</w:t>
      </w:r>
    </w:p>
    <w:p>
      <w:pPr>
        <w:spacing w:after="0"/>
        <w:rPr>
          <w:sz w:val="20"/>
          <w:szCs w:val="20"/>
          <w:color w:val="auto"/>
        </w:rPr>
      </w:pPr>
      <w:r>
        <w:rPr>
          <w:rFonts w:ascii="Times New Roman" w:cs="Times New Roman" w:eastAsia="Times New Roman" w:hAnsi="Times New Roman"/>
          <w:sz w:val="18"/>
          <w:szCs w:val="18"/>
          <w:color w:val="auto"/>
        </w:rPr>
        <w:t>launch commercial sales of our products, if and when approved, whether alone or in collaboration with others;</w:t>
      </w:r>
    </w:p>
    <w:p>
      <w:pPr>
        <w:spacing w:after="0" w:line="7" w:lineRule="exact"/>
        <w:rPr>
          <w:sz w:val="20"/>
          <w:szCs w:val="20"/>
          <w:color w:val="auto"/>
        </w:rPr>
      </w:pPr>
    </w:p>
    <w:p>
      <w:pPr>
        <w:ind w:left="240" w:right="1520"/>
        <w:spacing w:after="0" w:line="235" w:lineRule="auto"/>
        <w:rPr>
          <w:sz w:val="20"/>
          <w:szCs w:val="20"/>
          <w:color w:val="auto"/>
        </w:rPr>
      </w:pPr>
      <w:r>
        <w:rPr>
          <w:rFonts w:ascii="Times New Roman" w:cs="Times New Roman" w:eastAsia="Times New Roman" w:hAnsi="Times New Roman"/>
          <w:sz w:val="18"/>
          <w:szCs w:val="18"/>
          <w:color w:val="auto"/>
        </w:rPr>
        <w:t>obtain and maintain acceptance of our products, if and when approved, by patients, the medical community and third-party payors; position our products to effectively compete with other therapies;</w:t>
      </w:r>
    </w:p>
    <w:p>
      <w:pPr>
        <w:spacing w:after="0" w:line="1" w:lineRule="exact"/>
        <w:rPr>
          <w:sz w:val="20"/>
          <w:szCs w:val="20"/>
          <w:color w:val="auto"/>
        </w:rPr>
      </w:pPr>
    </w:p>
    <w:p>
      <w:pPr>
        <w:ind w:left="240" w:right="5880"/>
        <w:spacing w:after="0" w:line="256" w:lineRule="auto"/>
        <w:rPr>
          <w:sz w:val="20"/>
          <w:szCs w:val="20"/>
          <w:color w:val="auto"/>
        </w:rPr>
      </w:pPr>
      <w:r>
        <w:rPr>
          <w:rFonts w:ascii="Times New Roman" w:cs="Times New Roman" w:eastAsia="Times New Roman" w:hAnsi="Times New Roman"/>
          <w:sz w:val="17"/>
          <w:szCs w:val="17"/>
          <w:color w:val="auto"/>
        </w:rPr>
        <w:t>obtain and maintain healthcare coverage and adequate reimbursement; enforce and defend intellectual property rights and claims;</w:t>
      </w:r>
    </w:p>
    <w:p>
      <w:pPr>
        <w:spacing w:after="0" w:line="1" w:lineRule="exact"/>
        <w:rPr>
          <w:sz w:val="20"/>
          <w:szCs w:val="20"/>
          <w:color w:val="auto"/>
        </w:rPr>
      </w:pPr>
    </w:p>
    <w:p>
      <w:pPr>
        <w:ind w:left="240" w:right="160"/>
        <w:spacing w:after="0" w:line="243" w:lineRule="auto"/>
        <w:rPr>
          <w:sz w:val="20"/>
          <w:szCs w:val="20"/>
          <w:color w:val="auto"/>
        </w:rPr>
      </w:pPr>
      <w:r>
        <w:rPr>
          <w:rFonts w:ascii="Times New Roman" w:cs="Times New Roman" w:eastAsia="Times New Roman" w:hAnsi="Times New Roman"/>
          <w:sz w:val="18"/>
          <w:szCs w:val="18"/>
          <w:color w:val="auto"/>
        </w:rPr>
        <w:t>implement measures to help minimize the risk of COVID-19 to our employees as well as patients and subjects to be enrolled in our clinical trials; and maintain a continued acceptable safety profile of our products following approval.</w:t>
      </w:r>
    </w:p>
    <w:p>
      <w:pPr>
        <w:spacing w:after="0" w:line="195" w:lineRule="exact"/>
        <w:rPr>
          <w:sz w:val="20"/>
          <w:szCs w:val="20"/>
          <w:color w:val="auto"/>
        </w:rPr>
      </w:pPr>
    </w:p>
    <w:p>
      <w:pPr>
        <w:ind w:right="40" w:firstLine="576"/>
        <w:spacing w:after="0" w:line="250" w:lineRule="auto"/>
        <w:rPr>
          <w:sz w:val="20"/>
          <w:szCs w:val="20"/>
          <w:color w:val="auto"/>
        </w:rPr>
      </w:pPr>
      <w:r>
        <w:rPr>
          <w:rFonts w:ascii="Times New Roman" w:cs="Times New Roman" w:eastAsia="Times New Roman" w:hAnsi="Times New Roman"/>
          <w:sz w:val="18"/>
          <w:szCs w:val="18"/>
          <w:color w:val="auto"/>
        </w:rPr>
        <w:t>If we do not achieve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 or we may be required to sell or license assets to third parties on terms that are not favorable to us, if at all.</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36" w:name="page37"/>
    <w:bookmarkEnd w:id="36"/>
    <w:p>
      <w:pPr>
        <w:ind w:firstLine="576"/>
        <w:spacing w:after="0" w:line="244" w:lineRule="auto"/>
        <w:rPr>
          <w:sz w:val="20"/>
          <w:szCs w:val="20"/>
          <w:color w:val="auto"/>
        </w:rPr>
      </w:pPr>
      <w:r>
        <w:rPr>
          <w:rFonts w:ascii="Times New Roman" w:cs="Times New Roman" w:eastAsia="Times New Roman" w:hAnsi="Times New Roman"/>
          <w:sz w:val="18"/>
          <w:szCs w:val="18"/>
          <w:color w:val="auto"/>
        </w:rPr>
        <w:t>Further, our most advanced program is a PRMT5 inhibitor, TNG908. Given the large number of patients with MTAP-deleted cancers, we are investing in our PRMT5 franchise to develop a product candidate with increased potency, MTAP-deletion selectivity, as well as longer target coverage. TNG462, our next-generation PRMT5 inhibitor, is 45-fold more potent in cells with an MTAP deletion than those without and induces deep tumor regressions in preclinical models of multiple cancer types. The clinical development path for TNG462 is expected to be similar to TNG908, evaluating safety and efficacy in multiple tumor types in a Phase 1/2 clinical trial. Glioblastoma will be excluded from the clinical trial as TNG462 does not cross the blood-brain barrier in preclinical primate models. If additional preclinical or clinical evaluation of our next-generation compounds supports this hypothesis, we may elect to promote TNG462 as our lead PRMT5 inhibitor, which may result in a delay to our development timeline for the lead PRMT5 program of approximately 12 to 18 months. If we elect to promote this next-generation compound, it may result in the delay in receiving potential revenue from product sales, if approved by regulatory authorities.</w:t>
      </w:r>
    </w:p>
    <w:p>
      <w:pPr>
        <w:spacing w:after="0" w:line="289"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63" w:lineRule="exact"/>
        <w:rPr>
          <w:sz w:val="20"/>
          <w:szCs w:val="20"/>
          <w:color w:val="auto"/>
        </w:rPr>
      </w:pPr>
    </w:p>
    <w:p>
      <w:pPr>
        <w:ind w:firstLine="576"/>
        <w:spacing w:after="0" w:line="244" w:lineRule="auto"/>
        <w:rPr>
          <w:sz w:val="20"/>
          <w:szCs w:val="20"/>
          <w:color w:val="auto"/>
        </w:rPr>
      </w:pPr>
      <w:r>
        <w:rPr>
          <w:rFonts w:ascii="Times New Roman" w:cs="Times New Roman" w:eastAsia="Times New Roman" w:hAnsi="Times New Roman"/>
          <w:sz w:val="18"/>
          <w:szCs w:val="18"/>
          <w:color w:val="auto"/>
        </w:rPr>
        <w:t>The development of pharmaceutical products is capital-intensive. We are currently advancing our precision oncology programs through clinical and preclinical development. We received FDA clearance of our IND application for TNG908 in the first quarter of 2022 and our Phase 1/2 clinical trial is open for enrollment. We also plan to file an IND for TNG462, our next generation PRMT5 inhibitor, in the first half of 2023. Additionally, we plan to file INDs for TNG260, our inhibitor of an undisclosed target for STK11-mutant cancers (Target 3) and for our USP1 inhibitor program in 2023. Consequently, we expect our expenses to significantly increase in connection with our ongoing activities, particularly as we continue the research and development of, initiate and complete clinical trials of, and seek regulatory approval for, our product candidates.</w:t>
      </w:r>
    </w:p>
    <w:p>
      <w:pPr>
        <w:spacing w:after="0" w:line="87" w:lineRule="exact"/>
        <w:rPr>
          <w:sz w:val="20"/>
          <w:szCs w:val="20"/>
          <w:color w:val="auto"/>
        </w:rPr>
      </w:pPr>
    </w:p>
    <w:p>
      <w:pPr>
        <w:ind w:right="380" w:firstLine="576"/>
        <w:spacing w:after="0" w:line="245" w:lineRule="auto"/>
        <w:rPr>
          <w:sz w:val="20"/>
          <w:szCs w:val="20"/>
          <w:color w:val="auto"/>
        </w:rPr>
      </w:pPr>
      <w:r>
        <w:rPr>
          <w:rFonts w:ascii="Times New Roman" w:cs="Times New Roman" w:eastAsia="Times New Roman" w:hAnsi="Times New Roman"/>
          <w:sz w:val="18"/>
          <w:szCs w:val="18"/>
          <w:color w:val="auto"/>
        </w:rPr>
        <w:t>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we presently anticipate. Furthermore, we have, and will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81" w:lineRule="exact"/>
        <w:rPr>
          <w:sz w:val="20"/>
          <w:szCs w:val="20"/>
          <w:color w:val="auto"/>
        </w:rPr>
      </w:pPr>
    </w:p>
    <w:p>
      <w:pPr>
        <w:ind w:right="60" w:firstLine="584"/>
        <w:spacing w:after="0" w:line="250"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will fund our projected operating requirements at least into the second half of 2024. However, our future capital requirements will depend on and could increase significantly as a result of many factors (which may result in exhausting such cash resources prior to the second half of 2024), including: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scope, progress, results and costs of product discovery, preclinical and clinical development, and clinical trials for our product candidates;</w:t>
      </w:r>
    </w:p>
    <w:p>
      <w:pPr>
        <w:spacing w:after="0" w:line="15" w:lineRule="exact"/>
        <w:rPr>
          <w:sz w:val="20"/>
          <w:szCs w:val="20"/>
          <w:color w:val="auto"/>
        </w:rPr>
      </w:pPr>
    </w:p>
    <w:p>
      <w:pPr>
        <w:ind w:left="240" w:right="300"/>
        <w:spacing w:after="0" w:line="241" w:lineRule="auto"/>
        <w:rPr>
          <w:sz w:val="20"/>
          <w:szCs w:val="20"/>
          <w:color w:val="auto"/>
        </w:rPr>
      </w:pPr>
      <w:r>
        <w:rPr>
          <w:rFonts w:ascii="Times New Roman" w:cs="Times New Roman" w:eastAsia="Times New Roman" w:hAnsi="Times New Roman"/>
          <w:sz w:val="18"/>
          <w:szCs w:val="18"/>
          <w:color w:val="auto"/>
        </w:rPr>
        <w:t>the potential additional expenses attributable to adjusting our development plans (including any supply related matters) to the COVID-19 pandemic; the scope, prioritization and number of our research and development programs;</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34" w:lineRule="auto"/>
        <w:rPr>
          <w:sz w:val="20"/>
          <w:szCs w:val="20"/>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rPr>
          <w:sz w:val="20"/>
          <w:szCs w:val="20"/>
          <w:color w:val="auto"/>
        </w:rPr>
      </w:pPr>
      <w:r>
        <w:rPr>
          <w:rFonts w:ascii="Times New Roman" w:cs="Times New Roman" w:eastAsia="Times New Roman" w:hAnsi="Times New Roman"/>
          <w:sz w:val="18"/>
          <w:szCs w:val="18"/>
          <w:color w:val="auto"/>
        </w:rPr>
        <w:t>the achievement of milestones or occurrence of other developments that trigger payments under our existing collaboration agreements or any additional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 agreements we may establish;</w:t>
      </w:r>
    </w:p>
    <w:p>
      <w:pPr>
        <w:ind w:left="240" w:right="220"/>
        <w:spacing w:after="0" w:line="255" w:lineRule="auto"/>
        <w:rPr>
          <w:sz w:val="20"/>
          <w:szCs w:val="20"/>
          <w:color w:val="auto"/>
        </w:rPr>
      </w:pPr>
      <w:r>
        <w:rPr>
          <w:rFonts w:ascii="Times New Roman" w:cs="Times New Roman" w:eastAsia="Times New Roman" w:hAnsi="Times New Roman"/>
          <w:sz w:val="17"/>
          <w:szCs w:val="17"/>
          <w:color w:val="auto"/>
        </w:rPr>
        <w:t>the extent to which we are obligated to reimburse, or entitled to reimbursement of, clinical trial costs under future collaboration agreements, if any; the costs of preparing, filing and prosecuting patent applications, maintaining and enforcing our intellectual property rights and defending intellectual</w:t>
      </w:r>
    </w:p>
    <w:p>
      <w:pPr>
        <w:spacing w:after="0" w:line="238" w:lineRule="auto"/>
        <w:rPr>
          <w:sz w:val="20"/>
          <w:szCs w:val="20"/>
          <w:color w:val="auto"/>
        </w:rPr>
      </w:pPr>
      <w:r>
        <w:rPr>
          <w:rFonts w:ascii="Times New Roman" w:cs="Times New Roman" w:eastAsia="Times New Roman" w:hAnsi="Times New Roman"/>
          <w:sz w:val="18"/>
          <w:szCs w:val="18"/>
          <w:color w:val="auto"/>
        </w:rPr>
        <w:t>property-related claims;</w:t>
      </w:r>
    </w:p>
    <w:p>
      <w:pPr>
        <w:ind w:left="240" w:right="4500"/>
        <w:spacing w:after="0" w:line="255" w:lineRule="auto"/>
        <w:rPr>
          <w:sz w:val="20"/>
          <w:szCs w:val="20"/>
          <w:color w:val="auto"/>
        </w:rPr>
      </w:pPr>
      <w:r>
        <w:rPr>
          <w:rFonts w:ascii="Times New Roman" w:cs="Times New Roman" w:eastAsia="Times New Roman" w:hAnsi="Times New Roman"/>
          <w:sz w:val="17"/>
          <w:szCs w:val="17"/>
          <w:color w:val="auto"/>
        </w:rPr>
        <w:t>the extent to which we acquire or in-license other product candidates and technologies; the costs of securing manufacturing arrangements for clinical and commercial production;</w:t>
      </w:r>
    </w:p>
    <w:p>
      <w:pPr>
        <w:spacing w:after="0" w:line="1" w:lineRule="exact"/>
        <w:rPr>
          <w:sz w:val="20"/>
          <w:szCs w:val="20"/>
          <w:color w:val="auto"/>
        </w:rPr>
      </w:pPr>
    </w:p>
    <w:p>
      <w:pPr>
        <w:ind w:left="240" w:right="1360"/>
        <w:spacing w:after="0" w:line="235" w:lineRule="auto"/>
        <w:rPr>
          <w:sz w:val="20"/>
          <w:szCs w:val="20"/>
          <w:color w:val="auto"/>
        </w:rPr>
      </w:pPr>
      <w:r>
        <w:rPr>
          <w:rFonts w:ascii="Times New Roman" w:cs="Times New Roman" w:eastAsia="Times New Roman" w:hAnsi="Times New Roman"/>
          <w:sz w:val="18"/>
          <w:szCs w:val="18"/>
          <w:color w:val="auto"/>
        </w:rPr>
        <w:t>our ability to hire and retain skilled scientific and operational personnel to meet our development, clinical and commercial objectives; costs related to the development of any companion diagnostics we may use in the future;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product candidates.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7" w:name="page38"/>
    <w:bookmarkEnd w:id="37"/>
    <w:p>
      <w:pPr>
        <w:ind w:right="80" w:firstLine="576"/>
        <w:spacing w:after="0" w:line="250"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we do not expect to be commercially available for many years, if at all. Accordingly, we will need to continue to rely on additional financing to achieve our business objectives.</w:t>
      </w:r>
    </w:p>
    <w:p>
      <w:pPr>
        <w:spacing w:after="0" w:line="177" w:lineRule="exact"/>
        <w:rPr>
          <w:sz w:val="20"/>
          <w:szCs w:val="20"/>
          <w:color w:val="auto"/>
        </w:rPr>
      </w:pPr>
    </w:p>
    <w:p>
      <w:pPr>
        <w:jc w:val="both"/>
        <w:ind w:right="180" w:firstLine="576"/>
        <w:spacing w:after="0" w:line="250"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Disruptions in the financial markets in general and due to the ongoing COVID-19 pandemic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177" w:lineRule="exact"/>
        <w:rPr>
          <w:sz w:val="20"/>
          <w:szCs w:val="20"/>
          <w:color w:val="auto"/>
        </w:rPr>
      </w:pPr>
    </w:p>
    <w:p>
      <w:pPr>
        <w:ind w:right="80" w:firstLine="576"/>
        <w:spacing w:after="0" w:line="250"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28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37" w:lineRule="exact"/>
        <w:rPr>
          <w:sz w:val="20"/>
          <w:szCs w:val="20"/>
          <w:color w:val="auto"/>
        </w:rPr>
      </w:pPr>
    </w:p>
    <w:p>
      <w:pPr>
        <w:ind w:right="140" w:firstLine="576"/>
        <w:spacing w:after="0" w:line="241"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private and public equity offerings,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the ownership interest of our existing common stockholders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repurchase shares of our common stock,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206" w:lineRule="exact"/>
        <w:rPr>
          <w:sz w:val="20"/>
          <w:szCs w:val="20"/>
          <w:color w:val="auto"/>
        </w:rPr>
      </w:pPr>
    </w:p>
    <w:p>
      <w:pPr>
        <w:ind w:right="80" w:firstLine="576"/>
        <w:spacing w:after="0" w:line="246" w:lineRule="auto"/>
        <w:rPr>
          <w:sz w:val="20"/>
          <w:szCs w:val="20"/>
          <w:color w:val="auto"/>
        </w:rPr>
      </w:pPr>
      <w:r>
        <w:rPr>
          <w:rFonts w:ascii="Times New Roman" w:cs="Times New Roman" w:eastAsia="Times New Roman" w:hAnsi="Times New Roman"/>
          <w:sz w:val="18"/>
          <w:szCs w:val="18"/>
          <w:color w:val="auto"/>
        </w:rPr>
        <w:t>We also could be required to seek funds through arrangements with additional collaborators or otherwise at an earlier stage than otherwise would be desirable. If we raise funds through additional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our product candidates that we would otherwise prefer to develop and market ourselves, any of which may have a material adverse effect on our business, operating results and prospects.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Precision Oncology and Other Programs and Product Candidates</w:t>
      </w:r>
    </w:p>
    <w:p>
      <w:pPr>
        <w:spacing w:after="0" w:line="22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50" w:lineRule="exact"/>
        <w:rPr>
          <w:sz w:val="20"/>
          <w:szCs w:val="20"/>
          <w:color w:val="auto"/>
        </w:rPr>
      </w:pPr>
    </w:p>
    <w:p>
      <w:pPr>
        <w:ind w:right="20" w:firstLine="576"/>
        <w:spacing w:after="0" w:line="243" w:lineRule="auto"/>
        <w:rPr>
          <w:sz w:val="20"/>
          <w:szCs w:val="20"/>
          <w:color w:val="auto"/>
        </w:rPr>
      </w:pPr>
      <w:r>
        <w:rPr>
          <w:rFonts w:ascii="Times New Roman" w:cs="Times New Roman" w:eastAsia="Times New Roman" w:hAnsi="Times New Roman"/>
          <w:sz w:val="18"/>
          <w:szCs w:val="18"/>
          <w:color w:val="auto"/>
        </w:rPr>
        <w:t>We have not yet demonstrated our ability to successfully register, initiate, enroll and complete clinical trials, including large-scale, pivotal clinical trials, obtain regulatory approvals, manufacture a commercial scale product or arrange for a third party to do so on our behalf, or conduct sales and marketing activities necessary for successful commercialization. We received FDA clearance of our IND application for TNG908 in the first quarter of 2022. Other than TNG908, our programs are still in preclinical development and may never advance to clinical development. We plan to file an IND for TNG462, our next generation PRMT5 inhibitor, in the first half of 2023. Additionally, we plan to file INDs for TNG260, our inhibitor of an undisclosed target for STK11-mutant cancers (Target 3) and for our USP1 inhibitor program in 2023. We may not be able to file such INDs or INDs for any of our other product candidates on the timelines we expect, if at all. Further, timelines for developing and filing INDs are subject to significant uncertainties and projected timelines can be improved upon or delayed.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8" w:name="page39"/>
    <w:bookmarkEnd w:id="38"/>
    <w:p>
      <w:pPr>
        <w:ind w:right="60"/>
        <w:spacing w:after="0" w:line="243" w:lineRule="auto"/>
        <w:rPr>
          <w:sz w:val="20"/>
          <w:szCs w:val="20"/>
          <w:color w:val="auto"/>
        </w:rPr>
      </w:pPr>
      <w:r>
        <w:rPr>
          <w:rFonts w:ascii="Times New Roman" w:cs="Times New Roman" w:eastAsia="Times New Roman" w:hAnsi="Times New Roman"/>
          <w:sz w:val="18"/>
          <w:szCs w:val="18"/>
          <w:color w:val="auto"/>
        </w:rPr>
        <w:t>For example, we extended the timeline for filing an IND for our USP1 inhibitor program as we continue to work on a development candidate that has improved pharmaceutical properties. Moreover, we cannot be sure that submission of an IND will result in the U.S. Food and Drug Administration, or FDA, allowing clinical trials to begin, or that, once begun, issues will not arise that require us to suspend or terminate clinical trials.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imposition of stricter approval conditions than we currently expect. Successful completion of our clinical trials is a prerequisite to submitting an NDA to the FDA, a Marketing Authorization Application, or MAA, to the European Medicines Agency, or EMA, or other marketing applications to regulatory authorities in other jurisdictions, for each product candidate and, consequently, the regulatory approval of each product candidate. While the IND for our lead program, TNG908, was cleared by the FDA, it is possible that patients may not be enrolled and the study may not be completed (and preliminary, initial or final trial results may not be available) on time. Similarly, future clinical trials may not begin on time or be completed on schedule, if at all.</w:t>
      </w:r>
    </w:p>
    <w:p>
      <w:pPr>
        <w:spacing w:after="0" w:line="132" w:lineRule="exact"/>
        <w:rPr>
          <w:sz w:val="20"/>
          <w:szCs w:val="20"/>
          <w:color w:val="auto"/>
        </w:rPr>
      </w:pPr>
    </w:p>
    <w:p>
      <w:pPr>
        <w:ind w:firstLine="585"/>
        <w:spacing w:after="0" w:line="258" w:lineRule="auto"/>
        <w:rPr>
          <w:sz w:val="20"/>
          <w:szCs w:val="20"/>
          <w:color w:val="auto"/>
        </w:rPr>
      </w:pPr>
      <w:r>
        <w:rPr>
          <w:rFonts w:ascii="Times New Roman" w:cs="Times New Roman" w:eastAsia="Times New Roman" w:hAnsi="Times New Roman"/>
          <w:sz w:val="18"/>
          <w:szCs w:val="18"/>
          <w:color w:val="auto"/>
        </w:rPr>
        <w:t>If we are required to conduct additional preclinical studies or clinical trials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and/or efficacy concerns, we may, among other things:</w:t>
      </w:r>
    </w:p>
    <w:p>
      <w:pPr>
        <w:spacing w:after="0" w:line="61" w:lineRule="exact"/>
        <w:rPr>
          <w:sz w:val="20"/>
          <w:szCs w:val="20"/>
          <w:color w:val="auto"/>
        </w:rPr>
      </w:pPr>
    </w:p>
    <w:p>
      <w:pPr>
        <w:ind w:left="240" w:right="5860"/>
        <w:spacing w:after="0" w:line="254" w:lineRule="auto"/>
        <w:rPr>
          <w:sz w:val="20"/>
          <w:szCs w:val="20"/>
          <w:color w:val="auto"/>
        </w:rPr>
      </w:pPr>
      <w:r>
        <w:rPr>
          <w:rFonts w:ascii="Times New Roman" w:cs="Times New Roman" w:eastAsia="Times New Roman" w:hAnsi="Times New Roman"/>
          <w:sz w:val="18"/>
          <w:szCs w:val="18"/>
          <w:color w:val="auto"/>
        </w:rPr>
        <w:t>be delayed in obtaining regulatory approval for our product candidates; not obtain regulatory approval at all;</w:t>
      </w:r>
    </w:p>
    <w:p>
      <w:pPr>
        <w:ind w:left="240" w:right="3200"/>
        <w:spacing w:after="0" w:line="241" w:lineRule="auto"/>
        <w:rPr>
          <w:sz w:val="20"/>
          <w:szCs w:val="20"/>
          <w:color w:val="auto"/>
        </w:rPr>
      </w:pPr>
      <w:r>
        <w:rPr>
          <w:rFonts w:ascii="Times New Roman" w:cs="Times New Roman" w:eastAsia="Times New Roman" w:hAnsi="Times New Roman"/>
          <w:sz w:val="18"/>
          <w:szCs w:val="18"/>
          <w:color w:val="auto"/>
        </w:rPr>
        <w:t>obtain regulatory approval for indications or patient populations that are not as broad as intended or desired; continue to be subject to post-marketing testing requirements;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product removed from the market after obtaining regulatory approval.</w:t>
      </w:r>
    </w:p>
    <w:p>
      <w:pPr>
        <w:spacing w:after="0" w:line="29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60"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The discovery and development of oncology therapeutics for patients with genetically defined or biomarker-driven cancers is a rapidly evolving area, and the scientific discoveries that form the basis for our efforts to discover and develop product candidates are relatively new. Our unique functional genomics discovery approach is based on the genetic concept of synthetic lethality. The scientific evidence to support the feasibility of developing product candidates based on these discoveries is both preliminary and limited. Although we believe, based on our preclinical work, that the genetic markers targeted by our programs drive the formation and spread of certain cancers,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with specific targets, we cannot be certain that the resulting patient populations with each mutation will be large enough to allow us to successfully obtain approval for each such mutation and commercialize our product candidates and achieve profitability.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product development involves a lengthy and expensive process, with an uncertain outcome.</w:t>
      </w:r>
    </w:p>
    <w:p>
      <w:pPr>
        <w:spacing w:after="0" w:line="121" w:lineRule="exact"/>
        <w:rPr>
          <w:sz w:val="20"/>
          <w:szCs w:val="20"/>
          <w:color w:val="auto"/>
        </w:rPr>
      </w:pPr>
    </w:p>
    <w:p>
      <w:pPr>
        <w:ind w:right="120" w:firstLine="576"/>
        <w:spacing w:after="0" w:line="241" w:lineRule="auto"/>
        <w:rPr>
          <w:sz w:val="20"/>
          <w:szCs w:val="20"/>
          <w:color w:val="auto"/>
        </w:rPr>
      </w:pPr>
      <w:r>
        <w:rPr>
          <w:rFonts w:ascii="Times New Roman" w:cs="Times New Roman" w:eastAsia="Times New Roman" w:hAnsi="Times New Roman"/>
          <w:sz w:val="18"/>
          <w:szCs w:val="18"/>
          <w:color w:val="auto"/>
        </w:rPr>
        <w:t>Our preclinical studies, our TNG908 clinical trial and future clinical trials may not be successful.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(or be indicative of safety and efficacy if commercialized and used in a broader population).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clinical trials may not be successful.</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9" w:name="page40"/>
    <w:bookmarkEnd w:id="39"/>
    <w:p>
      <w:pPr>
        <w:ind w:right="2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validate, develop and obtain regulatory approval for diagnostic tests for our product candidates that require or would commercially benefit from such tests, or experience significant delays in doing so, we may not realize the full commercial potential of these product candidates.</w:t>
      </w:r>
    </w:p>
    <w:p>
      <w:pPr>
        <w:spacing w:after="0" w:line="60" w:lineRule="exact"/>
        <w:rPr>
          <w:sz w:val="20"/>
          <w:szCs w:val="20"/>
          <w:color w:val="auto"/>
        </w:rPr>
      </w:pPr>
    </w:p>
    <w:p>
      <w:pPr>
        <w:ind w:right="20" w:firstLine="576"/>
        <w:spacing w:after="0" w:line="245" w:lineRule="auto"/>
        <w:rPr>
          <w:sz w:val="20"/>
          <w:szCs w:val="20"/>
          <w:color w:val="auto"/>
        </w:rPr>
      </w:pPr>
      <w:r>
        <w:rPr>
          <w:rFonts w:ascii="Times New Roman" w:cs="Times New Roman" w:eastAsia="Times New Roman" w:hAnsi="Times New Roman"/>
          <w:sz w:val="18"/>
          <w:szCs w:val="18"/>
          <w:color w:val="auto"/>
        </w:rPr>
        <w:t xml:space="preserve">In connection with the clinical development of our product candidates for certain indications, we may engage third parties to develop or otherwise obtain access to in vitro companion diagnostic tests to identify patient subsets within a disease category who may derive selective and meaningful benefit from our product candidates. Such companion diagnostics may be used during our clinical trials as well as in connection with the commercialization of our products that receive regulatory approval. To be successful, we or our collaborators will need to address a number of scientific, technical, regulatory and logistical challenges. The FDA and comparable foreign regulatory authorities regulate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as medical devices and, under that regulatory framework, will likely require the conduct of clinical trials to demonstrate the safety and effectiveness of any diagnostics we or third parties may develop, which we expect will require separate regulatory clearance or approval prior to commercialization.</w:t>
      </w:r>
    </w:p>
    <w:p>
      <w:pPr>
        <w:spacing w:after="0" w:line="181"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7"/>
          <w:szCs w:val="17"/>
          <w:color w:val="auto"/>
        </w:rPr>
        <w:t>We intend to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clearance or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and commercialization of these therapeutic product candidates may be adversely affected, these therapeutic product candidates may not obtain regulatory approval, and we may not realize the full commercial potential of any of these therapeutic products that obtain regulatory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therapeutic product candidates.</w:t>
      </w:r>
    </w:p>
    <w:p>
      <w:pPr>
        <w:spacing w:after="0" w:line="29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future clinical trials that we announce or publish from time to time may change as more patient data become available and are subject to confirmation, audit and verification procedures that could result in material changes in the final data.</w:t>
      </w:r>
    </w:p>
    <w:p>
      <w:pPr>
        <w:spacing w:after="0" w:line="50" w:lineRule="exact"/>
        <w:rPr>
          <w:sz w:val="20"/>
          <w:szCs w:val="20"/>
          <w:color w:val="auto"/>
        </w:rPr>
      </w:pPr>
    </w:p>
    <w:p>
      <w:pPr>
        <w:ind w:right="80" w:firstLine="576"/>
        <w:spacing w:after="0" w:line="243"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current and future clinical trials, which is based on a preliminary analysis of then-available data, and the results and related findings and conclusions are subject to change following a more comprehensive review of the data. For example, we may report responses in certain patients that are unconfirmed at the time and which do not ultimately result in confirmed responses to treatment after follow-up evaluations. We may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Preliminary, interim or top-line data also remain subject to audit and verification procedures that may result in the final data being materially different from the preliminary data we previously published. As a result, preliminary, interim and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and may cause the price of our common stock to fluctuate or decline.</w:t>
      </w:r>
    </w:p>
    <w:p>
      <w:pPr>
        <w:spacing w:after="0" w:line="185" w:lineRule="exact"/>
        <w:rPr>
          <w:sz w:val="20"/>
          <w:szCs w:val="20"/>
          <w:color w:val="auto"/>
        </w:rPr>
      </w:pPr>
    </w:p>
    <w:p>
      <w:pPr>
        <w:ind w:right="460" w:firstLine="576"/>
        <w:spacing w:after="0" w:line="266" w:lineRule="auto"/>
        <w:rPr>
          <w:sz w:val="20"/>
          <w:szCs w:val="20"/>
          <w:color w:val="auto"/>
        </w:rPr>
      </w:pPr>
      <w:r>
        <w:rPr>
          <w:rFonts w:ascii="Times New Roman" w:cs="Times New Roman" w:eastAsia="Times New Roman" w:hAnsi="Times New Roman"/>
          <w:sz w:val="18"/>
          <w:szCs w:val="18"/>
          <w:color w:val="auto"/>
        </w:rPr>
        <w:t>Further, regulatory agencies and others may not accept or agree with our assumptions, estimates, calculations, conclusions or analyses or may interpret or weigh the importance of data differently, which could adversely impact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40" w:name="page41"/>
    <w:bookmarkEnd w:id="40"/>
    <w:p>
      <w:pPr>
        <w:ind w:right="440"/>
        <w:spacing w:after="0" w:line="250" w:lineRule="auto"/>
        <w:rPr>
          <w:sz w:val="20"/>
          <w:szCs w:val="20"/>
          <w:color w:val="auto"/>
        </w:rPr>
      </w:pPr>
      <w:r>
        <w:rPr>
          <w:rFonts w:ascii="Times New Roman" w:cs="Times New Roman" w:eastAsia="Times New Roman" w:hAnsi="Times New Roman"/>
          <w:sz w:val="18"/>
          <w:szCs w:val="18"/>
          <w:color w:val="auto"/>
        </w:rPr>
        <w:t>potential of the particular program, the likelihood of obtaining regulatory approval of the particular product candidate, the scope of product label, and commercialization of any approved product.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191" w:lineRule="exact"/>
        <w:rPr>
          <w:sz w:val="20"/>
          <w:szCs w:val="20"/>
          <w:color w:val="auto"/>
        </w:rPr>
      </w:pPr>
    </w:p>
    <w:p>
      <w:pPr>
        <w:jc w:val="both"/>
        <w:ind w:right="260" w:firstLine="576"/>
        <w:spacing w:after="0" w:line="250" w:lineRule="auto"/>
        <w:rPr>
          <w:sz w:val="20"/>
          <w:szCs w:val="20"/>
          <w:color w:val="auto"/>
        </w:rPr>
      </w:pPr>
      <w:r>
        <w:rPr>
          <w:rFonts w:ascii="Times New Roman" w:cs="Times New Roman" w:eastAsia="Times New Roman" w:hAnsi="Times New Roman"/>
          <w:sz w:val="18"/>
          <w:szCs w:val="18"/>
          <w:color w:val="auto"/>
        </w:rPr>
        <w:t>If the preliminary, interim or top-line data that we report differ from final or actual results, or if others, including regulatory authorities, disagree with the conclusions reached, our ability to obtain approval for, and commercialize, our product candidates may be significantly impaired, which could materially harm our business, operating results, prospects or financial condition.</w:t>
      </w:r>
    </w:p>
    <w:p>
      <w:pPr>
        <w:spacing w:after="0" w:line="294" w:lineRule="exact"/>
        <w:rPr>
          <w:sz w:val="20"/>
          <w:szCs w:val="20"/>
          <w:color w:val="auto"/>
        </w:rPr>
      </w:pPr>
    </w:p>
    <w:p>
      <w:pPr>
        <w:ind w:right="1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50" w:lineRule="exact"/>
        <w:rPr>
          <w:sz w:val="20"/>
          <w:szCs w:val="20"/>
          <w:color w:val="auto"/>
        </w:rPr>
      </w:pPr>
    </w:p>
    <w:p>
      <w:pPr>
        <w:ind w:right="20" w:firstLine="576"/>
        <w:spacing w:after="0" w:line="246" w:lineRule="auto"/>
        <w:rPr>
          <w:sz w:val="20"/>
          <w:szCs w:val="20"/>
          <w:color w:val="auto"/>
        </w:rPr>
      </w:pPr>
      <w:r>
        <w:rPr>
          <w:rFonts w:ascii="Times New Roman" w:cs="Times New Roman" w:eastAsia="Times New Roman" w:hAnsi="Times New Roman"/>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 the following:</w:t>
      </w:r>
    </w:p>
    <w:p>
      <w:pPr>
        <w:spacing w:after="0" w:line="289" w:lineRule="exact"/>
        <w:rPr>
          <w:sz w:val="20"/>
          <w:szCs w:val="20"/>
          <w:color w:val="auto"/>
        </w:rPr>
      </w:pPr>
    </w:p>
    <w:p>
      <w:pPr>
        <w:ind w:firstLine="230"/>
        <w:spacing w:after="0" w:line="253" w:lineRule="auto"/>
        <w:rPr>
          <w:sz w:val="20"/>
          <w:szCs w:val="20"/>
          <w:color w:val="auto"/>
        </w:rPr>
      </w:pPr>
      <w:r>
        <w:rPr>
          <w:rFonts w:ascii="Times New Roman" w:cs="Times New Roman" w:eastAsia="Times New Roman" w:hAnsi="Times New Roman"/>
          <w:sz w:val="18"/>
          <w:szCs w:val="18"/>
          <w:color w:val="auto"/>
        </w:rPr>
        <w:t>we may receive feedback from regulatory authorities that require us to modify the design or implementation of our preclinical studies or clinical trials or to delay or terminate a clinical trial;</w:t>
      </w:r>
    </w:p>
    <w:p>
      <w:pPr>
        <w:ind w:right="180" w:firstLine="230"/>
        <w:spacing w:after="0" w:line="235" w:lineRule="auto"/>
        <w:rPr>
          <w:sz w:val="20"/>
          <w:szCs w:val="20"/>
          <w:color w:val="auto"/>
        </w:rPr>
      </w:pPr>
      <w:r>
        <w:rPr>
          <w:rFonts w:ascii="Times New Roman" w:cs="Times New Roman" w:eastAsia="Times New Roman" w:hAnsi="Times New Roman"/>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1" w:lineRule="exact"/>
        <w:rPr>
          <w:sz w:val="20"/>
          <w:szCs w:val="20"/>
          <w:color w:val="auto"/>
        </w:rPr>
      </w:pPr>
    </w:p>
    <w:p>
      <w:pPr>
        <w:ind w:right="440" w:firstLine="230"/>
        <w:spacing w:after="0" w:line="242" w:lineRule="auto"/>
        <w:rPr>
          <w:sz w:val="20"/>
          <w:szCs w:val="20"/>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1" w:lineRule="exact"/>
        <w:rPr>
          <w:sz w:val="20"/>
          <w:szCs w:val="20"/>
          <w:color w:val="auto"/>
        </w:rPr>
      </w:pPr>
    </w:p>
    <w:p>
      <w:pPr>
        <w:jc w:val="both"/>
        <w:ind w:right="140" w:firstLine="230"/>
        <w:spacing w:after="0"/>
        <w:rPr>
          <w:sz w:val="20"/>
          <w:szCs w:val="20"/>
          <w:color w:val="auto"/>
        </w:rPr>
      </w:pPr>
      <w:r>
        <w:rPr>
          <w:rFonts w:ascii="Times New Roman" w:cs="Times New Roman" w:eastAsia="Times New Roman" w:hAnsi="Times New Roman"/>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ind w:right="540" w:firstLine="230"/>
        <w:spacing w:after="0" w:line="234" w:lineRule="auto"/>
        <w:rPr>
          <w:sz w:val="20"/>
          <w:szCs w:val="20"/>
          <w:color w:val="auto"/>
        </w:rPr>
      </w:pPr>
      <w:r>
        <w:rPr>
          <w:rFonts w:ascii="Times New Roman" w:cs="Times New Roman" w:eastAsia="Times New Roman" w:hAnsi="Times New Roman"/>
          <w:sz w:val="18"/>
          <w:szCs w:val="18"/>
          <w:color w:val="auto"/>
        </w:rPr>
        <w:t>preclinical studies or clinical trials of our product candidates may not produce differentiated or clinically significant results across tumor types or indications;</w:t>
      </w:r>
    </w:p>
    <w:p>
      <w:pPr>
        <w:spacing w:after="0" w:line="1" w:lineRule="exact"/>
        <w:rPr>
          <w:sz w:val="20"/>
          <w:szCs w:val="20"/>
          <w:color w:val="auto"/>
        </w:rPr>
      </w:pPr>
    </w:p>
    <w:p>
      <w:pPr>
        <w:ind w:right="200" w:firstLine="230"/>
        <w:spacing w:after="0"/>
        <w:rPr>
          <w:sz w:val="20"/>
          <w:szCs w:val="20"/>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ind w:right="20" w:firstLine="230"/>
        <w:spacing w:after="0"/>
        <w:rPr>
          <w:sz w:val="20"/>
          <w:szCs w:val="20"/>
          <w:color w:val="auto"/>
        </w:rPr>
      </w:pPr>
      <w:r>
        <w:rPr>
          <w:rFonts w:ascii="Times New Roman" w:cs="Times New Roman" w:eastAsia="Times New Roman" w:hAnsi="Times New Roman"/>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w:t>
      </w:r>
    </w:p>
    <w:p>
      <w:pPr>
        <w:ind w:right="20" w:firstLine="185"/>
        <w:spacing w:after="0" w:line="242" w:lineRule="auto"/>
        <w:rPr>
          <w:sz w:val="20"/>
          <w:szCs w:val="20"/>
          <w:color w:val="auto"/>
        </w:rPr>
      </w:pPr>
      <w:r>
        <w:rPr>
          <w:rFonts w:ascii="Times New Roman" w:cs="Times New Roman" w:eastAsia="Times New Roman" w:hAnsi="Times New Roman"/>
          <w:sz w:val="18"/>
          <w:szCs w:val="18"/>
          <w:color w:val="auto"/>
        </w:rPr>
        <w:t>our clinical trial sites or investigators may deviate from the clinical trial protocol or drop out of the trial, which may require that we add new clinical trial sites or investigators;</w:t>
      </w:r>
    </w:p>
    <w:p>
      <w:pPr>
        <w:spacing w:after="0" w:line="1" w:lineRule="exact"/>
        <w:rPr>
          <w:sz w:val="20"/>
          <w:szCs w:val="20"/>
          <w:color w:val="auto"/>
        </w:rPr>
      </w:pPr>
    </w:p>
    <w:p>
      <w:pPr>
        <w:jc w:val="both"/>
        <w:ind w:right="320" w:firstLine="230"/>
        <w:spacing w:after="0"/>
        <w:rPr>
          <w:sz w:val="20"/>
          <w:szCs w:val="20"/>
          <w:color w:val="auto"/>
        </w:rPr>
      </w:pPr>
      <w:r>
        <w:rPr>
          <w:rFonts w:ascii="Times New Roman" w:cs="Times New Roman" w:eastAsia="Times New Roman" w:hAnsi="Times New Roman"/>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234" w:lineRule="auto"/>
        <w:rPr>
          <w:sz w:val="20"/>
          <w:szCs w:val="20"/>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rPr>
          <w:sz w:val="20"/>
          <w:szCs w:val="20"/>
          <w:color w:val="auto"/>
        </w:rPr>
      </w:pPr>
      <w:r>
        <w:rPr>
          <w:rFonts w:ascii="Times New Roman" w:cs="Times New Roman" w:eastAsia="Times New Roman" w:hAnsi="Times New Roman"/>
          <w:sz w:val="18"/>
          <w:szCs w:val="18"/>
          <w:color w:val="auto"/>
        </w:rPr>
        <w:t>clinical trials of our product candidates may be delayed due to complications associated with the evolving COVID-19 pandemic;</w:t>
      </w:r>
    </w:p>
    <w:p>
      <w:pPr>
        <w:spacing w:after="0" w:line="7" w:lineRule="exact"/>
        <w:rPr>
          <w:sz w:val="20"/>
          <w:szCs w:val="20"/>
          <w:color w:val="auto"/>
        </w:rPr>
      </w:pPr>
    </w:p>
    <w:p>
      <w:pPr>
        <w:ind w:right="280" w:firstLine="230"/>
        <w:spacing w:after="0" w:line="235" w:lineRule="auto"/>
        <w:rPr>
          <w:sz w:val="20"/>
          <w:szCs w:val="20"/>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1" w:lineRule="exact"/>
        <w:rPr>
          <w:sz w:val="20"/>
          <w:szCs w:val="20"/>
          <w:color w:val="auto"/>
        </w:rPr>
      </w:pPr>
    </w:p>
    <w:p>
      <w:pPr>
        <w:ind w:right="320" w:firstLine="230"/>
        <w:spacing w:after="0"/>
        <w:rPr>
          <w:sz w:val="20"/>
          <w:szCs w:val="20"/>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w:t>
      </w:r>
    </w:p>
    <w:p>
      <w:pPr>
        <w:spacing w:after="0" w:line="234" w:lineRule="auto"/>
        <w:rPr>
          <w:sz w:val="20"/>
          <w:szCs w:val="20"/>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 and</w:t>
      </w:r>
    </w:p>
    <w:p>
      <w:pPr>
        <w:ind w:right="280" w:firstLine="230"/>
        <w:spacing w:after="0" w:line="258" w:lineRule="auto"/>
        <w:rPr>
          <w:sz w:val="20"/>
          <w:szCs w:val="20"/>
          <w:color w:val="auto"/>
        </w:rPr>
      </w:pPr>
      <w:r>
        <w:rPr>
          <w:rFonts w:ascii="Times New Roman" w:cs="Times New Roman" w:eastAsia="Times New Roman" w:hAnsi="Times New Roman"/>
          <w:sz w:val="18"/>
          <w:szCs w:val="18"/>
          <w:color w:val="auto"/>
        </w:rPr>
        <w:t>regulatory developments with respect to our competitors’ products, including any developments, litigation or public concern about the safety of such products.</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1" w:name="page42"/>
    <w:bookmarkEnd w:id="41"/>
    <w:p>
      <w:pPr>
        <w:ind w:right="80" w:firstLine="576"/>
        <w:spacing w:after="0" w:line="244"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85"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color w:val="auto"/>
        </w:rPr>
        <w:t>Moreover, principal investigators for our current or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81" w:lineRule="exact"/>
        <w:rPr>
          <w:sz w:val="20"/>
          <w:szCs w:val="20"/>
          <w:color w:val="auto"/>
        </w:rPr>
      </w:pPr>
    </w:p>
    <w:p>
      <w:pPr>
        <w:ind w:right="40" w:firstLine="576"/>
        <w:spacing w:after="0" w:line="247"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regulatory approvals. We do not know whether any of our current or future clinical trials will begin as planned, or whether any of our current or future clinical trials will need to be restructured or will be completed on schedule, if at all. Significant preclinical study or clinical trial delays, including those caused by the COVID-19 pandemic,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2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37" w:lineRule="exact"/>
        <w:rPr>
          <w:sz w:val="20"/>
          <w:szCs w:val="20"/>
          <w:color w:val="auto"/>
        </w:rPr>
      </w:pPr>
    </w:p>
    <w:p>
      <w:pPr>
        <w:ind w:right="80" w:firstLine="576"/>
        <w:spacing w:after="0" w:line="243" w:lineRule="auto"/>
        <w:rPr>
          <w:sz w:val="20"/>
          <w:szCs w:val="20"/>
          <w:color w:val="auto"/>
        </w:rPr>
      </w:pPr>
      <w:r>
        <w:rPr>
          <w:rFonts w:ascii="Times New Roman" w:cs="Times New Roman" w:eastAsia="Times New Roman" w:hAnsi="Times New Roman"/>
          <w:sz w:val="18"/>
          <w:szCs w:val="18"/>
          <w:color w:val="auto"/>
        </w:rPr>
        <w:t>We may not be able to initiate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genetic mutations for the development of our precision oncology programs and because some of the indications we are pursuing are orphan indications that have small populations, our ability to enroll eligible patients may be limited or may result in slower enrollment than we anticipate. For example, following the FDA's clearance of our IND application for the Phase 1/2 clinical trial of TNG908, we and our third-party CRO have initiated multiple clinical trial sites and engaged with the clinical trial sites to enroll patients. While patients have not been dosed in the TNG908 trial to date, we continue to expect that the trial will enroll patients in the second quarter of 2022. If we were to experience slower than expected enrollment, due to limited site resources resulting from COVID-19, limited trial populations due to competitive trials or other factors beyond our control, the results from the TNG908 Phase 1/2 trials (as well as the timing for dose escalation and dose expansion) and the regulatory approval (if any) for TNG908 may extend beyond the period we have targeted or beyond the timeline expected by investors.</w:t>
      </w:r>
    </w:p>
    <w:p>
      <w:pPr>
        <w:spacing w:after="0" w:line="186" w:lineRule="exact"/>
        <w:rPr>
          <w:sz w:val="20"/>
          <w:szCs w:val="20"/>
          <w:color w:val="auto"/>
        </w:rPr>
      </w:pPr>
    </w:p>
    <w:p>
      <w:pPr>
        <w:jc w:val="both"/>
        <w:ind w:right="140" w:firstLine="576"/>
        <w:spacing w:after="0" w:line="250" w:lineRule="auto"/>
        <w:rPr>
          <w:sz w:val="20"/>
          <w:szCs w:val="20"/>
          <w:color w:val="auto"/>
        </w:rPr>
      </w:pPr>
      <w:r>
        <w:rPr>
          <w:rFonts w:ascii="Times New Roman" w:cs="Times New Roman" w:eastAsia="Times New Roman" w:hAnsi="Times New Roman"/>
          <w:sz w:val="18"/>
          <w:szCs w:val="18"/>
          <w:color w:val="auto"/>
        </w:rPr>
        <w:t>We may experience difficulties with identifying specific patient populations for any biomarker-defined trial cohorts. The patient eligibility criteria defined in our trial protocols, including biomarker-driven identification, may limit the patient populations eligible for our clinical trials to a greater extent than competing clinical trials for the same indication that do not have biomarker-driven patient eligibility criteria. We will also rely on the willingness and ability of clinicians to screen their patients for biomarkers to indicate which patients may be eligible for enrollment in our clinical trials.</w:t>
      </w:r>
    </w:p>
    <w:p>
      <w:pPr>
        <w:spacing w:after="0" w:line="177" w:lineRule="exact"/>
        <w:rPr>
          <w:sz w:val="20"/>
          <w:szCs w:val="20"/>
          <w:color w:val="auto"/>
        </w:rPr>
      </w:pPr>
    </w:p>
    <w:p>
      <w:pPr>
        <w:jc w:val="both"/>
        <w:ind w:right="40" w:firstLine="576"/>
        <w:spacing w:after="0" w:line="250" w:lineRule="auto"/>
        <w:rPr>
          <w:sz w:val="20"/>
          <w:szCs w:val="20"/>
          <w:color w:val="auto"/>
        </w:rPr>
      </w:pPr>
      <w:r>
        <w:rPr>
          <w:rFonts w:ascii="Times New Roman" w:cs="Times New Roman" w:eastAsia="Times New Roman" w:hAnsi="Times New Roman"/>
          <w:sz w:val="18"/>
          <w:szCs w:val="18"/>
          <w:color w:val="auto"/>
        </w:rPr>
        <w:t>In addition, some of our competitors have ongoing clinical trials for product candidates that treat the same indications as do our product candidates, and patients who would otherwise be eligible for our clinical trials may choose instead to enroll in clinical trials of our competitors’ product candidates (for example, three INDs have been cleared by the FDA for clinical trials of MTA-cooperative PRMT5 inhibitors for the treatment of cancer patients). Furthermore, our ability to enroll patients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2" w:name="page43"/>
    <w:bookmarkEnd w:id="42"/>
    <w:p>
      <w:pPr>
        <w:spacing w:after="0" w:line="282" w:lineRule="auto"/>
        <w:rPr>
          <w:sz w:val="20"/>
          <w:szCs w:val="20"/>
          <w:color w:val="auto"/>
        </w:rPr>
      </w:pPr>
      <w:r>
        <w:rPr>
          <w:rFonts w:ascii="Times New Roman" w:cs="Times New Roman" w:eastAsia="Times New Roman" w:hAnsi="Times New Roman"/>
          <w:sz w:val="18"/>
          <w:szCs w:val="18"/>
          <w:color w:val="auto"/>
        </w:rPr>
        <w:t>may be significantly delayed by the ongoing COVID-19 pandemic (including due to lack of resources and personnel at trial sites), and we cannot accurately predict the extent and scope of such delays at this point.</w:t>
      </w:r>
    </w:p>
    <w:p>
      <w:pPr>
        <w:spacing w:after="0" w:line="148" w:lineRule="exact"/>
        <w:rPr>
          <w:sz w:val="20"/>
          <w:szCs w:val="20"/>
          <w:color w:val="auto"/>
        </w:rPr>
      </w:pPr>
    </w:p>
    <w:p>
      <w:pPr>
        <w:ind w:right="160" w:firstLine="576"/>
        <w:spacing w:after="0" w:line="245" w:lineRule="auto"/>
        <w:rPr>
          <w:sz w:val="20"/>
          <w:szCs w:val="20"/>
          <w:color w:val="auto"/>
        </w:rPr>
      </w:pPr>
      <w:r>
        <w:rPr>
          <w:rFonts w:ascii="Times New Roman" w:cs="Times New Roman" w:eastAsia="Times New Roman" w:hAnsi="Times New Roman"/>
          <w:sz w:val="18"/>
          <w:szCs w:val="18"/>
          <w:color w:val="auto"/>
        </w:rPr>
        <w:t>In addition to the competitive trial environment, the eligibility criteria of our future clinical trials will further limit the pool of available study participants as we will require that patients have specific characteristics that we can measure to assure their cancer is either severe enough or not too advanced to include them in a study.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reporting preliminary and final trial results and obtaining regulatory approval of potential products may be delayed.</w:t>
      </w:r>
    </w:p>
    <w:p>
      <w:pPr>
        <w:spacing w:after="0" w:line="181" w:lineRule="exact"/>
        <w:rPr>
          <w:sz w:val="20"/>
          <w:szCs w:val="20"/>
          <w:color w:val="auto"/>
        </w:rPr>
      </w:pPr>
    </w:p>
    <w:p>
      <w:pPr>
        <w:ind w:right="20" w:firstLine="576"/>
        <w:spacing w:after="0" w:line="247" w:lineRule="auto"/>
        <w:rPr>
          <w:sz w:val="20"/>
          <w:szCs w:val="20"/>
          <w:color w:val="auto"/>
        </w:rPr>
      </w:pPr>
      <w:r>
        <w:rPr>
          <w:rFonts w:ascii="Times New Roman" w:cs="Times New Roman" w:eastAsia="Times New Roman" w:hAnsi="Times New Roman"/>
          <w:sz w:val="18"/>
          <w:szCs w:val="18"/>
          <w:color w:val="auto"/>
        </w:rPr>
        <w:t>We may also engage third parties to develop companion diagnostics for use in our clinical trials, but such third parties may not be successful in developing such companion diagnostics, limiting our ability to identify patients with the targeted genetic mutations for our clinical trials. Further, if we are required to develop companion diagnostics and are unable to include patients with the targeted genetic mutations, this could compromise our ability to seek designations under applicable FDA expedited review and development programs, including Breakthrough Therapy Designation and Fast Track Designation (to the extent these are available to us), or otherwise seek to accelerate clinical development and regulatory timelines. Patient enrollment may be affected by other factors, including: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severity of the disease under investigation;</w:t>
      </w:r>
    </w:p>
    <w:p>
      <w:pPr>
        <w:spacing w:after="0" w:line="15" w:lineRule="exact"/>
        <w:rPr>
          <w:sz w:val="20"/>
          <w:szCs w:val="20"/>
          <w:color w:val="auto"/>
        </w:rPr>
      </w:pPr>
    </w:p>
    <w:p>
      <w:pPr>
        <w:ind w:left="240" w:right="3900"/>
        <w:spacing w:after="0" w:line="242" w:lineRule="auto"/>
        <w:rPr>
          <w:sz w:val="20"/>
          <w:szCs w:val="20"/>
          <w:color w:val="auto"/>
        </w:rPr>
      </w:pPr>
      <w:r>
        <w:rPr>
          <w:rFonts w:ascii="Times New Roman" w:cs="Times New Roman" w:eastAsia="Times New Roman" w:hAnsi="Times New Roman"/>
          <w:sz w:val="18"/>
          <w:szCs w:val="18"/>
          <w:color w:val="auto"/>
        </w:rPr>
        <w:t>the efforts to obtain and maintain patient consents and facilitate timely enrollment in clinical trials; the ability to monitor patients adequately during and after treatment;</w:t>
      </w:r>
    </w:p>
    <w:p>
      <w:pPr>
        <w:spacing w:after="0" w:line="1" w:lineRule="exact"/>
        <w:rPr>
          <w:sz w:val="20"/>
          <w:szCs w:val="20"/>
          <w:color w:val="auto"/>
        </w:rPr>
      </w:pPr>
    </w:p>
    <w:p>
      <w:pPr>
        <w:ind w:left="240" w:right="3020"/>
        <w:spacing w:after="0" w:line="241" w:lineRule="auto"/>
        <w:rPr>
          <w:sz w:val="20"/>
          <w:szCs w:val="20"/>
          <w:color w:val="auto"/>
        </w:rPr>
      </w:pPr>
      <w:r>
        <w:rPr>
          <w:rFonts w:ascii="Times New Roman" w:cs="Times New Roman" w:eastAsia="Times New Roman" w:hAnsi="Times New Roman"/>
          <w:sz w:val="18"/>
          <w:szCs w:val="18"/>
          <w:color w:val="auto"/>
        </w:rPr>
        <w:t>the risk that patients enrolled in clinical trials will drop out of the clinical trials before clinical trial completion; the ability to recruit clinical trial investigators with the appropriate competencies and experience;</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reporting of the preliminary results of any of our clinical trials; and</w:t>
      </w:r>
    </w:p>
    <w:p>
      <w:pPr>
        <w:ind w:right="480" w:firstLine="230"/>
        <w:spacing w:after="0" w:line="243" w:lineRule="auto"/>
        <w:rPr>
          <w:sz w:val="20"/>
          <w:szCs w:val="20"/>
          <w:color w:val="auto"/>
        </w:rPr>
      </w:pPr>
      <w:r>
        <w:rPr>
          <w:rFonts w:ascii="Times New Roman" w:cs="Times New Roman" w:eastAsia="Times New Roman" w:hAnsi="Times New Roman"/>
          <w:sz w:val="18"/>
          <w:szCs w:val="18"/>
          <w:color w:val="auto"/>
        </w:rPr>
        <w:t>factors we may not be able to control, including the impacts of the COVID-19 pandemic, that may limit patients, principal investigators or staff or clinical site availability.</w:t>
      </w:r>
    </w:p>
    <w:p>
      <w:pPr>
        <w:spacing w:after="0" w:line="299"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anticipate that certain of our current product candidates and future product candidates could be used in combination with third-party drugs or biologics, some of which are still in development, and we have limited or no control over the supply, regulatory status, or regulatory approval of such drugs or biologics.</w:t>
      </w:r>
    </w:p>
    <w:p>
      <w:pPr>
        <w:spacing w:after="0" w:line="68" w:lineRule="exact"/>
        <w:rPr>
          <w:sz w:val="20"/>
          <w:szCs w:val="20"/>
          <w:color w:val="auto"/>
        </w:rPr>
      </w:pPr>
    </w:p>
    <w:p>
      <w:pPr>
        <w:ind w:right="40" w:firstLine="576"/>
        <w:spacing w:after="0" w:line="247" w:lineRule="auto"/>
        <w:rPr>
          <w:sz w:val="20"/>
          <w:szCs w:val="20"/>
          <w:color w:val="auto"/>
        </w:rPr>
      </w:pPr>
      <w:r>
        <w:rPr>
          <w:rFonts w:ascii="Times New Roman" w:cs="Times New Roman" w:eastAsia="Times New Roman" w:hAnsi="Times New Roman"/>
          <w:sz w:val="18"/>
          <w:szCs w:val="18"/>
          <w:color w:val="auto"/>
        </w:rPr>
        <w:t>Certain of our current product candidates and any future product candidates may have the potential to be administered in combination with existing standards of care such as checkpoint inhibitor immunotherapies, chemotherapies, targeted therapies or radiotherapy. Our ability to develop and ultimately commercialize our current programs and product candidates and any future programs or product candidates for use in combination with other therapies will depend on our ability to access such drugs or biologics on commercially reasonable terms for the clinical trials and their availability for use with our commercialized product, if approved. We cannot be certain that current or potential future commercial relationships will provide us with a steady supply of such drugs or biologics on commercially reasonable terms or at all.</w:t>
      </w:r>
    </w:p>
    <w:p>
      <w:pPr>
        <w:spacing w:after="0" w:line="180" w:lineRule="exact"/>
        <w:rPr>
          <w:sz w:val="20"/>
          <w:szCs w:val="20"/>
          <w:color w:val="auto"/>
        </w:rPr>
      </w:pPr>
    </w:p>
    <w:p>
      <w:pPr>
        <w:ind w:right="60" w:firstLine="576"/>
        <w:spacing w:after="0" w:line="250" w:lineRule="auto"/>
        <w:rPr>
          <w:sz w:val="20"/>
          <w:szCs w:val="20"/>
          <w:color w:val="auto"/>
        </w:rPr>
      </w:pPr>
      <w:r>
        <w:rPr>
          <w:rFonts w:ascii="Times New Roman" w:cs="Times New Roman" w:eastAsia="Times New Roman" w:hAnsi="Times New Roman"/>
          <w:sz w:val="18"/>
          <w:szCs w:val="18"/>
          <w:color w:val="auto"/>
        </w:rPr>
        <w:t>Any failure to maintain or enter into new successful commercial relationships, or the expense of purchasing checkpoint inhibitor immunotherapies or other potential combination or comparator therapies in the market, may delay our development timelines, increase our costs and jeopardize our ability to develop our current product candidates and any future product candidates as commercially viable therapies. If any of these occur, our business, financial condition, operating results, stock price and prospects may be materially harmed.</w:t>
      </w:r>
    </w:p>
    <w:p>
      <w:pPr>
        <w:spacing w:after="0" w:line="191" w:lineRule="exact"/>
        <w:rPr>
          <w:sz w:val="20"/>
          <w:szCs w:val="20"/>
          <w:color w:val="auto"/>
        </w:rPr>
      </w:pPr>
    </w:p>
    <w:p>
      <w:pPr>
        <w:ind w:right="20" w:firstLine="576"/>
        <w:spacing w:after="0" w:line="243" w:lineRule="auto"/>
        <w:rPr>
          <w:sz w:val="20"/>
          <w:szCs w:val="20"/>
          <w:color w:val="auto"/>
        </w:rPr>
      </w:pPr>
      <w:r>
        <w:rPr>
          <w:rFonts w:ascii="Times New Roman" w:cs="Times New Roman" w:eastAsia="Times New Roman" w:hAnsi="Times New Roman"/>
          <w:sz w:val="18"/>
          <w:szCs w:val="18"/>
          <w:color w:val="auto"/>
        </w:rPr>
        <w:t>Moreover, the development of product candidates for use in combination with another product or product candidate may present challenges that are not faced for single agent product candidates.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other therapy and not our current product candidates and any future product candidates. Moreover, following product approval,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 as our commercial prospects should we receive regulatory approval. Such developments may include changes to the other product’s safety or efficacy profile, changes to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availability of the other product, quality, manufacturing and supply issues with respect to the other product, and changes to the standard of care.</w:t>
      </w:r>
    </w:p>
    <w:p>
      <w:pPr>
        <w:spacing w:after="0" w:line="225" w:lineRule="exact"/>
        <w:rPr>
          <w:sz w:val="20"/>
          <w:szCs w:val="20"/>
          <w:color w:val="auto"/>
        </w:rPr>
      </w:pPr>
    </w:p>
    <w:p>
      <w:pPr>
        <w:ind w:right="40" w:firstLine="576"/>
        <w:spacing w:after="0" w:line="246" w:lineRule="auto"/>
        <w:rPr>
          <w:sz w:val="20"/>
          <w:szCs w:val="20"/>
          <w:color w:val="auto"/>
        </w:rPr>
      </w:pPr>
      <w:r>
        <w:rPr>
          <w:rFonts w:ascii="Times New Roman" w:cs="Times New Roman" w:eastAsia="Times New Roman" w:hAnsi="Times New Roman"/>
          <w:sz w:val="18"/>
          <w:szCs w:val="18"/>
          <w:color w:val="auto"/>
        </w:rPr>
        <w:t>In the event that any future collaborator or supplier cannot continue to supply their products on commercially reasonable terms, we would need to identify alternatives for accessing potential combination or targeted therapies. Additionally, should the supply of products from any current or future collaborator or supplier be interrupted, delayed or otherwise be unavailable to us, our clinical trials may be delayed. In the event we are unable to source an alternative supply, or are unable to do so on commercially reasonable terms, our business, financial condition, operating results, stock price and prospects may be materially harmed.</w:t>
      </w:r>
    </w:p>
    <w:p>
      <w:pPr>
        <w:spacing w:after="0" w:line="285"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66" w:lineRule="exact"/>
        <w:rPr>
          <w:sz w:val="20"/>
          <w:szCs w:val="20"/>
          <w:color w:val="auto"/>
        </w:rPr>
      </w:pPr>
    </w:p>
    <w:p>
      <w:pPr>
        <w:ind w:firstLine="576"/>
        <w:spacing w:after="0" w:line="250" w:lineRule="auto"/>
        <w:rPr>
          <w:sz w:val="20"/>
          <w:szCs w:val="20"/>
          <w:color w:val="auto"/>
        </w:rPr>
      </w:pPr>
      <w:r>
        <w:rPr>
          <w:rFonts w:ascii="Times New Roman" w:cs="Times New Roman" w:eastAsia="Times New Roman" w:hAnsi="Times New Roman"/>
          <w:sz w:val="18"/>
          <w:szCs w:val="18"/>
          <w:color w:val="auto"/>
        </w:rPr>
        <w:t>Any results from our earlier preclinical studies of our programs or our product candidates may not necessarily be predictive of the results from later preclinical studies and clinical trials.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110" w:lineRule="exact"/>
        <w:rPr>
          <w:sz w:val="20"/>
          <w:szCs w:val="20"/>
          <w:color w:val="auto"/>
        </w:rPr>
      </w:pPr>
    </w:p>
    <w:p>
      <w:pPr>
        <w:ind w:firstLine="576"/>
        <w:spacing w:after="0" w:line="247"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pharmacokinetic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2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file INDs for our precision oncology and other programs to commence clinical trials on the timelines we expect, and even if we are able to, the FDA may not permit us to proceed.</w:t>
      </w:r>
    </w:p>
    <w:p>
      <w:pPr>
        <w:spacing w:after="0" w:line="37" w:lineRule="exact"/>
        <w:rPr>
          <w:sz w:val="20"/>
          <w:szCs w:val="20"/>
          <w:color w:val="auto"/>
        </w:rPr>
      </w:pPr>
    </w:p>
    <w:p>
      <w:pPr>
        <w:ind w:right="180" w:firstLine="576"/>
        <w:spacing w:after="0" w:line="244" w:lineRule="auto"/>
        <w:rPr>
          <w:sz w:val="20"/>
          <w:szCs w:val="20"/>
          <w:color w:val="auto"/>
        </w:rPr>
      </w:pPr>
      <w:r>
        <w:rPr>
          <w:rFonts w:ascii="Times New Roman" w:cs="Times New Roman" w:eastAsia="Times New Roman" w:hAnsi="Times New Roman"/>
          <w:sz w:val="18"/>
          <w:szCs w:val="18"/>
          <w:color w:val="auto"/>
        </w:rPr>
        <w:t>We received clearance of our IND application for TNG908 in the first quarter of 2022 and our Phase 1/2 clinical trial is now open for enrollment. We also plan to file an IND for TNG462, our next generation PRMT5 inhibitor, in the first half of 2023. Additionally, we plan to file INDs for TNG260, our inhibitor of an undisclosed target for STK11-mutant cancers (Target 3), and for our USP1 inhibitor program in 2023. However, we may not be able to file such INDs or INDs for future product candidates for our precision oncology or other programs on the timelines we expect. We have in the past, for example, extended the timeline for filing an IND for our USP1 inhibitor program as we continue to work on a development candidate that has improved pharmacologic properties.</w:t>
      </w:r>
    </w:p>
    <w:p>
      <w:pPr>
        <w:spacing w:after="0" w:line="87" w:lineRule="exact"/>
        <w:rPr>
          <w:sz w:val="20"/>
          <w:szCs w:val="20"/>
          <w:color w:val="auto"/>
        </w:rPr>
      </w:pPr>
    </w:p>
    <w:p>
      <w:pPr>
        <w:ind w:right="80" w:firstLine="576"/>
        <w:spacing w:after="0" w:line="244" w:lineRule="auto"/>
        <w:rPr>
          <w:sz w:val="20"/>
          <w:szCs w:val="20"/>
          <w:color w:val="auto"/>
        </w:rPr>
      </w:pPr>
      <w:r>
        <w:rPr>
          <w:rFonts w:ascii="Times New Roman" w:cs="Times New Roman" w:eastAsia="Times New Roman" w:hAnsi="Times New Roman"/>
          <w:sz w:val="18"/>
          <w:szCs w:val="18"/>
          <w:color w:val="auto"/>
        </w:rPr>
        <w:t>Further, we may experience manufacturing delays or other delays with IND-enabling studies. Moreover, we cannot be sure that submission of an IND will result in the FDA allowing clinical trials to begin, or that, once begun, issues will not arise that suspend or terminate clinical trials. Additionally, even if the FDA agrees with the design and implementation of the clinical trials set forth in an IND, we cannot guarantee that it will not change its requirements in the future. These considerations also apply to new clinical trials we may submit as amendments to existing INDs or to a new IND. Any failure to file INDs on the timelines we expect or to obtain regulatory approvals for our planned clinical trials may prevent us from initiating or completing our clinical trials or commercializing our product candidates on a timely basis, if at all.</w:t>
      </w:r>
    </w:p>
    <w:p>
      <w:pPr>
        <w:spacing w:after="0" w:line="29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50" w:lineRule="exact"/>
        <w:rPr>
          <w:sz w:val="20"/>
          <w:szCs w:val="20"/>
          <w:color w:val="auto"/>
        </w:rPr>
      </w:pPr>
    </w:p>
    <w:p>
      <w:pPr>
        <w:ind w:right="160" w:firstLine="576"/>
        <w:spacing w:after="0" w:line="246"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products, we must demonstrate through lengthy, complex and expensive preclinical studies and clinical trials that our product candidates are both safe and effective for use in each target indication. Clinical testing is expensive and can take many years to complete, and outcomes are inherently uncertain. Failure can occur at any time during the clinical trial process. Because our precision oncology programs and our product candidates are in an early stage of development, there is a high risk of failure, and we may never succeed in developing marketable products. There is typically an extremely high rate of attrition from the failure of product candidates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4" w:name="page45"/>
    <w:bookmarkEnd w:id="44"/>
    <w:p>
      <w:pPr>
        <w:spacing w:after="0" w:line="242" w:lineRule="auto"/>
        <w:rPr>
          <w:sz w:val="20"/>
          <w:szCs w:val="20"/>
          <w:color w:val="auto"/>
        </w:rPr>
      </w:pPr>
      <w:r>
        <w:rPr>
          <w:rFonts w:ascii="Times New Roman" w:cs="Times New Roman" w:eastAsia="Times New Roman" w:hAnsi="Times New Roman"/>
          <w:sz w:val="18"/>
          <w:szCs w:val="18"/>
          <w:color w:val="auto"/>
        </w:rPr>
        <w:t>proceeding through clinical trials. Product candidates in later stages of clinical trials also may fail to show the desired safety and efficacy profile despite having progressed through nonclinical studies and initial clinical trials. If the results of our current and future preclinical studies and clinical trials are inconclusive with respect to the safety, pharmacokinetics or efficacy of our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There may be side effects experienced during clinical trials in connection with the use of oncology therapies. Results of our trials could reveal a high and unacceptable severity and prevalence of side effects as a result of the use of our therapy (or due to other factors).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 (the latter can be expensive to defend and result in significant damages and harm to our reputation). While we do have insurance to cover certain product liability claims, including in connection with injury during clinical trials, the coverage may not be sufficient to cover all expenses related to any injury and we may be required to pay damages from our own resources.</w:t>
      </w:r>
    </w:p>
    <w:p>
      <w:pPr>
        <w:spacing w:after="0" w:line="116"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yet observed. Many compounds that initially showed promise in early-stage testing for treating cancer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114"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We may develop future product candidates in combination with one or more cancer therapies. The uncertainty resulting from the use of our product candidates in combination with other cancer therapies may make it difficult to accurately predict side effects in future clinical trials. As is the case with many treatments for cancer and rare diseases, it is likely that there may be side effects associated with the use of our product candidates. If significant adverse events or other side effects are observed in our clinical trial for TNG908 or in any of our other future clinical trials, we may have difficulty recruiting patients to our clinical trials, patients may drop out of our trials, or we may be required to abandon the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252" w:lineRule="exact"/>
        <w:rPr>
          <w:sz w:val="20"/>
          <w:szCs w:val="20"/>
          <w:color w:val="auto"/>
        </w:rPr>
      </w:pPr>
    </w:p>
    <w:p>
      <w:pPr>
        <w:ind w:right="4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81" w:lineRule="exact"/>
        <w:rPr>
          <w:sz w:val="20"/>
          <w:szCs w:val="20"/>
          <w:color w:val="auto"/>
        </w:rPr>
      </w:pPr>
    </w:p>
    <w:p>
      <w:pPr>
        <w:ind w:right="220" w:firstLine="576"/>
        <w:spacing w:after="0" w:line="250" w:lineRule="auto"/>
        <w:rPr>
          <w:sz w:val="20"/>
          <w:szCs w:val="20"/>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uncertainty regarding our current and future development efforts and ability to obtain regulatory approval for such candidates. We select programs for cancer driver targets based on what we believe is compelling biological rationale. We explore new programs based on extensive preclinical data analysis which sometimes cannot predict efficacy or safety in humans.</w:t>
      </w:r>
    </w:p>
    <w:p>
      <w:pPr>
        <w:spacing w:after="0" w:line="96" w:lineRule="exact"/>
        <w:rPr>
          <w:sz w:val="20"/>
          <w:szCs w:val="20"/>
          <w:color w:val="auto"/>
        </w:rPr>
      </w:pPr>
    </w:p>
    <w:p>
      <w:pPr>
        <w:ind w:right="120" w:firstLine="576"/>
        <w:spacing w:after="0" w:line="268" w:lineRule="auto"/>
        <w:rPr>
          <w:sz w:val="20"/>
          <w:szCs w:val="20"/>
          <w:color w:val="auto"/>
        </w:rPr>
      </w:pPr>
      <w:r>
        <w:rPr>
          <w:rFonts w:ascii="Times New Roman" w:cs="Times New Roman" w:eastAsia="Times New Roman" w:hAnsi="Times New Roman"/>
          <w:sz w:val="17"/>
          <w:szCs w:val="17"/>
          <w:color w:val="auto"/>
        </w:rPr>
        <w:t>Some of our product candidates utilize novel binding locations, which may result in greater research and development expenses, regulatory issues that could delay or prevent drug candidate development and approval, or discovery of unknown or unanticipated adverse effects. We utilize structural biology in tight integration with our medicinal chemistry and biology capabilities to predict and design the compounds that we believe will achieve the most desirable characteristics, including potency, selectivity, bioavailability, and drug-like properties. A disruption in any of these capabilities may have significant adverse effects in our ability to expand our pipeline of product candidates, and we cannot predict whether we will continue to</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45" w:name="page46"/>
    <w:bookmarkEnd w:id="45"/>
    <w:p>
      <w:pPr>
        <w:ind w:right="180"/>
        <w:spacing w:after="0" w:line="258" w:lineRule="auto"/>
        <w:rPr>
          <w:sz w:val="20"/>
          <w:szCs w:val="20"/>
          <w:color w:val="auto"/>
        </w:rPr>
      </w:pPr>
      <w:r>
        <w:rPr>
          <w:rFonts w:ascii="Times New Roman" w:cs="Times New Roman" w:eastAsia="Times New Roman" w:hAnsi="Times New Roman"/>
          <w:sz w:val="18"/>
          <w:szCs w:val="18"/>
          <w:color w:val="auto"/>
        </w:rPr>
        <w:t>have access to these capabilities in the future to support our pipeline development. In addition, there can be no assurance that we will be able to rapidly identify, design and synthesize the necessary compounds or that these or other problems related to the development of product candidates will not arise in the future, which may cause significant delays or raise problems we may not be able to resolve.</w:t>
      </w:r>
    </w:p>
    <w:p>
      <w:pPr>
        <w:spacing w:after="0" w:line="115"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inhibitors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Any such events could adversely impact our business prospects, operating results and financial condition.</w:t>
      </w:r>
    </w:p>
    <w:p>
      <w:pPr>
        <w:spacing w:after="0" w:line="305"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clinical trials for our product candidates outside the United States, and the FDA and comparable foreign regulatory authorities may not accept data from such trials.</w:t>
      </w:r>
    </w:p>
    <w:p>
      <w:pPr>
        <w:spacing w:after="0" w:line="50"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We plan to conduct certain clinical trials outside the United States, and these jurisdictions may include countries in Europe, Australia or other foreign jurisdictions. The acceptance of trial data from clinical trials conducted outside the United States by the FDA, or comparable foreign regulatory authorities,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293"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60" w:lineRule="exact"/>
        <w:rPr>
          <w:sz w:val="20"/>
          <w:szCs w:val="20"/>
          <w:color w:val="auto"/>
        </w:rPr>
      </w:pPr>
    </w:p>
    <w:p>
      <w:pPr>
        <w:ind w:right="40" w:firstLine="576"/>
        <w:spacing w:after="0" w:line="250" w:lineRule="auto"/>
        <w:rPr>
          <w:sz w:val="20"/>
          <w:szCs w:val="20"/>
          <w:color w:val="auto"/>
        </w:rPr>
      </w:pPr>
      <w:r>
        <w:rPr>
          <w:rFonts w:ascii="Times New Roman" w:cs="Times New Roman" w:eastAsia="Times New Roman" w:hAnsi="Times New Roman"/>
          <w:sz w:val="18"/>
          <w:szCs w:val="18"/>
          <w:color w:val="auto"/>
        </w:rPr>
        <w:t>The ongoing success of businesses in the biopharmaceutical industry depend, to a large extent, on the ability to continue to introduce new products, especially as exclusivity rights to given therapies or indications expire. Research programs to pursue the development of our existing and planned product candidates for new or additional indications and to identify new product candidates and disease targets require substantial technical, financial and human resources whether or not they are ultimately successful. Our screening technology and research programs may initially show promise in identifying potential indications and/or product candidates, yet fail to yield results for clinical development for a number of reasons, including:</w:t>
      </w:r>
    </w:p>
    <w:p>
      <w:pPr>
        <w:spacing w:after="0" w:line="69" w:lineRule="exact"/>
        <w:rPr>
          <w:sz w:val="20"/>
          <w:szCs w:val="20"/>
          <w:color w:val="auto"/>
        </w:rPr>
      </w:pPr>
    </w:p>
    <w:p>
      <w:pPr>
        <w:ind w:right="200" w:firstLine="230"/>
        <w:spacing w:after="0" w:line="253" w:lineRule="auto"/>
        <w:rPr>
          <w:sz w:val="20"/>
          <w:szCs w:val="20"/>
          <w:color w:val="auto"/>
        </w:rPr>
      </w:pPr>
      <w:r>
        <w:rPr>
          <w:rFonts w:ascii="Times New Roman" w:cs="Times New Roman" w:eastAsia="Times New Roman" w:hAnsi="Times New Roman"/>
          <w:sz w:val="18"/>
          <w:szCs w:val="18"/>
          <w:color w:val="auto"/>
        </w:rPr>
        <w:t>the research methodology used may not be successful in identifying potential indications and/or product candidates (or the development of a chemical compound or formulation that has the desired effect cannot be developed);</w:t>
      </w:r>
    </w:p>
    <w:p>
      <w:pPr>
        <w:ind w:right="120" w:firstLine="230"/>
        <w:spacing w:after="0" w:line="235" w:lineRule="auto"/>
        <w:rPr>
          <w:sz w:val="20"/>
          <w:szCs w:val="20"/>
          <w:color w:val="auto"/>
        </w:rPr>
      </w:pPr>
      <w:r>
        <w:rPr>
          <w:rFonts w:ascii="Times New Roman" w:cs="Times New Roman" w:eastAsia="Times New Roman" w:hAnsi="Times New Roman"/>
          <w:sz w:val="18"/>
          <w:szCs w:val="18"/>
          <w:color w:val="auto"/>
        </w:rPr>
        <w:t>potential product candidates may, after further study, be shown to have harmful adverse effects or other characteristics that indicate they are unlikely to be effective products; or</w:t>
      </w:r>
    </w:p>
    <w:p>
      <w:pPr>
        <w:spacing w:after="0" w:line="1" w:lineRule="exact"/>
        <w:rPr>
          <w:sz w:val="20"/>
          <w:szCs w:val="20"/>
          <w:color w:val="auto"/>
        </w:rPr>
      </w:pPr>
    </w:p>
    <w:p>
      <w:pPr>
        <w:ind w:right="20" w:firstLine="230"/>
        <w:spacing w:after="0" w:line="246" w:lineRule="auto"/>
        <w:rPr>
          <w:sz w:val="20"/>
          <w:szCs w:val="20"/>
          <w:color w:val="auto"/>
        </w:rPr>
      </w:pPr>
      <w:r>
        <w:rPr>
          <w:rFonts w:ascii="Times New Roman" w:cs="Times New Roman" w:eastAsia="Times New Roman" w:hAnsi="Times New Roman"/>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potential product portfolio.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6" w:name="page47"/>
    <w:bookmarkEnd w:id="46"/>
    <w:p>
      <w:pPr>
        <w:ind w:right="80" w:firstLine="576"/>
        <w:spacing w:after="0" w:line="250" w:lineRule="auto"/>
        <w:rPr>
          <w:sz w:val="20"/>
          <w:szCs w:val="20"/>
          <w:color w:val="auto"/>
        </w:rPr>
      </w:pPr>
      <w:r>
        <w:rPr>
          <w:rFonts w:ascii="Times New Roman" w:cs="Times New Roman" w:eastAsia="Times New Roman" w:hAnsi="Times New Roman"/>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91" w:lineRule="exact"/>
        <w:rPr>
          <w:sz w:val="20"/>
          <w:szCs w:val="20"/>
          <w:color w:val="auto"/>
        </w:rPr>
      </w:pPr>
    </w:p>
    <w:p>
      <w:pPr>
        <w:ind w:right="100" w:firstLine="576"/>
        <w:spacing w:after="0" w:line="250" w:lineRule="auto"/>
        <w:rPr>
          <w:sz w:val="20"/>
          <w:szCs w:val="20"/>
          <w:color w:val="auto"/>
        </w:rPr>
      </w:pPr>
      <w:r>
        <w:rPr>
          <w:rFonts w:ascii="Times New Roman" w:cs="Times New Roman" w:eastAsia="Times New Roman" w:hAnsi="Times New Roman"/>
          <w:sz w:val="18"/>
          <w:szCs w:val="18"/>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294" w:lineRule="exact"/>
        <w:rPr>
          <w:sz w:val="20"/>
          <w:szCs w:val="20"/>
          <w:color w:val="auto"/>
        </w:rPr>
      </w:pPr>
    </w:p>
    <w:p>
      <w:pPr>
        <w:jc w:val="both"/>
        <w:ind w:right="6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0"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We received clearance of our IND application for TNG908 in the first quarter of 2022 and our Phase 1/2 clinical trial is now open for enrollment, otherwise, all of our product candidates are in discovery or preclinical development.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pharmacokinetics, side effects, toxicities or other characteristics that may preclude our obtaining regulatory approval or prevent or limit commercial use. In addition, regulatory authorities may find fault with our manufacturing process or facilities or that of third-party contract manufacturers. We and our third-party manufacturers that we expect to rely on for commercial production of our therapies, if approved, may also face greater than expected difficulty in manufacturing our product candidates.</w:t>
      </w:r>
    </w:p>
    <w:p>
      <w:pPr>
        <w:spacing w:after="0" w:line="76"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premarket approval application, or PMA, or equivalent application types, may cause delays in the approval or rejection of an application. The FDA and comparable foreign regulatory authorities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92" w:lineRule="exact"/>
        <w:rPr>
          <w:sz w:val="20"/>
          <w:szCs w:val="20"/>
          <w:color w:val="auto"/>
        </w:rPr>
      </w:pPr>
    </w:p>
    <w:p>
      <w:pPr>
        <w:ind w:left="240" w:right="2080"/>
        <w:spacing w:after="0" w:line="246" w:lineRule="auto"/>
        <w:rPr>
          <w:sz w:val="20"/>
          <w:szCs w:val="20"/>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 we may not be able to enroll a sufficient number of patients in our clinical studies;</w:t>
      </w:r>
    </w:p>
    <w:p>
      <w:pPr>
        <w:spacing w:after="0"/>
        <w:rPr>
          <w:sz w:val="20"/>
          <w:szCs w:val="20"/>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for its proposed indication or a related companion diagnostic is suitable to identify appropriate patient populations;</w:t>
      </w:r>
    </w:p>
    <w:p>
      <w:pPr>
        <w:ind w:right="500" w:firstLine="230"/>
        <w:spacing w:after="0" w:line="241" w:lineRule="auto"/>
        <w:rPr>
          <w:sz w:val="20"/>
          <w:szCs w:val="20"/>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234" w:lineRule="auto"/>
        <w:rPr>
          <w:sz w:val="20"/>
          <w:szCs w:val="20"/>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ind w:right="260" w:firstLine="230"/>
        <w:spacing w:after="0" w:line="243" w:lineRule="auto"/>
        <w:rPr>
          <w:sz w:val="20"/>
          <w:szCs w:val="20"/>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47" w:name="page48"/>
    <w:bookmarkEnd w:id="47"/>
    <w:p>
      <w:pPr>
        <w:ind w:right="280" w:firstLine="230"/>
        <w:spacing w:after="0" w:line="254" w:lineRule="auto"/>
        <w:rPr>
          <w:sz w:val="20"/>
          <w:szCs w:val="20"/>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ind w:right="340" w:firstLine="230"/>
        <w:spacing w:after="0" w:line="243" w:lineRule="auto"/>
        <w:rPr>
          <w:sz w:val="20"/>
          <w:szCs w:val="20"/>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such that our clinical data are insufficient for approval.</w:t>
      </w:r>
    </w:p>
    <w:p>
      <w:pPr>
        <w:spacing w:after="0" w:line="195" w:lineRule="exact"/>
        <w:rPr>
          <w:sz w:val="20"/>
          <w:szCs w:val="20"/>
          <w:color w:val="auto"/>
        </w:rPr>
      </w:pPr>
    </w:p>
    <w:p>
      <w:pPr>
        <w:ind w:right="240" w:firstLine="576"/>
        <w:spacing w:after="0" w:line="246" w:lineRule="auto"/>
        <w:rPr>
          <w:sz w:val="20"/>
          <w:szCs w:val="20"/>
          <w:color w:val="auto"/>
        </w:rPr>
      </w:pPr>
      <w:r>
        <w:rPr>
          <w:rFonts w:ascii="Times New Roman" w:cs="Times New Roman" w:eastAsia="Times New Roman" w:hAnsi="Times New Roman"/>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81" w:lineRule="exact"/>
        <w:rPr>
          <w:sz w:val="20"/>
          <w:szCs w:val="20"/>
          <w:color w:val="auto"/>
        </w:rPr>
      </w:pPr>
    </w:p>
    <w:p>
      <w:pPr>
        <w:ind w:right="740" w:firstLine="576"/>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28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or a similar pandemic, epidemic, or outbreak of an infectious disease, may materially and adversely affect our business and our financial results and could cause a disruption to the development of our product candidates and the initiation and completion of clinical trials.</w:t>
      </w:r>
    </w:p>
    <w:p>
      <w:pPr>
        <w:spacing w:after="0" w:line="50"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Beginning in 2020 and continuing through the date of this filing, a novel strain of a virus named SARS-CoV-2 (severe acute respiratory syndrome coronavirus 2), or coronavirus, which causes COVID-19 has spread across the world. Despite progress with distribution and administration of vaccines, COVID-19 and its effects continue to evolve, and countries continue to respond the implementation of various responses, including government-imposed quarantines, travel restrictions and other public health safety measures. The extent to which the coronavirus impacts our operations or those of our third-party partners, including our preclinical studies and clinical trial operations, will depend on future developments, which are highly uncertain and cannot be predicted with confidence and could adversely impact our preclinical or clinical trial operations in the United States and our future clinical trial sites in foreign jurisdictions, including our ability to recruit and retain patients and principal investigators and site staff who, as healthcare providers, may have heightened exposure to COVID-19 if an outbreak occurs in their geography. For example, similar to other biopharmaceutical companies, we may experience delays in initiating IND-enabling studies, protocol deviations, enrolling our clinical trials, or dosing of patients in our clinical trials as well as in activating new trial sites. COVID-19 may also affect employees of third-party CROs located in affected geographies that we expect that we will rely upon to carry out our clinical trials. Any negative impact COVID-19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97" w:lineRule="exact"/>
        <w:rPr>
          <w:sz w:val="20"/>
          <w:szCs w:val="20"/>
          <w:color w:val="auto"/>
        </w:rPr>
      </w:pPr>
    </w:p>
    <w:p>
      <w:pPr>
        <w:ind w:right="140" w:firstLine="576"/>
        <w:spacing w:after="0" w:line="244" w:lineRule="auto"/>
        <w:rPr>
          <w:sz w:val="20"/>
          <w:szCs w:val="20"/>
          <w:color w:val="auto"/>
        </w:rPr>
      </w:pPr>
      <w:r>
        <w:rPr>
          <w:rFonts w:ascii="Times New Roman" w:cs="Times New Roman" w:eastAsia="Times New Roman" w:hAnsi="Times New Roman"/>
          <w:sz w:val="18"/>
          <w:szCs w:val="18"/>
          <w:color w:val="auto"/>
        </w:rPr>
        <w:t>Additionally, timely enrollment in planned clinical trials and the reporting of clinical trial results is dependent upon clinical trial sites which could be adversely affected by global health matters, such as pandemics. We plan to conduct clinical trials for our product candidates in geographies which are currently affected by the COVID-19 pandemic, including our clinical trial for TNG908, a Phase 1/2 clinical trial that is now open for enrollment in the United States (the timing of which may be impacted by, among other things, the COVID-19 pandemic). Some factors from the COVID-19 pandemic that may delay or otherwise adversely affect enrollment in the clinical trials of our product candidates, including TNG908, as well as our business generally, include:</w:t>
      </w:r>
    </w:p>
    <w:p>
      <w:pPr>
        <w:spacing w:after="0" w:line="87" w:lineRule="exact"/>
        <w:rPr>
          <w:sz w:val="20"/>
          <w:szCs w:val="20"/>
          <w:color w:val="auto"/>
        </w:rPr>
      </w:pPr>
    </w:p>
    <w:p>
      <w:pPr>
        <w:ind w:right="140" w:firstLine="230"/>
        <w:spacing w:after="0" w:line="247" w:lineRule="auto"/>
        <w:rPr>
          <w:sz w:val="20"/>
          <w:szCs w:val="20"/>
          <w:color w:val="auto"/>
        </w:rPr>
      </w:pPr>
      <w:r>
        <w:rPr>
          <w:rFonts w:ascii="Times New Roman" w:cs="Times New Roman" w:eastAsia="Times New Roman" w:hAnsi="Times New Roman"/>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ind w:right="80" w:firstLine="230"/>
        <w:spacing w:after="0" w:line="238" w:lineRule="auto"/>
        <w:rPr>
          <w:sz w:val="20"/>
          <w:szCs w:val="20"/>
          <w:color w:val="auto"/>
        </w:rPr>
      </w:pPr>
      <w:r>
        <w:rPr>
          <w:rFonts w:ascii="Times New Roman" w:cs="Times New Roman" w:eastAsia="Times New Roman" w:hAnsi="Times New Roman"/>
          <w:sz w:val="18"/>
          <w:szCs w:val="18"/>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prospective clinical trials;</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the potential negative effect on the operations of our third-party manufacturers;</w:t>
      </w:r>
    </w:p>
    <w:p>
      <w:pPr>
        <w:ind w:right="200" w:firstLine="230"/>
        <w:spacing w:after="0" w:line="258" w:lineRule="auto"/>
        <w:rPr>
          <w:sz w:val="20"/>
          <w:szCs w:val="20"/>
          <w:color w:val="auto"/>
        </w:rPr>
      </w:pPr>
      <w:r>
        <w:rPr>
          <w:rFonts w:ascii="Times New Roman" w:cs="Times New Roman" w:eastAsia="Times New Roman" w:hAnsi="Times New Roman"/>
          <w:sz w:val="18"/>
          <w:szCs w:val="18"/>
          <w:color w:val="auto"/>
        </w:rPr>
        <w:t>interruption in global shipping affecting the transport of clinical trial materials, such as patient samples, investigational drug product and conditioning drugs and other supplies used in our prospective clinical trials;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48" w:name="page49"/>
    <w:bookmarkEnd w:id="48"/>
    <w:p>
      <w:pPr>
        <w:ind w:right="120" w:firstLine="185"/>
        <w:spacing w:after="0" w:line="254" w:lineRule="auto"/>
        <w:rPr>
          <w:sz w:val="20"/>
          <w:szCs w:val="20"/>
          <w:color w:val="auto"/>
        </w:rPr>
      </w:pPr>
      <w:r>
        <w:rPr>
          <w:rFonts w:ascii="Times New Roman" w:cs="Times New Roman" w:eastAsia="Times New Roman" w:hAnsi="Times New Roman"/>
          <w:sz w:val="18"/>
          <w:szCs w:val="18"/>
          <w:color w:val="auto"/>
        </w:rPr>
        <w:t>staffing shortages at clinical trial sites, both healthcare professionals (e.g. physicians, nurses) and support staff, caused by the COVID-19 pandemic and the challenges of finding replacements may adversely impact the timing and on-going performance of a clinical trial;</w:t>
      </w:r>
    </w:p>
    <w:p>
      <w:pPr>
        <w:ind w:right="340" w:firstLine="230"/>
        <w:spacing w:after="0" w:line="241" w:lineRule="auto"/>
        <w:rPr>
          <w:sz w:val="20"/>
          <w:szCs w:val="20"/>
          <w:color w:val="auto"/>
        </w:rPr>
      </w:pPr>
      <w:r>
        <w:rPr>
          <w:rFonts w:ascii="Times New Roman" w:cs="Times New Roman" w:eastAsia="Times New Roman" w:hAnsi="Times New Roman"/>
          <w:sz w:val="18"/>
          <w:szCs w:val="18"/>
          <w:color w:val="auto"/>
        </w:rPr>
        <w:t>business disruptions caused by potential workplace, laboratory and office closures and an increased reliance on employees working from home, and disruptions to or delays in ongoing laboratory experiments;</w:t>
      </w:r>
    </w:p>
    <w:p>
      <w:pPr>
        <w:spacing w:after="0" w:line="1" w:lineRule="exact"/>
        <w:rPr>
          <w:sz w:val="20"/>
          <w:szCs w:val="20"/>
          <w:color w:val="auto"/>
        </w:rPr>
      </w:pPr>
    </w:p>
    <w:p>
      <w:pPr>
        <w:ind w:right="580" w:firstLine="230"/>
        <w:spacing w:after="0" w:line="235" w:lineRule="auto"/>
        <w:rPr>
          <w:sz w:val="20"/>
          <w:szCs w:val="20"/>
          <w:color w:val="auto"/>
        </w:rPr>
      </w:pPr>
      <w:r>
        <w:rPr>
          <w:rFonts w:ascii="Times New Roman" w:cs="Times New Roman" w:eastAsia="Times New Roman" w:hAnsi="Times New Roman"/>
          <w:sz w:val="18"/>
          <w:szCs w:val="18"/>
          <w:color w:val="auto"/>
        </w:rPr>
        <w:t>operations, staffing shortages, travel limitations, global supply chain delays or mass transit disruptions, any of which could adversely impact our business operations or delay necessary interactions with local regulators, ethics committees and other important agencies and contractors;</w:t>
      </w:r>
    </w:p>
    <w:p>
      <w:pPr>
        <w:spacing w:after="0" w:line="1" w:lineRule="exact"/>
        <w:rPr>
          <w:sz w:val="20"/>
          <w:szCs w:val="20"/>
          <w:color w:val="auto"/>
        </w:rPr>
      </w:pPr>
    </w:p>
    <w:p>
      <w:pPr>
        <w:ind w:right="160" w:firstLine="230"/>
        <w:spacing w:after="0" w:line="242" w:lineRule="auto"/>
        <w:rPr>
          <w:sz w:val="20"/>
          <w:szCs w:val="20"/>
          <w:color w:val="auto"/>
        </w:rPr>
      </w:pPr>
      <w:r>
        <w:rPr>
          <w:rFonts w:ascii="Times New Roman" w:cs="Times New Roman" w:eastAsia="Times New Roman" w:hAnsi="Times New Roman"/>
          <w:sz w:val="18"/>
          <w:szCs w:val="18"/>
          <w:color w:val="auto"/>
        </w:rPr>
        <w:t>changes in local regulations as part of a response to the COVID-19 pandemic, which may require us to change the ways in which our clinical trials are conducted, which may result in unexpected costs, or to discontinue such clinical trials altogether;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192" w:lineRule="exact"/>
        <w:rPr>
          <w:sz w:val="20"/>
          <w:szCs w:val="20"/>
          <w:color w:val="auto"/>
        </w:rPr>
      </w:pPr>
    </w:p>
    <w:p>
      <w:pPr>
        <w:ind w:right="60" w:firstLine="576"/>
        <w:spacing w:after="0" w:line="247" w:lineRule="auto"/>
        <w:rPr>
          <w:sz w:val="20"/>
          <w:szCs w:val="20"/>
          <w:color w:val="auto"/>
        </w:rPr>
      </w:pPr>
      <w:r>
        <w:rPr>
          <w:rFonts w:ascii="Times New Roman" w:cs="Times New Roman" w:eastAsia="Times New Roman" w:hAnsi="Times New Roman"/>
          <w:sz w:val="18"/>
          <w:szCs w:val="18"/>
          <w:color w:val="auto"/>
        </w:rPr>
        <w:t>Our employees, including our lab personnel, are currently working at our office headquarters. We have, in the past, taken temporary precautionary measures intended to help minimize the risk of the virus to our employees, including temporarily requiring certain of our employees to work remotely, suspending all non-essential travel worldwide for our employees, implementing COVID-19 testing policies for employees in certain instances and discouraging employee attendance at industry events and in-person work-related meetings, which could negatively affect our business (and certain of these measures remain in place). We cannot presently predict the scope and severity of the planned and potential shutdowns or disruptions of businesses and government agencies, such as the SEC or FDA.</w:t>
      </w:r>
    </w:p>
    <w:p>
      <w:pPr>
        <w:spacing w:after="0" w:line="180" w:lineRule="exact"/>
        <w:rPr>
          <w:sz w:val="20"/>
          <w:szCs w:val="20"/>
          <w:color w:val="auto"/>
        </w:rPr>
      </w:pPr>
    </w:p>
    <w:p>
      <w:pPr>
        <w:ind w:firstLine="576"/>
        <w:spacing w:after="0" w:line="246" w:lineRule="auto"/>
        <w:rPr>
          <w:sz w:val="20"/>
          <w:szCs w:val="20"/>
          <w:color w:val="auto"/>
        </w:rPr>
      </w:pPr>
      <w:r>
        <w:rPr>
          <w:rFonts w:ascii="Times New Roman" w:cs="Times New Roman" w:eastAsia="Times New Roman" w:hAnsi="Times New Roman"/>
          <w:sz w:val="18"/>
          <w:szCs w:val="18"/>
          <w:color w:val="auto"/>
        </w:rPr>
        <w:t>These and other factors arising from COVID-19 (and any future variant of the COVID-19 virus) could worsen in countries that are already afflicted with COVID-19 or could continue to spread to additional countries. Any of these factors, and other factors related to any such disruptions that are unforeseen, could have a material adverse effect on our business and our results of operations and financial condition and our clinical trials. Further, uncertainty around these and related issues could lead to adverse effects on the economy of the United States and other economies, which could impact our ability to raise the necessary capital needed to develop and commercialize our programs and product candidates.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12"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63" w:lineRule="exact"/>
        <w:rPr>
          <w:sz w:val="20"/>
          <w:szCs w:val="20"/>
          <w:color w:val="auto"/>
        </w:rPr>
      </w:pPr>
    </w:p>
    <w:p>
      <w:pPr>
        <w:ind w:right="20" w:firstLine="576"/>
        <w:spacing w:after="0" w:line="244" w:lineRule="auto"/>
        <w:rPr>
          <w:sz w:val="20"/>
          <w:szCs w:val="20"/>
          <w:color w:val="auto"/>
        </w:rPr>
      </w:pPr>
      <w:r>
        <w:rPr>
          <w:rFonts w:ascii="Times New Roman" w:cs="Times New Roman" w:eastAsia="Times New Roman" w:hAnsi="Times New Roman"/>
          <w:sz w:val="18"/>
          <w:szCs w:val="18"/>
          <w:color w:val="auto"/>
        </w:rPr>
        <w:t>The development and commercialization of new products in the biopharmaceutical and related industries is highly competitive. We compete in the segments of the pharmaceutical, biotechnology, and other related markets that address structural biology-guided chemistry-based drug design to develop therapies in the fields of cancer and genetic diseases. There are other companies focusing on precision oncology to develop therapies in the fields of cancer and other diseases. Specifically, with respect to TNG908 (for which we recently received FDA clearance of our IND application), we are aware that Mirati Therapeutics, Inc. and Amgen each have a clinical MTA-cooperative PRMT5 inhibitor program, using the same mechanism of action as TNG908 (and there are other indirect competitors in the PRMT5 inhibition space as well).</w:t>
      </w:r>
    </w:p>
    <w:p>
      <w:pPr>
        <w:spacing w:after="0" w:line="74"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color w:val="auto"/>
        </w:rPr>
        <w:t>We also compete more broadly across the market for cost-effective and reimbursable cancer treatments. Some of these competitive products and therapies are based on scientific approaches that are the same as or similar to our approach (as noted above), and others are based on entirely different approaches. These companies include divisions of large pharmaceutical companies and biotechnology companies of various sizes, such as Amgen.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14" w:lineRule="exact"/>
        <w:rPr>
          <w:sz w:val="20"/>
          <w:szCs w:val="20"/>
          <w:color w:val="auto"/>
        </w:rPr>
      </w:pPr>
    </w:p>
    <w:p>
      <w:pPr>
        <w:ind w:right="120" w:firstLine="576"/>
        <w:spacing w:after="0" w:line="246"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identify biomarkers, ability to successfully transition research programs into clinical development, ability to raise capital, and the scalability of the platform, pipeline, and business.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49" w:name="page50"/>
    <w:bookmarkEnd w:id="49"/>
    <w:p>
      <w:pPr>
        <w:ind w:firstLine="576"/>
        <w:spacing w:after="0" w:line="243" w:lineRule="auto"/>
        <w:rPr>
          <w:sz w:val="20"/>
          <w:szCs w:val="20"/>
          <w:color w:val="auto"/>
        </w:rPr>
      </w:pPr>
      <w:r>
        <w:rPr>
          <w:rFonts w:ascii="Times New Roman" w:cs="Times New Roman" w:eastAsia="Times New Roman" w:hAnsi="Times New Roman"/>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promoting and selling approved products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barriers to entry do not remain in place, other companies may be able to more directly or effectively compete with us.</w:t>
      </w:r>
    </w:p>
    <w:p>
      <w:pPr>
        <w:spacing w:after="0" w:line="119" w:lineRule="exact"/>
        <w:rPr>
          <w:sz w:val="20"/>
          <w:szCs w:val="20"/>
          <w:color w:val="auto"/>
        </w:rPr>
      </w:pPr>
    </w:p>
    <w:p>
      <w:pPr>
        <w:ind w:right="160" w:firstLine="576"/>
        <w:spacing w:after="0" w:line="247"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novel competition that utilize the same mechanism of action and availability of reimbursement from government and other third-party payors.</w:t>
      </w:r>
    </w:p>
    <w:p>
      <w:pPr>
        <w:spacing w:after="0" w:line="203" w:lineRule="exact"/>
        <w:rPr>
          <w:sz w:val="20"/>
          <w:szCs w:val="20"/>
          <w:color w:val="auto"/>
        </w:rPr>
      </w:pPr>
    </w:p>
    <w:p>
      <w:pPr>
        <w:ind w:right="20" w:firstLine="4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will be adversely affected, possibly materially.</w:t>
      </w:r>
    </w:p>
    <w:p>
      <w:pPr>
        <w:spacing w:after="0" w:line="63"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The incidence and prevalence for target patient populations of our programs and product candidates have not been established with precision. Our lead product candidate, TNG908, is an oral small molecule inhibitor of PRMT5. We are developing TNG908 for the treatment of patients with solid tumors with MTAP deletion, a genetic alteration which occurs in 10% to 15% of all human tumors, including NSCLC, mesothelioma, cholangiocarcinoma, and GBM, as well as indications where there are limited treatment options with no standard of care, including MPNST. Our next-generation PRMT5 product candidate, TNG462, is being developed for the same patient population as TNG908 with the exception of GMB as TNG462 does not cross the blood-brain barrier in preclinical primate models. Additionally, our undisclosed Target 3 program is being developed for certain patients with STK11 loss-of-function mutations. STK11 loss-of-function mutations are a genetic alteration in approximately 15% of NSCLC, 15% of cervical cancers, 10% carcinoma of unknown primary, 5% of breast cancers and 3% of pancreatic cancers. USP1 is a strong synthetic lethal target for BRCA1/2-mutant, which are present in approximately 15% of ovarian cancers, 10% of breast cancers, 10% of prostate cancers, 5% of endometrial cancers and 5% of pancreatic cancers. Our projections of both the number of people who have these diseases, as well as the subset of people with these diseases who have the potential to benefit from treatment with our programs and product candidates, are based on our estimates.</w:t>
      </w:r>
    </w:p>
    <w:p>
      <w:pPr>
        <w:spacing w:after="0" w:line="121" w:lineRule="exact"/>
        <w:rPr>
          <w:sz w:val="20"/>
          <w:szCs w:val="20"/>
          <w:color w:val="auto"/>
        </w:rPr>
      </w:pPr>
    </w:p>
    <w:p>
      <w:pPr>
        <w:ind w:right="40" w:firstLine="576"/>
        <w:spacing w:after="0" w:line="245" w:lineRule="auto"/>
        <w:rPr>
          <w:sz w:val="20"/>
          <w:szCs w:val="20"/>
          <w:color w:val="auto"/>
        </w:rPr>
      </w:pPr>
      <w:r>
        <w:rPr>
          <w:rFonts w:ascii="Times New Roman" w:cs="Times New Roman" w:eastAsia="Times New Roman" w:hAnsi="Times New Roman"/>
          <w:sz w:val="18"/>
          <w:szCs w:val="18"/>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the cancers and solid tumors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capital, we must prioritize development of certain product candidates, which may prove to be the wrong choice and may adversely affect our business.</w:t>
      </w:r>
    </w:p>
    <w:p>
      <w:pPr>
        <w:spacing w:after="0" w:line="285"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current product candidates or any future product candidates do not achieve broad market acceptance, the revenue that we generate from their sales may be limited, and we may never become profitable.</w:t>
      </w:r>
    </w:p>
    <w:p>
      <w:pPr>
        <w:spacing w:after="0" w:line="63"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0" w:name="page51"/>
    <w:bookmarkEnd w:id="50"/>
    <w:p>
      <w:pPr>
        <w:ind w:right="20"/>
        <w:spacing w:after="0" w:line="250" w:lineRule="auto"/>
        <w:rPr>
          <w:sz w:val="20"/>
          <w:szCs w:val="20"/>
          <w:color w:val="auto"/>
        </w:rPr>
      </w:pPr>
      <w:r>
        <w:rPr>
          <w:rFonts w:ascii="Times New Roman" w:cs="Times New Roman" w:eastAsia="Times New Roman" w:hAnsi="Times New Roman"/>
          <w:sz w:val="18"/>
          <w:szCs w:val="18"/>
          <w:color w:val="auto"/>
        </w:rPr>
        <w:t>or safer treatments enter the market. If public perception is influenced by claims that the use of certain precision oncology product candidates or immunotherapies and targeted therapies is unsafe, whether related to our or our competitors’ products, our potential future products may not be accepted by the general public or the medical community. Future adverse events in precision oncology, immuno-oncology or the biopharmaceutical industry could also result in greater governmental regulation, stricter labeling requirements and potential regulatory delays in the testing or approvals of our product candidates.</w:t>
      </w:r>
    </w:p>
    <w:p>
      <w:pPr>
        <w:spacing w:after="0" w:line="110"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86" w:lineRule="exact"/>
        <w:rPr>
          <w:sz w:val="20"/>
          <w:szCs w:val="20"/>
          <w:color w:val="auto"/>
        </w:rPr>
      </w:pPr>
    </w:p>
    <w:p>
      <w:pPr>
        <w:ind w:right="620" w:firstLine="230"/>
        <w:spacing w:after="0" w:line="246" w:lineRule="auto"/>
        <w:rPr>
          <w:sz w:val="20"/>
          <w:szCs w:val="20"/>
          <w:color w:val="auto"/>
        </w:rPr>
      </w:pPr>
      <w:r>
        <w:rPr>
          <w:rFonts w:ascii="Times New Roman" w:cs="Times New Roman" w:eastAsia="Times New Roman" w:hAnsi="Times New Roman"/>
          <w:sz w:val="18"/>
          <w:szCs w:val="18"/>
          <w:color w:val="auto"/>
        </w:rPr>
        <w:t>the efficacy of our current product candidates and any future product candidates as single agents and in combination with marketed combination therapies or other therapies that are also pending regulatory approval;</w:t>
      </w:r>
    </w:p>
    <w:p>
      <w:pPr>
        <w:spacing w:after="0"/>
        <w:rPr>
          <w:sz w:val="20"/>
          <w:szCs w:val="20"/>
          <w:color w:val="auto"/>
        </w:rPr>
      </w:pPr>
      <w:r>
        <w:rPr>
          <w:rFonts w:ascii="Times New Roman" w:cs="Times New Roman" w:eastAsia="Times New Roman" w:hAnsi="Times New Roman"/>
          <w:sz w:val="18"/>
          <w:szCs w:val="18"/>
          <w:color w:val="auto"/>
        </w:rPr>
        <w:t>the commercial success of the checkpoint blockade drugs with which certain of our products may be co-administered;</w:t>
      </w:r>
    </w:p>
    <w:p>
      <w:pPr>
        <w:spacing w:after="0" w:line="7" w:lineRule="exact"/>
        <w:rPr>
          <w:sz w:val="20"/>
          <w:szCs w:val="20"/>
          <w:color w:val="auto"/>
        </w:rPr>
      </w:pPr>
    </w:p>
    <w:p>
      <w:pPr>
        <w:ind w:right="220" w:firstLine="230"/>
        <w:spacing w:after="0" w:line="235" w:lineRule="auto"/>
        <w:rPr>
          <w:sz w:val="20"/>
          <w:szCs w:val="20"/>
          <w:color w:val="auto"/>
        </w:rPr>
      </w:pPr>
      <w:r>
        <w:rPr>
          <w:rFonts w:ascii="Times New Roman" w:cs="Times New Roman" w:eastAsia="Times New Roman" w:hAnsi="Times New Roman"/>
          <w:sz w:val="18"/>
          <w:szCs w:val="18"/>
          <w:color w:val="auto"/>
        </w:rPr>
        <w:t>the prevalence and severity of adverse events associated with our current product candidates and any future product candidates or those products with which they may be co-administered;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clinical indications for which our product candidates are approved and the approved claims that we may make for the products;</w:t>
      </w:r>
    </w:p>
    <w:p>
      <w:pPr>
        <w:spacing w:after="0" w:line="7" w:lineRule="exact"/>
        <w:rPr>
          <w:sz w:val="20"/>
          <w:szCs w:val="20"/>
          <w:color w:val="auto"/>
        </w:rPr>
      </w:pPr>
    </w:p>
    <w:p>
      <w:pPr>
        <w:ind w:right="120" w:firstLine="230"/>
        <w:spacing w:after="0" w:line="239" w:lineRule="auto"/>
        <w:rPr>
          <w:sz w:val="20"/>
          <w:szCs w:val="20"/>
          <w:color w:val="auto"/>
        </w:rPr>
      </w:pPr>
      <w:r>
        <w:rPr>
          <w:rFonts w:ascii="Times New Roman" w:cs="Times New Roman" w:eastAsia="Times New Roman" w:hAnsi="Times New Roman"/>
          <w:sz w:val="18"/>
          <w:szCs w:val="18"/>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 changes in the standard of care for the targeted indications of our current product candidates and any future product candidates, which could reduce the marketing impact of any claims that we could make following FDA approval or approval by comparable foreign regulatory authorities, if obtained;</w:t>
      </w:r>
    </w:p>
    <w:p>
      <w:pPr>
        <w:ind w:right="120" w:firstLine="230"/>
        <w:spacing w:after="0" w:line="241" w:lineRule="auto"/>
        <w:rPr>
          <w:sz w:val="20"/>
          <w:szCs w:val="20"/>
          <w:color w:val="auto"/>
        </w:rPr>
      </w:pPr>
      <w:r>
        <w:rPr>
          <w:rFonts w:ascii="Times New Roman" w:cs="Times New Roman" w:eastAsia="Times New Roman" w:hAnsi="Times New Roman"/>
          <w:sz w:val="18"/>
          <w:szCs w:val="18"/>
          <w:color w:val="auto"/>
        </w:rPr>
        <w:t>the relative convenience and ease of administration of our current product candidates and any future product candidates (including the number of doses required in a given period) and any products with which they are co-administered;</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cost of treatment compared with the economic and clinical benefit of alternative treatments or therapies;</w:t>
      </w:r>
    </w:p>
    <w:p>
      <w:pPr>
        <w:ind w:right="700" w:firstLine="230"/>
        <w:spacing w:after="0" w:line="234" w:lineRule="auto"/>
        <w:rPr>
          <w:sz w:val="20"/>
          <w:szCs w:val="20"/>
          <w:color w:val="auto"/>
        </w:rPr>
      </w:pPr>
      <w:r>
        <w:rPr>
          <w:rFonts w:ascii="Times New Roman" w:cs="Times New Roman" w:eastAsia="Times New Roman" w:hAnsi="Times New Roman"/>
          <w:sz w:val="18"/>
          <w:szCs w:val="18"/>
          <w:color w:val="auto"/>
        </w:rPr>
        <w:t>the availability of adequate coverage or reimbursement by third-party payors, including government healthcare programs such as Medicare and Medicaid and other healthcare payors;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concessions required by third-party payors to obtain coverage;</w:t>
      </w:r>
    </w:p>
    <w:p>
      <w:pPr>
        <w:spacing w:after="0" w:line="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willingness of patients to pay out-of-pocket in the absence of adequate coverage and reimbursement;</w:t>
      </w:r>
    </w:p>
    <w:p>
      <w:pPr>
        <w:spacing w:after="0" w:line="234" w:lineRule="auto"/>
        <w:rPr>
          <w:sz w:val="20"/>
          <w:szCs w:val="20"/>
          <w:color w:val="auto"/>
        </w:rPr>
      </w:pPr>
      <w:r>
        <w:rPr>
          <w:rFonts w:ascii="Times New Roman" w:cs="Times New Roman" w:eastAsia="Times New Roman" w:hAnsi="Times New Roman"/>
          <w:sz w:val="18"/>
          <w:szCs w:val="18"/>
          <w:color w:val="auto"/>
        </w:rPr>
        <w:t>the extent and strength of our marketing and distribution of our current product candidates and any future product candidates;</w:t>
      </w:r>
    </w:p>
    <w:p>
      <w:pPr>
        <w:spacing w:after="0"/>
        <w:rPr>
          <w:sz w:val="20"/>
          <w:szCs w:val="20"/>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w:t>
      </w:r>
    </w:p>
    <w:p>
      <w:pPr>
        <w:spacing w:after="0" w:line="7" w:lineRule="exact"/>
        <w:rPr>
          <w:sz w:val="20"/>
          <w:szCs w:val="20"/>
          <w:color w:val="auto"/>
        </w:rPr>
      </w:pPr>
    </w:p>
    <w:p>
      <w:pPr>
        <w:ind w:firstLine="230"/>
        <w:spacing w:after="0" w:line="235" w:lineRule="auto"/>
        <w:rPr>
          <w:sz w:val="20"/>
          <w:szCs w:val="20"/>
          <w:color w:val="auto"/>
        </w:rPr>
      </w:pPr>
      <w:r>
        <w:rPr>
          <w:rFonts w:ascii="Times New Roman" w:cs="Times New Roman" w:eastAsia="Times New Roman" w:hAnsi="Times New Roman"/>
          <w:sz w:val="18"/>
          <w:szCs w:val="18"/>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1" w:lineRule="exact"/>
        <w:rPr>
          <w:sz w:val="20"/>
          <w:szCs w:val="20"/>
          <w:color w:val="auto"/>
        </w:rPr>
      </w:pPr>
    </w:p>
    <w:p>
      <w:pPr>
        <w:ind w:left="240" w:right="1280"/>
        <w:spacing w:after="0" w:line="242" w:lineRule="auto"/>
        <w:rPr>
          <w:sz w:val="20"/>
          <w:szCs w:val="20"/>
          <w:color w:val="auto"/>
        </w:rPr>
      </w:pPr>
      <w:r>
        <w:rPr>
          <w:rFonts w:ascii="Times New Roman" w:cs="Times New Roman" w:eastAsia="Times New Roman" w:hAnsi="Times New Roman"/>
          <w:sz w:val="18"/>
          <w:szCs w:val="18"/>
          <w:color w:val="auto"/>
        </w:rPr>
        <w:t>the timing of market introduction of our current product candidates and any future product candidates, as well as competitive products; our ability to offer our current product candidates and any future product candidates for sale at competitive prices;</w:t>
      </w:r>
    </w:p>
    <w:p>
      <w:pPr>
        <w:spacing w:after="0" w:line="1" w:lineRule="exact"/>
        <w:rPr>
          <w:sz w:val="20"/>
          <w:szCs w:val="20"/>
          <w:color w:val="auto"/>
        </w:rPr>
      </w:pPr>
    </w:p>
    <w:p>
      <w:pPr>
        <w:ind w:left="240" w:right="2840"/>
        <w:spacing w:after="0" w:line="241" w:lineRule="auto"/>
        <w:rPr>
          <w:sz w:val="20"/>
          <w:szCs w:val="20"/>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 the extent and strength of our third-party manufacturer and supplier support;</w:t>
      </w:r>
    </w:p>
    <w:p>
      <w:pPr>
        <w:spacing w:after="0" w:line="1" w:lineRule="exact"/>
        <w:rPr>
          <w:sz w:val="20"/>
          <w:szCs w:val="20"/>
          <w:color w:val="auto"/>
        </w:rPr>
      </w:pPr>
    </w:p>
    <w:p>
      <w:pPr>
        <w:ind w:right="980" w:firstLine="230"/>
        <w:spacing w:after="0" w:line="235" w:lineRule="auto"/>
        <w:rPr>
          <w:sz w:val="20"/>
          <w:szCs w:val="20"/>
          <w:color w:val="auto"/>
        </w:rPr>
      </w:pPr>
      <w:r>
        <w:rPr>
          <w:rFonts w:ascii="Times New Roman" w:cs="Times New Roman" w:eastAsia="Times New Roman" w:hAnsi="Times New Roman"/>
          <w:sz w:val="18"/>
          <w:szCs w:val="18"/>
          <w:color w:val="auto"/>
        </w:rPr>
        <w:t>the actions of companies that market any products with which our current product candidates and any future product candidates may be co-administered;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approval of other new products;</w:t>
      </w:r>
    </w:p>
    <w:p>
      <w:pPr>
        <w:spacing w:after="0" w:line="7" w:lineRule="exact"/>
        <w:rPr>
          <w:sz w:val="20"/>
          <w:szCs w:val="20"/>
          <w:color w:val="auto"/>
        </w:rPr>
      </w:pPr>
    </w:p>
    <w:p>
      <w:pPr>
        <w:ind w:right="520" w:firstLine="230"/>
        <w:spacing w:after="0" w:line="235" w:lineRule="auto"/>
        <w:rPr>
          <w:sz w:val="20"/>
          <w:szCs w:val="20"/>
          <w:color w:val="auto"/>
        </w:rPr>
      </w:pPr>
      <w:r>
        <w:rPr>
          <w:rFonts w:ascii="Times New Roman" w:cs="Times New Roman" w:eastAsia="Times New Roman" w:hAnsi="Times New Roman"/>
          <w:sz w:val="18"/>
          <w:szCs w:val="18"/>
          <w:color w:val="auto"/>
        </w:rPr>
        <w:t>adverse publicity about our current product candidates and any future product candidates or any products with which they are co-administered, or favorable publicity about competitive products;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product liability claims.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to conduct our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1" w:name="page52"/>
    <w:bookmarkEnd w:id="51"/>
    <w:p>
      <w:pPr>
        <w:ind w:firstLine="576"/>
        <w:spacing w:after="0" w:line="245"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expect to rely on medical institutions, clinical investigators, contract laboratories and other third parties, such as CROs, to conduct or otherwise support clinical trials for our product candidates, including our Phase 1/2 clinical trial of TNG908, and for any other product candidates that emerge from our precision oncology programs. We may also rely on academic and private non-academic institutions to conduct and sponsor clinical trials relating to our product candidates. We will not control the design or conduct of the investigator-sponsored trials, and it is possible that the FDA or non-U.S. regulatory authorities will not view these investigator-sponsored trials as providing adequate support for future clinical trials, whether controlled by us or third parties, for any number of reasons, including elements of the design or execution of the trials or safety concerns or other trial results.</w:t>
      </w:r>
    </w:p>
    <w:p>
      <w:pPr>
        <w:spacing w:after="0" w:line="114" w:lineRule="exact"/>
        <w:rPr>
          <w:sz w:val="20"/>
          <w:szCs w:val="20"/>
          <w:color w:val="auto"/>
        </w:rPr>
      </w:pPr>
    </w:p>
    <w:p>
      <w:pPr>
        <w:ind w:right="60" w:firstLine="576"/>
        <w:spacing w:after="0" w:line="245" w:lineRule="auto"/>
        <w:rPr>
          <w:sz w:val="20"/>
          <w:szCs w:val="20"/>
          <w:color w:val="auto"/>
        </w:rPr>
      </w:pPr>
      <w:r>
        <w:rPr>
          <w:rFonts w:ascii="Times New Roman" w:cs="Times New Roman" w:eastAsia="Times New Roman" w:hAnsi="Times New Roman"/>
          <w:sz w:val="18"/>
          <w:szCs w:val="18"/>
          <w:color w:val="auto"/>
        </w:rPr>
        <w:t>We are likely to have certain information rights with respect to the investigator-sponsored trials, including access to and the ability to use and reference the data, including for our own regulatory filings.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w:t>
      </w:r>
    </w:p>
    <w:p>
      <w:pPr>
        <w:spacing w:after="0" w:line="114" w:lineRule="exact"/>
        <w:rPr>
          <w:sz w:val="20"/>
          <w:szCs w:val="20"/>
          <w:color w:val="auto"/>
        </w:rPr>
      </w:pPr>
    </w:p>
    <w:p>
      <w:pPr>
        <w:ind w:right="180" w:firstLine="576"/>
        <w:spacing w:after="0" w:line="243" w:lineRule="auto"/>
        <w:rPr>
          <w:sz w:val="20"/>
          <w:szCs w:val="20"/>
          <w:color w:val="auto"/>
        </w:rPr>
      </w:pPr>
      <w:r>
        <w:rPr>
          <w:rFonts w:ascii="Times New Roman" w:cs="Times New Roman" w:eastAsia="Times New Roman" w:hAnsi="Times New Roman"/>
          <w:sz w:val="18"/>
          <w:szCs w:val="18"/>
          <w:color w:val="auto"/>
        </w:rPr>
        <w:t>We rely and expect to continue to rely heavily on third parties for execution of clinical trials for our product candidates and control only certain aspects of their activities (and such control may be based on contractual provisions that may be breached by the third-party). For example, for the Phase 1/2 clinical trial of TNG908, we expect to rely on one CRO for the conduct of the trial and one manufacturer to manufacture the study drug to be used during the course of the trial. We are responsible for ensuring that each of our clinical trials and the study drug is conducted and manufactured in accordance with the applicable protocol, legal and regulatory requirements and scientific standards, and our reliance on a CRO or CDMO will not relieve us of our regulatory responsibilities. For any violations of laws and regulations during the conduct of our clinical trials, we could be subject to warning letters or enforcement action that may include civil penalties, suspension/hold or termination of trials and other penalties up to and including criminal prosecution.</w:t>
      </w:r>
    </w:p>
    <w:p>
      <w:pPr>
        <w:spacing w:after="0" w:line="119"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generally must be conducted with product candidates produced under current Good Manufacturing Practice, or cGMP, regulations. Our failure or the failure of our principal investigators, third party manufacturers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22" w:lineRule="exact"/>
        <w:rPr>
          <w:sz w:val="20"/>
          <w:szCs w:val="20"/>
          <w:color w:val="auto"/>
        </w:rPr>
      </w:pPr>
    </w:p>
    <w:p>
      <w:pPr>
        <w:ind w:right="100" w:firstLine="576"/>
        <w:spacing w:after="0" w:line="245" w:lineRule="auto"/>
        <w:rPr>
          <w:sz w:val="20"/>
          <w:szCs w:val="20"/>
          <w:color w:val="auto"/>
        </w:rPr>
      </w:pPr>
      <w:r>
        <w:rPr>
          <w:rFonts w:ascii="Times New Roman" w:cs="Times New Roman" w:eastAsia="Times New Roman" w:hAnsi="Times New Roman"/>
          <w:sz w:val="18"/>
          <w:szCs w:val="18"/>
          <w:color w:val="auto"/>
        </w:rPr>
        <w:t>Although we have designed our Phase 1/2 clinical trial of TNG908 and intend to design the future clinical trials for our product candidates, the operational details of these trials will be executed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have staffing difficulties, fail to comply with contractual obligations, experience regulatory compliance issues, undergo changes in priorities or become financially distressed or form relationships with other entities, some of which may be our competitors.</w:t>
      </w:r>
    </w:p>
    <w:p>
      <w:pPr>
        <w:spacing w:after="0" w:line="181" w:lineRule="exact"/>
        <w:rPr>
          <w:sz w:val="20"/>
          <w:szCs w:val="20"/>
          <w:color w:val="auto"/>
        </w:rPr>
      </w:pPr>
    </w:p>
    <w:p>
      <w:pPr>
        <w:ind w:right="140" w:firstLine="576"/>
        <w:spacing w:after="0" w:line="250"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2" w:name="page53"/>
    <w:bookmarkEnd w:id="52"/>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169" w:lineRule="exact"/>
        <w:rPr>
          <w:sz w:val="20"/>
          <w:szCs w:val="20"/>
          <w:color w:val="auto"/>
        </w:rPr>
      </w:pPr>
    </w:p>
    <w:p>
      <w:pPr>
        <w:ind w:right="100" w:firstLine="576"/>
        <w:spacing w:after="0" w:line="245" w:lineRule="auto"/>
        <w:rPr>
          <w:sz w:val="20"/>
          <w:szCs w:val="20"/>
          <w:color w:val="auto"/>
        </w:rPr>
      </w:pPr>
      <w:r>
        <w:rPr>
          <w:rFonts w:ascii="Times New Roman" w:cs="Times New Roman" w:eastAsia="Times New Roman" w:hAnsi="Times New Roman"/>
          <w:sz w:val="18"/>
          <w:szCs w:val="18"/>
          <w:color w:val="auto"/>
        </w:rPr>
        <w:t>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future revenue, if any, could be delayed.</w:t>
      </w:r>
    </w:p>
    <w:p>
      <w:pPr>
        <w:spacing w:after="0" w:line="2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collaborations and may enter into additional collaborations in the future, and we might not realize the anticipated benefits of such collaborations.</w:t>
      </w:r>
    </w:p>
    <w:p>
      <w:pPr>
        <w:spacing w:after="0" w:line="37" w:lineRule="exact"/>
        <w:rPr>
          <w:sz w:val="20"/>
          <w:szCs w:val="20"/>
          <w:color w:val="auto"/>
        </w:rPr>
      </w:pPr>
    </w:p>
    <w:p>
      <w:pPr>
        <w:ind w:right="500" w:firstLine="576"/>
        <w:spacing w:after="0" w:line="266" w:lineRule="auto"/>
        <w:rPr>
          <w:sz w:val="20"/>
          <w:szCs w:val="20"/>
          <w:color w:val="auto"/>
        </w:rPr>
      </w:pPr>
      <w:r>
        <w:rPr>
          <w:rFonts w:ascii="Times New Roman" w:cs="Times New Roman" w:eastAsia="Times New Roman" w:hAnsi="Times New Roman"/>
          <w:sz w:val="18"/>
          <w:szCs w:val="18"/>
          <w:color w:val="auto"/>
        </w:rPr>
        <w:t>Research, development, commercialization and/or strategic collaborations, including the existing collaboration that we have with Gilead, are subject to numerous risks, which include the following:</w:t>
      </w:r>
    </w:p>
    <w:p>
      <w:pPr>
        <w:spacing w:after="0" w:line="68" w:lineRule="exact"/>
        <w:rPr>
          <w:sz w:val="20"/>
          <w:szCs w:val="20"/>
          <w:color w:val="auto"/>
        </w:rPr>
      </w:pPr>
    </w:p>
    <w:p>
      <w:pPr>
        <w:ind w:right="260" w:firstLine="230"/>
        <w:spacing w:after="0" w:line="246" w:lineRule="auto"/>
        <w:rPr>
          <w:sz w:val="20"/>
          <w:szCs w:val="20"/>
          <w:color w:val="auto"/>
        </w:rPr>
      </w:pPr>
      <w:r>
        <w:rPr>
          <w:rFonts w:ascii="Times New Roman" w:cs="Times New Roman" w:eastAsia="Times New Roman" w:hAnsi="Times New Roman"/>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ind w:firstLine="230"/>
        <w:spacing w:after="0" w:line="242" w:lineRule="auto"/>
        <w:rPr>
          <w:sz w:val="20"/>
          <w:szCs w:val="20"/>
          <w:color w:val="auto"/>
        </w:rPr>
      </w:pPr>
      <w:r>
        <w:rPr>
          <w:rFonts w:ascii="Times New Roman" w:cs="Times New Roman" w:eastAsia="Times New Roman" w:hAnsi="Times New Roman"/>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1" w:lineRule="exact"/>
        <w:rPr>
          <w:sz w:val="20"/>
          <w:szCs w:val="20"/>
          <w:color w:val="auto"/>
        </w:rPr>
      </w:pPr>
    </w:p>
    <w:p>
      <w:pPr>
        <w:ind w:right="280" w:firstLine="230"/>
        <w:spacing w:after="0"/>
        <w:rPr>
          <w:sz w:val="20"/>
          <w:szCs w:val="20"/>
          <w:color w:val="auto"/>
        </w:rPr>
      </w:pPr>
      <w:r>
        <w:rPr>
          <w:rFonts w:ascii="Times New Roman" w:cs="Times New Roman" w:eastAsia="Times New Roman" w:hAnsi="Times New Roman"/>
          <w:sz w:val="18"/>
          <w:szCs w:val="18"/>
          <w:color w:val="auto"/>
        </w:rPr>
        <w:t>collaborators might not pursue research, development and/or commercialization of collaboration product candidates or might elect not to continue or renew research, development and/or commercialization programs based on nonclinical and/or clinical trial results, changes in their strategic focus, availability of funding or other factors, such as a business combination that diverts resources or creates competing priorities;</w:t>
      </w:r>
    </w:p>
    <w:p>
      <w:pPr>
        <w:ind w:right="160" w:firstLine="230"/>
        <w:spacing w:after="0" w:line="241" w:lineRule="auto"/>
        <w:rPr>
          <w:sz w:val="20"/>
          <w:szCs w:val="20"/>
          <w:color w:val="auto"/>
        </w:rPr>
      </w:pPr>
      <w:r>
        <w:rPr>
          <w:rFonts w:ascii="Times New Roman" w:cs="Times New Roman" w:eastAsia="Times New Roman" w:hAnsi="Times New Roman"/>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1" w:lineRule="exact"/>
        <w:rPr>
          <w:sz w:val="20"/>
          <w:szCs w:val="20"/>
          <w:color w:val="auto"/>
        </w:rPr>
      </w:pPr>
    </w:p>
    <w:p>
      <w:pPr>
        <w:ind w:right="160" w:firstLine="230"/>
        <w:spacing w:after="0" w:line="235" w:lineRule="auto"/>
        <w:rPr>
          <w:sz w:val="20"/>
          <w:szCs w:val="20"/>
          <w:color w:val="auto"/>
        </w:rPr>
      </w:pPr>
      <w:r>
        <w:rPr>
          <w:rFonts w:ascii="Times New Roman" w:cs="Times New Roman" w:eastAsia="Times New Roman" w:hAnsi="Times New Roman"/>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1" w:lineRule="exact"/>
        <w:rPr>
          <w:sz w:val="20"/>
          <w:szCs w:val="20"/>
          <w:color w:val="auto"/>
        </w:rPr>
      </w:pPr>
    </w:p>
    <w:p>
      <w:pPr>
        <w:ind w:right="260" w:firstLine="230"/>
        <w:spacing w:after="0"/>
        <w:rPr>
          <w:sz w:val="20"/>
          <w:szCs w:val="20"/>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collaborators might not properly maintain or defend our intellectual property rights or might use our intellectual property improperly or in a way that jeopardizes our intellectual property or the potential commercial benefit of our product candidates or exposes us to potential liability;</w:t>
      </w:r>
    </w:p>
    <w:p>
      <w:pPr>
        <w:ind w:right="140" w:firstLine="230"/>
        <w:spacing w:after="0" w:line="241" w:lineRule="auto"/>
        <w:rPr>
          <w:sz w:val="20"/>
          <w:szCs w:val="20"/>
          <w:color w:val="auto"/>
        </w:rPr>
      </w:pPr>
      <w:r>
        <w:rPr>
          <w:rFonts w:ascii="Times New Roman" w:cs="Times New Roman" w:eastAsia="Times New Roman" w:hAnsi="Times New Roman"/>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1" w:lineRule="exact"/>
        <w:rPr>
          <w:sz w:val="20"/>
          <w:szCs w:val="20"/>
          <w:color w:val="auto"/>
        </w:rPr>
      </w:pPr>
    </w:p>
    <w:p>
      <w:pPr>
        <w:jc w:val="both"/>
        <w:ind w:right="200" w:firstLine="230"/>
        <w:spacing w:after="0"/>
        <w:rPr>
          <w:sz w:val="20"/>
          <w:szCs w:val="20"/>
          <w:color w:val="auto"/>
        </w:rPr>
      </w:pPr>
      <w:r>
        <w:rPr>
          <w:rFonts w:ascii="Times New Roman" w:cs="Times New Roman" w:eastAsia="Times New Roman" w:hAnsi="Times New Roman"/>
          <w:sz w:val="18"/>
          <w:szCs w:val="18"/>
          <w:color w:val="auto"/>
        </w:rPr>
        <w:t>collaborators might not be in compliance with laws applicable to their activities under the collaboration, which could impact the collaboration and us; disputes might arise between a collaborator and us that could cause a delay or termination of the collaboration or result in costly litigation that diverts management attention and resources; and</w:t>
      </w:r>
    </w:p>
    <w:p>
      <w:pPr>
        <w:ind w:right="20" w:firstLine="230"/>
        <w:spacing w:after="0" w:line="245" w:lineRule="auto"/>
        <w:rPr>
          <w:sz w:val="20"/>
          <w:szCs w:val="20"/>
          <w:color w:val="auto"/>
        </w:rPr>
      </w:pPr>
      <w:r>
        <w:rPr>
          <w:rFonts w:ascii="Times New Roman" w:cs="Times New Roman" w:eastAsia="Times New Roman" w:hAnsi="Times New Roman"/>
          <w:sz w:val="18"/>
          <w:szCs w:val="18"/>
          <w:color w:val="auto"/>
        </w:rPr>
        <w:t>collaborations might be terminated, which could result in a need for additional capital to pursue further research, development and/or commercialization of our product candidates.</w:t>
      </w:r>
    </w:p>
    <w:p>
      <w:pPr>
        <w:spacing w:after="0" w:line="113" w:lineRule="exact"/>
        <w:rPr>
          <w:sz w:val="20"/>
          <w:szCs w:val="20"/>
          <w:color w:val="auto"/>
        </w:rPr>
      </w:pPr>
    </w:p>
    <w:p>
      <w:pPr>
        <w:ind w:right="600" w:firstLine="576"/>
        <w:spacing w:after="0" w:line="250" w:lineRule="auto"/>
        <w:rPr>
          <w:sz w:val="20"/>
          <w:szCs w:val="20"/>
          <w:color w:val="auto"/>
        </w:rPr>
      </w:pPr>
      <w:r>
        <w:rPr>
          <w:rFonts w:ascii="Times New Roman" w:cs="Times New Roman" w:eastAsia="Times New Roman" w:hAnsi="Times New Roman"/>
          <w:sz w:val="18"/>
          <w:szCs w:val="18"/>
          <w:color w:val="auto"/>
        </w:rPr>
        <w:t>In addition, funding provided by a collaborator might not be sufficient to advance product candidates under the collaboration. For example, although Gilead provided us with $175.0 million upfront payments and a $20.0 million equity investment in connection with certain collaboration agreements with Gilead, we might need additional funding to advance product candidates prior to the completion of the clinical milestones of the collaboration agreement with Gilead.</w:t>
      </w:r>
    </w:p>
    <w:p>
      <w:pPr>
        <w:spacing w:after="0" w:line="177" w:lineRule="exact"/>
        <w:rPr>
          <w:sz w:val="20"/>
          <w:szCs w:val="20"/>
          <w:color w:val="auto"/>
        </w:rPr>
      </w:pPr>
    </w:p>
    <w:p>
      <w:pPr>
        <w:ind w:right="160" w:firstLine="576"/>
        <w:spacing w:after="0" w:line="247" w:lineRule="auto"/>
        <w:rPr>
          <w:sz w:val="20"/>
          <w:szCs w:val="20"/>
          <w:color w:val="auto"/>
        </w:rPr>
      </w:pPr>
      <w:r>
        <w:rPr>
          <w:rFonts w:ascii="Times New Roman" w:cs="Times New Roman" w:eastAsia="Times New Roman" w:hAnsi="Times New Roman"/>
          <w:sz w:val="18"/>
          <w:szCs w:val="18"/>
          <w:color w:val="auto"/>
        </w:rPr>
        <w:t>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(or abandon a different program to allocate resources to the program rejected by the collaborator), the development of the relevant product candidate could be significantly delayed, and our cash expenditures could increase significantly if we are to continue research, development and/or commercialization of the relevant product candidates.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3" w:name="page54"/>
    <w:bookmarkEnd w:id="53"/>
    <w:p>
      <w:pPr>
        <w:ind w:right="200" w:firstLine="576"/>
        <w:spacing w:after="0" w:line="282" w:lineRule="auto"/>
        <w:rPr>
          <w:sz w:val="20"/>
          <w:szCs w:val="20"/>
          <w:color w:val="auto"/>
        </w:rPr>
      </w:pPr>
      <w:r>
        <w:rPr>
          <w:rFonts w:ascii="Times New Roman" w:cs="Times New Roman" w:eastAsia="Times New Roman" w:hAnsi="Times New Roman"/>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25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development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60" w:lineRule="exact"/>
        <w:rPr>
          <w:sz w:val="20"/>
          <w:szCs w:val="20"/>
          <w:color w:val="auto"/>
        </w:rPr>
      </w:pPr>
    </w:p>
    <w:p>
      <w:pPr>
        <w:ind w:right="60" w:firstLine="576"/>
        <w:spacing w:after="0" w:line="257" w:lineRule="auto"/>
        <w:rPr>
          <w:sz w:val="20"/>
          <w:szCs w:val="20"/>
          <w:color w:val="auto"/>
        </w:rPr>
      </w:pPr>
      <w:r>
        <w:rPr>
          <w:rFonts w:ascii="Times New Roman" w:cs="Times New Roman" w:eastAsia="Times New Roman" w:hAnsi="Times New Roman"/>
          <w:sz w:val="17"/>
          <w:szCs w:val="17"/>
          <w:color w:val="auto"/>
        </w:rPr>
        <w:t>We do not currently own or operate, nor do we have any plans to establish in the future, any manufacturing facilities. We rely, and expect to continue to rely, on third parties for the manufacture of our product candidates for preclinical development and clinical testing, as well as for the commercial manufacture of our products if any of our product candidates receive regulatory approval. In some cases, we rely on one party to manufacture our preclinical and clinical products and we exercise limited direct control over this manufacturer (and it would be time consuming and expensive to move production to a new manufacturer, if we were able to do so at all). This reliance on third parties increases the risk that we will not have sufficient quantities of our product candidates or products or such quantities at an acceptable cost or quality, which could delay, prevent or impair our development or</w:t>
      </w:r>
    </w:p>
    <w:p>
      <w:pPr>
        <w:spacing w:after="0" w:line="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commercialization efforts. For example, we rely on a limited number of CROs to perform certain chemistry-related work on our preclinical product candidates. One such CRO is located in Ukraine, which was invaded by Russia in February 2022 and, as a result, their work on our behalf of was interrupted. Another CRO, with operations in Shanghai, was impacted when lock-down procedures were recently implemented due to COVID-19 and was unable to operate at full capacity. Events such as those in Ukraine and China may delay development of our future product candidates, and such delay may materially impact the timing for moving products into development candidate stage and IND-enabling studies, as well as initiating trials.</w:t>
      </w:r>
    </w:p>
    <w:p>
      <w:pPr>
        <w:spacing w:after="0" w:line="123"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inspected by the FDA pursuant to pre-approval inspections that will be conducted after we submit our marketing applications to the FDA.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201" w:lineRule="exact"/>
        <w:rPr>
          <w:sz w:val="20"/>
          <w:szCs w:val="20"/>
          <w:color w:val="auto"/>
        </w:rPr>
      </w:pPr>
    </w:p>
    <w:p>
      <w:pPr>
        <w:ind w:right="40" w:firstLine="576"/>
        <w:spacing w:after="0" w:line="242" w:lineRule="auto"/>
        <w:rPr>
          <w:sz w:val="20"/>
          <w:szCs w:val="20"/>
          <w:color w:val="auto"/>
        </w:rPr>
      </w:pPr>
      <w:r>
        <w:rPr>
          <w:rFonts w:ascii="Times New Roman" w:cs="Times New Roman" w:eastAsia="Times New Roman" w:hAnsi="Times New Roman"/>
          <w:sz w:val="18"/>
          <w:szCs w:val="18"/>
          <w:color w:val="auto"/>
        </w:rPr>
        <w:t>If any contract manufacturing organization, or CMO, with whom we contract fails to perform its obligations, we may be forced to enter into an agreement with a different CMO, which we may not be able to do on reasonable terms, if at all. In such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83" w:lineRule="exact"/>
        <w:rPr>
          <w:sz w:val="20"/>
          <w:szCs w:val="20"/>
          <w:color w:val="auto"/>
        </w:rPr>
      </w:pPr>
    </w:p>
    <w:p>
      <w:pPr>
        <w:ind w:firstLine="576"/>
        <w:spacing w:after="0" w:line="250" w:lineRule="auto"/>
        <w:rPr>
          <w:sz w:val="20"/>
          <w:szCs w:val="20"/>
          <w:color w:val="auto"/>
        </w:rPr>
      </w:pPr>
      <w:r>
        <w:rPr>
          <w:rFonts w:ascii="Times New Roman" w:cs="Times New Roman" w:eastAsia="Times New Roman" w:hAnsi="Times New Roman"/>
          <w:sz w:val="18"/>
          <w:szCs w:val="18"/>
          <w:color w:val="auto"/>
        </w:rPr>
        <w:t>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4" w:name="page55"/>
    <w:bookmarkEnd w:id="54"/>
    <w:p>
      <w:pPr>
        <w:ind w:right="400" w:firstLine="576"/>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additional agreements with third-party manufacturers or do so on acceptable terms. Reliance on third-party manufacturers entails additional risks, including:</w:t>
      </w:r>
    </w:p>
    <w:p>
      <w:pPr>
        <w:spacing w:after="0" w:line="40" w:lineRule="exact"/>
        <w:rPr>
          <w:sz w:val="20"/>
          <w:szCs w:val="20"/>
          <w:color w:val="auto"/>
        </w:rPr>
      </w:pPr>
    </w:p>
    <w:p>
      <w:pPr>
        <w:ind w:left="700" w:right="5080" w:firstLine="8"/>
        <w:spacing w:after="0" w:line="253" w:lineRule="auto"/>
        <w:rPr>
          <w:sz w:val="20"/>
          <w:szCs w:val="20"/>
          <w:color w:val="auto"/>
        </w:rPr>
      </w:pPr>
      <w:r>
        <w:rPr>
          <w:rFonts w:ascii="Times New Roman" w:cs="Times New Roman" w:eastAsia="Times New Roman" w:hAnsi="Times New Roman"/>
          <w:sz w:val="18"/>
          <w:szCs w:val="18"/>
          <w:color w:val="auto"/>
        </w:rPr>
        <w:t>reliance on the third party for regulatory compliance and quality assurance; the possible breach of the manufacturing agreement by the third party;</w:t>
      </w:r>
    </w:p>
    <w:p>
      <w:pPr>
        <w:ind w:left="480"/>
        <w:spacing w:after="0" w:line="236" w:lineRule="auto"/>
        <w:rPr>
          <w:sz w:val="20"/>
          <w:szCs w:val="20"/>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ind w:left="480"/>
        <w:spacing w:after="0"/>
        <w:rPr>
          <w:sz w:val="20"/>
          <w:szCs w:val="20"/>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92"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w:t>
      </w:r>
    </w:p>
    <w:p>
      <w:pPr>
        <w:spacing w:after="0" w:line="115" w:lineRule="exact"/>
        <w:rPr>
          <w:sz w:val="20"/>
          <w:szCs w:val="20"/>
          <w:color w:val="auto"/>
        </w:rPr>
      </w:pPr>
    </w:p>
    <w:p>
      <w:pPr>
        <w:ind w:right="20" w:firstLine="621"/>
        <w:spacing w:after="0" w:line="258"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regulatory approval. If our current contract manufacturers cannot perform as agreed, we may be required to replace such manufacturers. We may incur added costs and delays in identifying and qualifying any such replacement.</w:t>
      </w:r>
    </w:p>
    <w:p>
      <w:pPr>
        <w:spacing w:after="0" w:line="169" w:lineRule="exact"/>
        <w:rPr>
          <w:sz w:val="20"/>
          <w:szCs w:val="20"/>
          <w:color w:val="auto"/>
        </w:rPr>
      </w:pPr>
    </w:p>
    <w:p>
      <w:pPr>
        <w:ind w:right="380" w:firstLine="576"/>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28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50" w:lineRule="exact"/>
        <w:rPr>
          <w:sz w:val="20"/>
          <w:szCs w:val="20"/>
          <w:color w:val="auto"/>
        </w:rPr>
      </w:pPr>
    </w:p>
    <w:p>
      <w:pPr>
        <w:ind w:right="60" w:firstLine="576"/>
        <w:spacing w:after="0" w:line="244" w:lineRule="auto"/>
        <w:rPr>
          <w:sz w:val="20"/>
          <w:szCs w:val="20"/>
          <w:color w:val="auto"/>
        </w:rPr>
      </w:pPr>
      <w:r>
        <w:rPr>
          <w:rFonts w:ascii="Times New Roman" w:cs="Times New Roman" w:eastAsia="Times New Roman" w:hAnsi="Times New Roman"/>
          <w:sz w:val="18"/>
          <w:szCs w:val="18"/>
          <w:color w:val="auto"/>
        </w:rPr>
        <w:t>The active pharmaceutical ingredients, or API, and drug product we expect to use in all of our product candidates are supplied to us from single-source suppliers. In some cases, both the API and drug product are manufactured and supplied by the same single-source (as is the case with respect to the supply of TNG908 for use in our Phase 1/2 clinical trial). Our ability to successfully develop our product candidates, and to ultimately supply our commercial products in quantities sufficient to meet the market demand (and to meet requirements in connection with our planned clinical trials), depends in part on our ability to obtain the API and drug product for these products in accordance with regulatory requirements and in sufficient quantities for clinical testing and commercialization. We are also unable to predict how changing global economic conditions or global health concerns such as the ongoing COVID-19 pandemic, as well as potential supply chain disruptions or cost increases related thereto, will affect our third-party suppliers and manufacturers. Any negative impact of such matters on our third-party suppliers and manufacturers may also have an adverse impact on our results of operations or financial condition.</w:t>
      </w:r>
    </w:p>
    <w:p>
      <w:pPr>
        <w:spacing w:after="0" w:line="185" w:lineRule="exact"/>
        <w:rPr>
          <w:sz w:val="20"/>
          <w:szCs w:val="20"/>
          <w:color w:val="auto"/>
        </w:rPr>
      </w:pPr>
    </w:p>
    <w:p>
      <w:pPr>
        <w:ind w:right="320" w:firstLine="576"/>
        <w:spacing w:after="0" w:line="247" w:lineRule="auto"/>
        <w:rPr>
          <w:sz w:val="20"/>
          <w:szCs w:val="20"/>
          <w:color w:val="auto"/>
        </w:rPr>
      </w:pPr>
      <w:r>
        <w:rPr>
          <w:rFonts w:ascii="Times New Roman" w:cs="Times New Roman" w:eastAsia="Times New Roman" w:hAnsi="Times New Roman"/>
          <w:sz w:val="18"/>
          <w:szCs w:val="18"/>
          <w:color w:val="auto"/>
        </w:rPr>
        <w:t>For all of our product candidates, we intend to identify and qualify additional manufacturers to provide such API and drug product prior to submission of an NDA to the FDA and/or an MAA to the EMA. We are not certain, however, that our single-source suppliers will be able to meet our demand for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80" w:lineRule="exact"/>
        <w:rPr>
          <w:sz w:val="20"/>
          <w:szCs w:val="20"/>
          <w:color w:val="auto"/>
        </w:rPr>
      </w:pPr>
    </w:p>
    <w:p>
      <w:pPr>
        <w:ind w:firstLine="576"/>
        <w:spacing w:after="0" w:line="247"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and drug product used in our product candidates, if required, may not be accomplished quickly (or at all). If we are able to find a replacement supplier, such replacement supplier would need to be qualified and may require additional regulatory inspection or approval, which could result in further delay. While we seek to maintain adequate inventory of the API and drug product used in our product candidates, any interruption or delay in the supply of components or materials, or our inability to obtain such API and drug product from alternate sources at acceptable prices in a timely manner could impede, delay, limit or prevent our development efforts, which could harm our business, results of operations, financial condition and prospects.</w:t>
      </w:r>
    </w:p>
    <w:p>
      <w:pPr>
        <w:spacing w:after="0" w:line="284"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or at all, we may have to alter our development and commercialization plans.</w:t>
      </w:r>
    </w:p>
    <w:p>
      <w:pPr>
        <w:spacing w:after="0" w:line="63" w:lineRule="exact"/>
        <w:rPr>
          <w:sz w:val="20"/>
          <w:szCs w:val="20"/>
          <w:color w:val="auto"/>
        </w:rPr>
      </w:pPr>
    </w:p>
    <w:p>
      <w:pPr>
        <w:ind w:right="180" w:firstLine="576"/>
        <w:spacing w:after="0" w:line="250"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cash to fund expenses. For some of our product candidates, we may decide to collaborate with additional pharmaceutical and biotechnology companies for the development and potential commercialization of those product candidates.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5" w:name="page56"/>
    <w:bookmarkEnd w:id="55"/>
    <w:p>
      <w:pPr>
        <w:ind w:right="80" w:firstLine="576"/>
        <w:spacing w:after="0" w:line="24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as well as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85" w:lineRule="exact"/>
        <w:rPr>
          <w:sz w:val="20"/>
          <w:szCs w:val="20"/>
          <w:color w:val="auto"/>
        </w:rPr>
      </w:pPr>
    </w:p>
    <w:p>
      <w:pPr>
        <w:ind w:right="520" w:firstLine="576"/>
        <w:spacing w:after="0" w:line="258" w:lineRule="auto"/>
        <w:rPr>
          <w:sz w:val="20"/>
          <w:szCs w:val="20"/>
          <w:color w:val="auto"/>
        </w:rPr>
      </w:pPr>
      <w:r>
        <w:rPr>
          <w:rFonts w:ascii="Times New Roman" w:cs="Times New Roman" w:eastAsia="Times New Roman" w:hAnsi="Times New Roman"/>
          <w:sz w:val="18"/>
          <w:szCs w:val="18"/>
          <w:color w:val="auto"/>
        </w:rPr>
        <w:t>We may also be restricted under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9"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and it may be difficult to recruit and retain the expertise needed to launch and commercialize a new drug therapy. If we do not have sufficient funds, we may not be able to further develop our product candidates or bring them to market and generate product revenue.</w:t>
      </w:r>
    </w:p>
    <w:p>
      <w:pPr>
        <w:spacing w:after="0" w:line="181" w:lineRule="exact"/>
        <w:rPr>
          <w:sz w:val="20"/>
          <w:szCs w:val="20"/>
          <w:color w:val="auto"/>
        </w:rPr>
      </w:pPr>
    </w:p>
    <w:p>
      <w:pPr>
        <w:ind w:right="40" w:firstLine="576"/>
        <w:spacing w:after="0" w:line="245" w:lineRule="auto"/>
        <w:rPr>
          <w:sz w:val="20"/>
          <w:szCs w:val="20"/>
          <w:color w:val="auto"/>
        </w:rPr>
      </w:pPr>
      <w:r>
        <w:rPr>
          <w:rFonts w:ascii="Times New Roman" w:cs="Times New Roman" w:eastAsia="Times New Roman" w:hAnsi="Times New Roman"/>
          <w:sz w:val="18"/>
          <w:szCs w:val="18"/>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spacing w:after="0" w:line="81"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United States and other countries for our current or future product candidates, including our current lead product candidate, TNG908, and our other future product candidates,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 As of the date of the filing of this Quarterly Report on Form 10-Q, we have filed patent applications, but have no issued patents in the United States or elsewhere for our product candidates.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6" w:name="page57"/>
    <w:bookmarkEnd w:id="56"/>
    <w:p>
      <w:pPr>
        <w:ind w:firstLine="576"/>
        <w:spacing w:after="0" w:line="24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the intellectual property protections we may obtain may not adequately protect our rights or permit us to gain or keep any competitive advantage. We cannot provide any assurances that any of our pending patent applications that mature into issued patents will include claims with a scope sufficient to protect TNG908 or our other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195" w:lineRule="exact"/>
        <w:rPr>
          <w:sz w:val="20"/>
          <w:szCs w:val="20"/>
          <w:color w:val="auto"/>
        </w:rPr>
      </w:pPr>
    </w:p>
    <w:p>
      <w:pPr>
        <w:ind w:right="40" w:firstLine="576"/>
        <w:spacing w:after="0" w:line="241"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United States. For example, in jurisdictions outside the United States,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United States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203"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at least 18 months after the earliest priority date of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8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w:t>
      </w:r>
    </w:p>
    <w:p>
      <w:pPr>
        <w:spacing w:after="0" w:line="16"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99" w:lineRule="exact"/>
        <w:rPr>
          <w:sz w:val="20"/>
          <w:szCs w:val="20"/>
          <w:color w:val="auto"/>
        </w:rPr>
      </w:pPr>
    </w:p>
    <w:p>
      <w:pPr>
        <w:ind w:right="20" w:firstLine="576"/>
        <w:spacing w:after="0" w:line="241" w:lineRule="auto"/>
        <w:rPr>
          <w:sz w:val="20"/>
          <w:szCs w:val="20"/>
          <w:color w:val="auto"/>
        </w:rPr>
      </w:pPr>
      <w:r>
        <w:rPr>
          <w:rFonts w:ascii="Times New Roman" w:cs="Times New Roman" w:eastAsia="Times New Roman" w:hAnsi="Times New Roman"/>
          <w:sz w:val="18"/>
          <w:szCs w:val="18"/>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United States and abroad. We may become involved in post-grant proceedings such as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challenging our patent rights or the patent rights of others from whom we license or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7" w:name="page58"/>
    <w:bookmarkEnd w:id="57"/>
    <w:p>
      <w:pPr>
        <w:ind w:right="480"/>
        <w:spacing w:after="0" w:line="282" w:lineRule="auto"/>
        <w:rPr>
          <w:sz w:val="20"/>
          <w:szCs w:val="20"/>
          <w:color w:val="auto"/>
        </w:rPr>
      </w:pPr>
      <w:r>
        <w:rPr>
          <w:rFonts w:ascii="Times New Roman" w:cs="Times New Roman" w:eastAsia="Times New Roman" w:hAnsi="Times New Roman"/>
          <w:sz w:val="18"/>
          <w:szCs w:val="18"/>
          <w:color w:val="auto"/>
        </w:rPr>
        <w:t>relating to description, basis, enablement,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148" w:lineRule="exact"/>
        <w:rPr>
          <w:sz w:val="20"/>
          <w:szCs w:val="20"/>
          <w:color w:val="auto"/>
        </w:rPr>
      </w:pPr>
    </w:p>
    <w:p>
      <w:pPr>
        <w:ind w:right="60" w:firstLine="576"/>
        <w:spacing w:after="0" w:line="247"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 inventions they make in the course of their work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0" w:lineRule="exact"/>
        <w:rPr>
          <w:sz w:val="20"/>
          <w:szCs w:val="20"/>
          <w:color w:val="auto"/>
        </w:rPr>
      </w:pPr>
    </w:p>
    <w:p>
      <w:pPr>
        <w:ind w:right="240" w:firstLine="576"/>
        <w:spacing w:after="0" w:line="261" w:lineRule="auto"/>
        <w:rPr>
          <w:sz w:val="20"/>
          <w:szCs w:val="20"/>
          <w:color w:val="auto"/>
        </w:rPr>
      </w:pPr>
      <w:r>
        <w:rPr>
          <w:rFonts w:ascii="Times New Roman" w:cs="Times New Roman" w:eastAsia="Times New Roman" w:hAnsi="Times New Roman"/>
          <w:sz w:val="17"/>
          <w:szCs w:val="17"/>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2"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181" w:lineRule="exact"/>
        <w:rPr>
          <w:sz w:val="20"/>
          <w:szCs w:val="20"/>
          <w:color w:val="auto"/>
        </w:rPr>
      </w:pPr>
    </w:p>
    <w:p>
      <w:pPr>
        <w:ind w:right="260" w:firstLine="576"/>
        <w:spacing w:after="0" w:line="250" w:lineRule="auto"/>
        <w:rPr>
          <w:sz w:val="20"/>
          <w:szCs w:val="20"/>
          <w:color w:val="auto"/>
        </w:rPr>
      </w:pPr>
      <w:r>
        <w:rPr>
          <w:rFonts w:ascii="Times New Roman" w:cs="Times New Roman" w:eastAsia="Times New Roman" w:hAnsi="Times New Roman"/>
          <w:sz w:val="18"/>
          <w:szCs w:val="18"/>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200"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60"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108" w:lineRule="exact"/>
        <w:rPr>
          <w:sz w:val="20"/>
          <w:szCs w:val="20"/>
          <w:color w:val="auto"/>
        </w:rPr>
      </w:pPr>
    </w:p>
    <w:p>
      <w:pPr>
        <w:ind w:right="60" w:firstLine="576"/>
        <w:spacing w:after="0" w:line="246"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one or more of our U.S. patents or those of our future licensors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58" w:name="page59"/>
    <w:bookmarkEnd w:id="58"/>
    <w:p>
      <w:pPr>
        <w:ind w:right="20"/>
        <w:spacing w:after="0" w:line="246" w:lineRule="auto"/>
        <w:rPr>
          <w:sz w:val="20"/>
          <w:szCs w:val="20"/>
          <w:color w:val="auto"/>
        </w:rPr>
      </w:pPr>
      <w:r>
        <w:rPr>
          <w:rFonts w:ascii="Times New Roman" w:cs="Times New Roman" w:eastAsia="Times New Roman" w:hAnsi="Times New Roman"/>
          <w:sz w:val="18"/>
          <w:szCs w:val="18"/>
          <w:color w:val="auto"/>
        </w:rPr>
        <w:t>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83"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81"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Further we have not, and may not, register for trademark protection in every potential jurisdiction where we may conduct business or sell products (if approved). During the trademark registration process, we have in the past received and may in the future receive Office Actions from the USPTO or from comparable agencies in foreign jurisdictions objecting to the registration of our trademark. Although we may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do not seek registered trademarks, or establish name recognition based on our trademarks and trade names, we may not be able to compete effectively and our business may be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121" w:lineRule="exact"/>
        <w:rPr>
          <w:sz w:val="20"/>
          <w:szCs w:val="20"/>
          <w:color w:val="auto"/>
        </w:rPr>
      </w:pPr>
    </w:p>
    <w:p>
      <w:pPr>
        <w:ind w:right="100" w:firstLine="576"/>
        <w:spacing w:after="0" w:line="243"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seek to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186" w:lineRule="exact"/>
        <w:rPr>
          <w:sz w:val="20"/>
          <w:szCs w:val="20"/>
          <w:color w:val="auto"/>
        </w:rPr>
      </w:pPr>
    </w:p>
    <w:p>
      <w:pPr>
        <w:ind w:right="20" w:firstLine="576"/>
        <w:spacing w:after="0" w:line="245"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or proprietary information to third parties, we will not be able to establish or maintain a competitive advantage in our market, which could materially adversely affect our business, financial condition, results of operations and future prospects.</w:t>
      </w:r>
    </w:p>
    <w:p>
      <w:pPr>
        <w:spacing w:after="0" w:line="114" w:lineRule="exact"/>
        <w:rPr>
          <w:sz w:val="20"/>
          <w:szCs w:val="20"/>
          <w:color w:val="auto"/>
        </w:rPr>
      </w:pPr>
    </w:p>
    <w:p>
      <w:pPr>
        <w:ind w:right="100" w:firstLine="576"/>
        <w:spacing w:after="0" w:line="246"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9" w:name="page60"/>
    <w:bookmarkEnd w:id="59"/>
    <w:p>
      <w:pPr>
        <w:spacing w:after="0" w:line="296" w:lineRule="auto"/>
        <w:rPr>
          <w:sz w:val="20"/>
          <w:szCs w:val="20"/>
          <w:color w:val="auto"/>
        </w:rPr>
      </w:pPr>
      <w:r>
        <w:rPr>
          <w:rFonts w:ascii="Times New Roman" w:cs="Times New Roman" w:eastAsia="Times New Roman" w:hAnsi="Times New Roman"/>
          <w:sz w:val="17"/>
          <w:szCs w:val="17"/>
          <w:color w:val="auto"/>
        </w:rPr>
        <w:t>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71"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89"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63"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8"/>
          <w:szCs w:val="18"/>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(and we may not be able to prevent the commercialization of the competitor product).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and may negatively impact our stock price.</w:t>
      </w:r>
    </w:p>
    <w:p>
      <w:pPr>
        <w:spacing w:after="0" w:line="122" w:lineRule="exact"/>
        <w:rPr>
          <w:sz w:val="20"/>
          <w:szCs w:val="20"/>
          <w:color w:val="auto"/>
        </w:rPr>
      </w:pPr>
    </w:p>
    <w:p>
      <w:pPr>
        <w:ind w:right="60" w:firstLine="576"/>
        <w:spacing w:after="0" w:line="242"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(or technology covered under current patent applications)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United States.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60" w:name="page61"/>
    <w:bookmarkEnd w:id="60"/>
    <w:p>
      <w:pPr>
        <w:ind w:right="40" w:firstLine="576"/>
        <w:spacing w:after="0" w:line="250"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10" w:lineRule="exact"/>
        <w:rPr>
          <w:sz w:val="20"/>
          <w:szCs w:val="20"/>
          <w:color w:val="auto"/>
        </w:rPr>
      </w:pPr>
    </w:p>
    <w:p>
      <w:pPr>
        <w:ind w:right="60" w:firstLine="576"/>
        <w:spacing w:after="0" w:line="246" w:lineRule="auto"/>
        <w:rPr>
          <w:sz w:val="20"/>
          <w:szCs w:val="20"/>
          <w:color w:val="auto"/>
        </w:rPr>
      </w:pPr>
      <w:r>
        <w:rPr>
          <w:rFonts w:ascii="Times New Roman" w:cs="Times New Roman" w:eastAsia="Times New Roman" w:hAnsi="Times New Roman"/>
          <w:sz w:val="18"/>
          <w:szCs w:val="18"/>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2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37"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initiate and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306"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73"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8"/>
          <w:szCs w:val="18"/>
          <w:color w:val="auto"/>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61" w:name="page62"/>
    <w:bookmarkEnd w:id="61"/>
    <w:p>
      <w:pPr>
        <w:ind w:firstLine="576"/>
        <w:spacing w:after="0" w:line="242" w:lineRule="auto"/>
        <w:rPr>
          <w:sz w:val="20"/>
          <w:szCs w:val="20"/>
          <w:color w:val="auto"/>
        </w:rPr>
      </w:pPr>
      <w:r>
        <w:rPr>
          <w:rFonts w:ascii="Times New Roman" w:cs="Times New Roman" w:eastAsia="Times New Roman" w:hAnsi="Times New Roman"/>
          <w:sz w:val="18"/>
          <w:szCs w:val="18"/>
          <w:color w:val="auto"/>
        </w:rPr>
        <w:t>While certain activities related to development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If such actions are successful, the third party may be able to, among other things, prevent launch of a product (which may happen only after the significant expense of development and clinical trials).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202" w:lineRule="exact"/>
        <w:rPr>
          <w:sz w:val="20"/>
          <w:szCs w:val="20"/>
          <w:color w:val="auto"/>
        </w:rPr>
      </w:pPr>
    </w:p>
    <w:p>
      <w:pPr>
        <w:ind w:right="640" w:firstLine="576"/>
        <w:spacing w:after="0" w:line="266"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right="140" w:firstLine="230"/>
        <w:spacing w:after="0" w:line="254" w:lineRule="auto"/>
        <w:rPr>
          <w:sz w:val="20"/>
          <w:szCs w:val="20"/>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ind w:right="220" w:firstLine="230"/>
        <w:spacing w:after="0"/>
        <w:rPr>
          <w:sz w:val="20"/>
          <w:szCs w:val="20"/>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ind w:right="580" w:firstLine="230"/>
        <w:spacing w:after="0"/>
        <w:rPr>
          <w:sz w:val="20"/>
          <w:szCs w:val="20"/>
          <w:color w:val="auto"/>
        </w:rPr>
      </w:pPr>
      <w:r>
        <w:rPr>
          <w:rFonts w:ascii="Times New Roman" w:cs="Times New Roman" w:eastAsia="Times New Roman" w:hAnsi="Times New Roman"/>
          <w:sz w:val="18"/>
          <w:szCs w:val="18"/>
          <w:color w:val="auto"/>
        </w:rPr>
        <w:t>a court prohibiting us from developing, manufacturing, marketing or selling our current product candidate, including TNG908, or future product candidates, or from using our proprietary technologies, unless the third party licenses its product rights to us, which it is not required to do, on commercially reasonable terms or at all;</w:t>
      </w:r>
    </w:p>
    <w:p>
      <w:pPr>
        <w:ind w:right="500" w:firstLine="230"/>
        <w:spacing w:after="0"/>
        <w:rPr>
          <w:sz w:val="20"/>
          <w:szCs w:val="20"/>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ind w:right="420" w:firstLine="230"/>
        <w:spacing w:after="0" w:line="234" w:lineRule="auto"/>
        <w:rPr>
          <w:sz w:val="20"/>
          <w:szCs w:val="20"/>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1" w:lineRule="exact"/>
        <w:rPr>
          <w:sz w:val="20"/>
          <w:szCs w:val="20"/>
          <w:color w:val="auto"/>
        </w:rPr>
      </w:pPr>
    </w:p>
    <w:p>
      <w:pPr>
        <w:ind w:firstLine="230"/>
        <w:spacing w:after="0" w:line="242" w:lineRule="auto"/>
        <w:rPr>
          <w:sz w:val="20"/>
          <w:szCs w:val="20"/>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86" w:lineRule="exact"/>
        <w:rPr>
          <w:sz w:val="20"/>
          <w:szCs w:val="20"/>
          <w:color w:val="auto"/>
        </w:rPr>
      </w:pPr>
    </w:p>
    <w:p>
      <w:pPr>
        <w:ind w:firstLine="576"/>
        <w:spacing w:after="0" w:line="244"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ex-parte re-exam,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195" w:lineRule="exact"/>
        <w:rPr>
          <w:sz w:val="20"/>
          <w:szCs w:val="20"/>
          <w:color w:val="auto"/>
        </w:rPr>
      </w:pPr>
    </w:p>
    <w:p>
      <w:pPr>
        <w:ind w:right="20" w:firstLine="576"/>
        <w:spacing w:after="0" w:line="243"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United States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62" w:name="page63"/>
    <w:bookmarkEnd w:id="62"/>
    <w:p>
      <w:pPr>
        <w:spacing w:after="0" w:line="241" w:lineRule="auto"/>
        <w:rPr>
          <w:sz w:val="20"/>
          <w:szCs w:val="20"/>
          <w:color w:val="auto"/>
        </w:rPr>
      </w:pPr>
      <w:r>
        <w:rPr>
          <w:rFonts w:ascii="Times New Roman" w:cs="Times New Roman" w:eastAsia="Times New Roman" w:hAnsi="Times New Roman"/>
          <w:sz w:val="18"/>
          <w:szCs w:val="18"/>
          <w:color w:val="auto"/>
        </w:rPr>
        <w:t>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206" w:lineRule="exact"/>
        <w:rPr>
          <w:sz w:val="20"/>
          <w:szCs w:val="20"/>
          <w:color w:val="auto"/>
        </w:rPr>
      </w:pPr>
    </w:p>
    <w:p>
      <w:pPr>
        <w:ind w:right="20" w:firstLine="576"/>
        <w:spacing w:after="0" w:line="241"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launch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307"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81"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intellectual property rights enforcement is not as strong as that in the United States.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188" w:lineRule="exact"/>
        <w:rPr>
          <w:sz w:val="20"/>
          <w:szCs w:val="20"/>
          <w:color w:val="auto"/>
        </w:rPr>
      </w:pPr>
    </w:p>
    <w:p>
      <w:pPr>
        <w:jc w:val="both"/>
        <w:ind w:right="60" w:firstLine="576"/>
        <w:spacing w:after="0" w:line="270"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63" w:name="page64"/>
    <w:bookmarkEnd w:id="63"/>
    <w:p>
      <w:pPr>
        <w:spacing w:after="0" w:line="250" w:lineRule="auto"/>
        <w:rPr>
          <w:sz w:val="20"/>
          <w:szCs w:val="20"/>
          <w:color w:val="auto"/>
        </w:rPr>
      </w:pPr>
      <w:r>
        <w:rPr>
          <w:rFonts w:ascii="Times New Roman" w:cs="Times New Roman" w:eastAsia="Times New Roman" w:hAnsi="Times New Roman"/>
          <w:sz w:val="18"/>
          <w:szCs w:val="18"/>
          <w:color w:val="auto"/>
        </w:rPr>
        <w:t>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7" w:lineRule="exact"/>
        <w:rPr>
          <w:sz w:val="20"/>
          <w:szCs w:val="20"/>
          <w:color w:val="auto"/>
        </w:rPr>
      </w:pPr>
    </w:p>
    <w:p>
      <w:pPr>
        <w:ind w:right="100" w:firstLine="576"/>
        <w:spacing w:after="0" w:line="246"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2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obtain or grant licenses or sublicenses to intellectual property rights in all markets on equally or sufficiently favorable terms with third parties.</w:t>
      </w:r>
    </w:p>
    <w:p>
      <w:pPr>
        <w:spacing w:after="0" w:line="37" w:lineRule="exact"/>
        <w:rPr>
          <w:sz w:val="20"/>
          <w:szCs w:val="20"/>
          <w:color w:val="auto"/>
        </w:rPr>
      </w:pPr>
    </w:p>
    <w:p>
      <w:pPr>
        <w:ind w:right="20" w:firstLine="576"/>
        <w:spacing w:after="0" w:line="243"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289"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50" w:lineRule="exact"/>
        <w:rPr>
          <w:sz w:val="20"/>
          <w:szCs w:val="20"/>
          <w:color w:val="auto"/>
        </w:rPr>
      </w:pPr>
    </w:p>
    <w:p>
      <w:pPr>
        <w:ind w:right="100" w:firstLine="576"/>
        <w:spacing w:after="0" w:line="247" w:lineRule="auto"/>
        <w:rPr>
          <w:sz w:val="20"/>
          <w:szCs w:val="20"/>
          <w:color w:val="auto"/>
        </w:rPr>
      </w:pPr>
      <w:r>
        <w:rPr>
          <w:rFonts w:ascii="Times New Roman" w:cs="Times New Roman" w:eastAsia="Times New Roman" w:hAnsi="Times New Roman"/>
          <w:sz w:val="18"/>
          <w:szCs w:val="18"/>
          <w:color w:val="auto"/>
        </w:rPr>
        <w:t>We may from time to time be party to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80" w:lineRule="exact"/>
        <w:rPr>
          <w:sz w:val="20"/>
          <w:szCs w:val="20"/>
          <w:color w:val="auto"/>
        </w:rPr>
      </w:pPr>
    </w:p>
    <w:p>
      <w:pPr>
        <w:ind w:right="20" w:firstLine="576"/>
        <w:spacing w:after="0" w:line="250" w:lineRule="auto"/>
        <w:rPr>
          <w:sz w:val="20"/>
          <w:szCs w:val="20"/>
          <w:color w:val="auto"/>
        </w:rPr>
      </w:pPr>
      <w:r>
        <w:rPr>
          <w:rFonts w:ascii="Times New Roman" w:cs="Times New Roman" w:eastAsia="Times New Roman" w:hAnsi="Times New Roman"/>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7" w:lineRule="exact"/>
        <w:rPr>
          <w:sz w:val="20"/>
          <w:szCs w:val="20"/>
          <w:color w:val="auto"/>
        </w:rPr>
      </w:pPr>
    </w:p>
    <w:p>
      <w:pPr>
        <w:ind w:right="240" w:firstLine="230"/>
        <w:spacing w:after="0" w:line="235" w:lineRule="auto"/>
        <w:rPr>
          <w:sz w:val="20"/>
          <w:szCs w:val="20"/>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4" w:name="page65"/>
    <w:bookmarkEnd w:id="64"/>
    <w:p>
      <w:pPr>
        <w:ind w:firstLine="230"/>
        <w:spacing w:after="0" w:line="254" w:lineRule="auto"/>
        <w:rPr>
          <w:sz w:val="20"/>
          <w:szCs w:val="20"/>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234" w:lineRule="auto"/>
        <w:rPr>
          <w:sz w:val="20"/>
          <w:szCs w:val="20"/>
          <w:color w:val="auto"/>
        </w:rPr>
      </w:pPr>
      <w:r>
        <w:rPr>
          <w:rFonts w:ascii="Times New Roman" w:cs="Times New Roman" w:eastAsia="Times New Roman" w:hAnsi="Times New Roman"/>
          <w:sz w:val="18"/>
          <w:szCs w:val="18"/>
          <w:color w:val="auto"/>
        </w:rPr>
        <w:t>the priority of invention of any patented technology; and</w:t>
      </w:r>
    </w:p>
    <w:p>
      <w:pPr>
        <w:ind w:right="600" w:firstLine="230"/>
        <w:spacing w:after="0" w:line="258" w:lineRule="auto"/>
        <w:rPr>
          <w:sz w:val="20"/>
          <w:szCs w:val="20"/>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future licensors and us and our partners.</w:t>
      </w:r>
    </w:p>
    <w:p>
      <w:pPr>
        <w:spacing w:after="0" w:line="115" w:lineRule="exact"/>
        <w:rPr>
          <w:sz w:val="20"/>
          <w:szCs w:val="20"/>
          <w:color w:val="auto"/>
        </w:rPr>
      </w:pPr>
    </w:p>
    <w:p>
      <w:pPr>
        <w:ind w:right="20" w:firstLine="584"/>
        <w:spacing w:after="0" w:line="24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231"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United States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66" w:lineRule="exact"/>
        <w:rPr>
          <w:sz w:val="20"/>
          <w:szCs w:val="20"/>
          <w:color w:val="auto"/>
        </w:rPr>
      </w:pPr>
    </w:p>
    <w:p>
      <w:pPr>
        <w:ind w:firstLine="576"/>
        <w:spacing w:after="0" w:line="241" w:lineRule="auto"/>
        <w:rPr>
          <w:sz w:val="20"/>
          <w:szCs w:val="20"/>
          <w:color w:val="auto"/>
        </w:rPr>
      </w:pPr>
      <w:r>
        <w:rPr>
          <w:rFonts w:ascii="Times New Roman" w:cs="Times New Roman" w:eastAsia="Times New Roman" w:hAnsi="Times New Roman"/>
          <w:sz w:val="18"/>
          <w:szCs w:val="18"/>
          <w:color w:val="auto"/>
        </w:rPr>
        <w:t xml:space="preserve">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or made a misleading statement, in the process of obtaining the patent during patent prosecution. Third parties may also raise similar claims before administrative bodies in the United States or abroad, even outside the context of litigation. Such mechanisms include re-examination,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post grant review and equivalent proceedings in foreign jurisdictions (such as opposition proceedings). Such proceedings could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182" w:lineRule="exact"/>
        <w:rPr>
          <w:sz w:val="20"/>
          <w:szCs w:val="20"/>
          <w:color w:val="auto"/>
        </w:rPr>
      </w:pPr>
    </w:p>
    <w:p>
      <w:pPr>
        <w:ind w:right="40" w:firstLine="576"/>
        <w:spacing w:after="0" w:line="246" w:lineRule="auto"/>
        <w:rPr>
          <w:sz w:val="20"/>
          <w:szCs w:val="20"/>
          <w:color w:val="auto"/>
        </w:rPr>
      </w:pPr>
      <w:r>
        <w:rPr>
          <w:rFonts w:ascii="Times New Roman" w:cs="Times New Roman" w:eastAsia="Times New Roman" w:hAnsi="Times New Roman"/>
          <w:sz w:val="18"/>
          <w:szCs w:val="18"/>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5" w:name="page66"/>
    <w:bookmarkEnd w:id="65"/>
    <w:p>
      <w:pPr>
        <w:ind w:right="100"/>
        <w:spacing w:after="0" w:line="258" w:lineRule="auto"/>
        <w:rPr>
          <w:sz w:val="20"/>
          <w:szCs w:val="20"/>
          <w:color w:val="auto"/>
        </w:rPr>
      </w:pPr>
      <w:r>
        <w:rPr>
          <w:rFonts w:ascii="Times New Roman" w:cs="Times New Roman" w:eastAsia="Times New Roman" w:hAnsi="Times New Roman"/>
          <w:sz w:val="18"/>
          <w:szCs w:val="18"/>
          <w:color w:val="auto"/>
        </w:rPr>
        <w:t>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121" w:lineRule="exact"/>
        <w:rPr>
          <w:sz w:val="20"/>
          <w:szCs w:val="20"/>
          <w:color w:val="auto"/>
        </w:rPr>
      </w:pPr>
    </w:p>
    <w:p>
      <w:pPr>
        <w:ind w:right="20" w:firstLine="576"/>
        <w:spacing w:after="0" w:line="241" w:lineRule="auto"/>
        <w:rPr>
          <w:sz w:val="20"/>
          <w:szCs w:val="20"/>
          <w:color w:val="auto"/>
        </w:rPr>
      </w:pPr>
      <w:r>
        <w:rPr>
          <w:rFonts w:ascii="Times New Roman" w:cs="Times New Roman" w:eastAsia="Times New Roman" w:hAnsi="Times New Roman"/>
          <w:sz w:val="18"/>
          <w:szCs w:val="18"/>
          <w:color w:val="auto"/>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and derivation proceedings. An adverse determination in any such submission or proceeding could reduce the scope or enforceability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19" w:lineRule="exact"/>
        <w:rPr>
          <w:sz w:val="20"/>
          <w:szCs w:val="20"/>
          <w:color w:val="auto"/>
        </w:rPr>
      </w:pPr>
    </w:p>
    <w:p>
      <w:pPr>
        <w:jc w:val="both"/>
        <w:ind w:right="120" w:firstLine="576"/>
        <w:spacing w:after="0" w:line="258" w:lineRule="auto"/>
        <w:rPr>
          <w:sz w:val="20"/>
          <w:szCs w:val="20"/>
          <w:color w:val="auto"/>
        </w:rPr>
      </w:pPr>
      <w:r>
        <w:rPr>
          <w:rFonts w:ascii="Times New Roman" w:cs="Times New Roman" w:eastAsia="Times New Roman" w:hAnsi="Times New Roman"/>
          <w:sz w:val="18"/>
          <w:szCs w:val="18"/>
          <w:color w:val="auto"/>
        </w:rPr>
        <w:t>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w:t>
      </w:r>
    </w:p>
    <w:p>
      <w:pPr>
        <w:spacing w:after="0" w:line="102" w:lineRule="exact"/>
        <w:rPr>
          <w:sz w:val="20"/>
          <w:szCs w:val="20"/>
          <w:color w:val="auto"/>
        </w:rPr>
      </w:pPr>
    </w:p>
    <w:p>
      <w:pPr>
        <w:ind w:right="220" w:firstLine="576"/>
        <w:spacing w:after="0" w:line="244"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rights under patents that we might obtain in the future.</w:t>
      </w:r>
    </w:p>
    <w:p>
      <w:pPr>
        <w:spacing w:after="0" w:line="218"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50"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identification of third-party patent rights that may be relevant to our operations is difficult because patent searching is imperfect due to, for example, differences in terminology among patents or incomplete databases.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6" w:name="page67"/>
    <w:bookmarkEnd w:id="66"/>
    <w:p>
      <w:pPr>
        <w:ind w:right="60"/>
        <w:spacing w:after="0" w:line="282" w:lineRule="auto"/>
        <w:rPr>
          <w:sz w:val="20"/>
          <w:szCs w:val="20"/>
          <w:color w:val="auto"/>
        </w:rPr>
      </w:pPr>
      <w:r>
        <w:rPr>
          <w:rFonts w:ascii="Times New Roman" w:cs="Times New Roman" w:eastAsia="Times New Roman" w:hAnsi="Times New Roman"/>
          <w:sz w:val="18"/>
          <w:szCs w:val="18"/>
          <w:color w:val="auto"/>
        </w:rPr>
        <w:t>market our current or future product candidates. Our failure to identify and correctly interpret relevant patents may negatively impact our ability to develop and market our current or future product candidates.</w:t>
      </w:r>
    </w:p>
    <w:p>
      <w:pPr>
        <w:spacing w:after="0" w:line="81" w:lineRule="exact"/>
        <w:rPr>
          <w:sz w:val="20"/>
          <w:szCs w:val="20"/>
          <w:color w:val="auto"/>
        </w:rPr>
      </w:pPr>
    </w:p>
    <w:p>
      <w:pPr>
        <w:ind w:right="60" w:firstLine="576"/>
        <w:spacing w:after="0" w:line="244"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23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37" w:lineRule="exact"/>
        <w:rPr>
          <w:sz w:val="20"/>
          <w:szCs w:val="20"/>
          <w:color w:val="auto"/>
        </w:rPr>
      </w:pPr>
    </w:p>
    <w:p>
      <w:pPr>
        <w:ind w:firstLine="576"/>
        <w:spacing w:after="0" w:line="250"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applications that we own or may in-license may not lead to issued patents;</w:t>
      </w:r>
    </w:p>
    <w:p>
      <w:pPr>
        <w:spacing w:after="0" w:line="27" w:lineRule="exact"/>
        <w:rPr>
          <w:sz w:val="20"/>
          <w:szCs w:val="20"/>
          <w:color w:val="auto"/>
        </w:rPr>
      </w:pPr>
    </w:p>
    <w:p>
      <w:pPr>
        <w:ind w:right="220" w:firstLine="230"/>
        <w:spacing w:after="0" w:line="235" w:lineRule="auto"/>
        <w:rPr>
          <w:sz w:val="20"/>
          <w:szCs w:val="20"/>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spacing w:after="0" w:line="1" w:lineRule="exact"/>
        <w:rPr>
          <w:sz w:val="20"/>
          <w:szCs w:val="20"/>
          <w:color w:val="auto"/>
        </w:rPr>
      </w:pPr>
    </w:p>
    <w:p>
      <w:pPr>
        <w:jc w:val="both"/>
        <w:ind w:right="280" w:firstLine="230"/>
        <w:spacing w:after="0"/>
        <w:rPr>
          <w:sz w:val="20"/>
          <w:szCs w:val="20"/>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rPr>
          <w:sz w:val="20"/>
          <w:szCs w:val="20"/>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7" w:lineRule="exact"/>
        <w:rPr>
          <w:sz w:val="20"/>
          <w:szCs w:val="20"/>
          <w:color w:val="auto"/>
        </w:rPr>
      </w:pPr>
    </w:p>
    <w:p>
      <w:pPr>
        <w:ind w:right="80" w:firstLine="230"/>
        <w:spacing w:after="0" w:line="235" w:lineRule="auto"/>
        <w:rPr>
          <w:sz w:val="20"/>
          <w:szCs w:val="20"/>
          <w:color w:val="auto"/>
        </w:rPr>
      </w:pPr>
      <w:r>
        <w:rPr>
          <w:rFonts w:ascii="Times New Roman" w:cs="Times New Roman" w:eastAsia="Times New Roman" w:hAnsi="Times New Roman"/>
          <w:sz w:val="18"/>
          <w:szCs w:val="18"/>
          <w:color w:val="auto"/>
        </w:rPr>
        <w:t>we, or our future licensors or collaborators, might not have been the first to make the inventions covered by a patent application that we own or may in-license;</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we, or our future licensors or collaborators, might not have been the first to file patent applications covering a particular invention;</w:t>
      </w:r>
    </w:p>
    <w:p>
      <w:pPr>
        <w:ind w:right="600" w:firstLine="230"/>
        <w:spacing w:after="0" w:line="242" w:lineRule="auto"/>
        <w:rPr>
          <w:sz w:val="20"/>
          <w:szCs w:val="20"/>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1" w:lineRule="exact"/>
        <w:rPr>
          <w:sz w:val="20"/>
          <w:szCs w:val="20"/>
          <w:color w:val="auto"/>
        </w:rPr>
      </w:pPr>
    </w:p>
    <w:p>
      <w:pPr>
        <w:jc w:val="both"/>
        <w:ind w:right="520" w:firstLine="230"/>
        <w:spacing w:after="0"/>
        <w:rPr>
          <w:sz w:val="20"/>
          <w:szCs w:val="20"/>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234" w:lineRule="auto"/>
        <w:rPr>
          <w:sz w:val="20"/>
          <w:szCs w:val="20"/>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ind w:right="300" w:firstLine="230"/>
        <w:spacing w:after="0" w:line="242" w:lineRule="auto"/>
        <w:rPr>
          <w:sz w:val="20"/>
          <w:szCs w:val="20"/>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1" w:lineRule="exact"/>
        <w:rPr>
          <w:sz w:val="20"/>
          <w:szCs w:val="20"/>
          <w:color w:val="auto"/>
        </w:rPr>
      </w:pPr>
    </w:p>
    <w:p>
      <w:pPr>
        <w:ind w:right="40" w:firstLine="230"/>
        <w:spacing w:after="0" w:line="241" w:lineRule="auto"/>
        <w:rPr>
          <w:sz w:val="20"/>
          <w:szCs w:val="20"/>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trade secrets or know-how;</w:t>
      </w:r>
    </w:p>
    <w:p>
      <w:pPr>
        <w:spacing w:after="0" w:line="1" w:lineRule="exact"/>
        <w:rPr>
          <w:sz w:val="20"/>
          <w:szCs w:val="20"/>
          <w:color w:val="auto"/>
        </w:rPr>
      </w:pPr>
    </w:p>
    <w:p>
      <w:pPr>
        <w:ind w:left="240" w:right="3560"/>
        <w:spacing w:after="0" w:line="235" w:lineRule="auto"/>
        <w:rPr>
          <w:sz w:val="20"/>
          <w:szCs w:val="20"/>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 we may not develop or in-license additional proprietary technologies that are patentable;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12"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3" w:lineRule="exact"/>
        <w:rPr>
          <w:sz w:val="20"/>
          <w:szCs w:val="20"/>
          <w:color w:val="auto"/>
        </w:rPr>
      </w:pPr>
    </w:p>
    <w:p>
      <w:pPr>
        <w:ind w:right="60" w:firstLine="576"/>
        <w:spacing w:after="0" w:line="250" w:lineRule="auto"/>
        <w:rPr>
          <w:sz w:val="20"/>
          <w:szCs w:val="20"/>
          <w:color w:val="auto"/>
        </w:rPr>
      </w:pPr>
      <w:r>
        <w:rPr>
          <w:rFonts w:ascii="Times New Roman" w:cs="Times New Roman" w:eastAsia="Times New Roman" w:hAnsi="Times New Roman"/>
          <w:sz w:val="18"/>
          <w:szCs w:val="18"/>
          <w:color w:val="auto"/>
        </w:rPr>
        <w:t>Assuming that our product candidates prove to be safe and effective in clinical trials, we expect that we will file for marketing approval for such product candidates in the United States and we may also submit marketing applications in other countries. Regulatory authorities in jurisdictions outside of the United States have requirements for approval of product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7" w:name="page68"/>
    <w:bookmarkEnd w:id="67"/>
    <w:p>
      <w:pPr>
        <w:ind w:right="20"/>
        <w:spacing w:after="0" w:line="250" w:lineRule="auto"/>
        <w:rPr>
          <w:sz w:val="20"/>
          <w:szCs w:val="20"/>
          <w:color w:val="auto"/>
        </w:rPr>
      </w:pPr>
      <w:r>
        <w:rPr>
          <w:rFonts w:ascii="Times New Roman" w:cs="Times New Roman" w:eastAsia="Times New Roman" w:hAnsi="Times New Roman"/>
          <w:sz w:val="18"/>
          <w:szCs w:val="18"/>
          <w:color w:val="auto"/>
        </w:rPr>
        <w:t>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regulatory approvals, our target market will be reduced and our ability to realize the full market potential of our product candidates will be harmed and future potential revenue may be less than expected by investors and analysts.</w:t>
      </w:r>
    </w:p>
    <w:p>
      <w:pPr>
        <w:spacing w:after="0" w:line="177"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30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50" w:lineRule="exact"/>
        <w:rPr>
          <w:sz w:val="20"/>
          <w:szCs w:val="20"/>
          <w:color w:val="auto"/>
        </w:rPr>
      </w:pPr>
    </w:p>
    <w:p>
      <w:pPr>
        <w:ind w:right="20" w:firstLine="576"/>
        <w:spacing w:after="0" w:line="246"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from the date of filing,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283"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50"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certain of our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95"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color w:val="auto"/>
        </w:rPr>
        <w:t>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p>
    <w:p>
      <w:pPr>
        <w:spacing w:after="0" w:line="181" w:lineRule="exact"/>
        <w:rPr>
          <w:sz w:val="20"/>
          <w:szCs w:val="20"/>
          <w:color w:val="auto"/>
        </w:rPr>
      </w:pPr>
    </w:p>
    <w:p>
      <w:pPr>
        <w:ind w:right="140" w:firstLine="576"/>
        <w:spacing w:after="0" w:line="250"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8" w:name="page69"/>
    <w:bookmarkEnd w:id="68"/>
    <w:p>
      <w:pPr>
        <w:ind w:right="120"/>
        <w:spacing w:after="0" w:line="282" w:lineRule="auto"/>
        <w:rPr>
          <w:sz w:val="20"/>
          <w:szCs w:val="20"/>
          <w:color w:val="auto"/>
        </w:rPr>
      </w:pPr>
      <w:r>
        <w:rPr>
          <w:rFonts w:ascii="Times New Roman" w:cs="Times New Roman" w:eastAsia="Times New Roman" w:hAnsi="Times New Roman"/>
          <w:sz w:val="18"/>
          <w:szCs w:val="18"/>
          <w:color w:val="auto"/>
        </w:rPr>
        <w:t>Union. The exclusivity period in the European Union can be reduced to six years if a product no longer meets the criteria for orphan drug designation or if the product is sufficiently profitable so that market exclusivity is no longer justified.</w:t>
      </w:r>
    </w:p>
    <w:p>
      <w:pPr>
        <w:spacing w:after="0" w:line="148"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Even if we obtain orphan drug exclusivity for one of our product candidates, that exclusivity may not effectively protect our product candidate from competition because different products having different chemical compositions can be approved for the same condition and the same therapies can be approved for different conditions but used off-label. Even after an orphan drug is approved, the FDA can subsequently approve the same product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23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60"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and rescind the designation or decide that the time period for FDA review or approval will not be shortened.</w:t>
      </w:r>
    </w:p>
    <w:p>
      <w:pPr>
        <w:spacing w:after="0" w:line="189" w:lineRule="exact"/>
        <w:rPr>
          <w:sz w:val="20"/>
          <w:szCs w:val="20"/>
          <w:color w:val="auto"/>
        </w:rPr>
      </w:pPr>
    </w:p>
    <w:p>
      <w:pPr>
        <w:ind w:right="40" w:firstLine="576"/>
        <w:spacing w:after="0" w:line="246" w:lineRule="auto"/>
        <w:rPr>
          <w:sz w:val="20"/>
          <w:szCs w:val="20"/>
          <w:color w:val="auto"/>
        </w:rPr>
      </w:pPr>
      <w:r>
        <w:rPr>
          <w:rFonts w:ascii="Times New Roman" w:cs="Times New Roman" w:eastAsia="Times New Roman" w:hAnsi="Times New Roman"/>
          <w:sz w:val="18"/>
          <w:szCs w:val="18"/>
          <w:color w:val="auto"/>
        </w:rPr>
        <w:t>We may also seek fast track designation for some of our product candidates and, in the case of TNG908, we were granted fast track designation by the FDA in the first quarter of 2022. If a drug is intended for the treatment of a serious or life-threatening condition and preclinical or clinical data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02"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seek accelerated approval of our current or future product candidates using the FDA’s accelerated approval pathway. 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60" w:lineRule="exact"/>
        <w:rPr>
          <w:sz w:val="20"/>
          <w:szCs w:val="20"/>
          <w:color w:val="auto"/>
        </w:rPr>
      </w:pPr>
    </w:p>
    <w:p>
      <w:pPr>
        <w:ind w:right="120" w:firstLine="576"/>
        <w:spacing w:after="0" w:line="246" w:lineRule="auto"/>
        <w:rPr>
          <w:sz w:val="20"/>
          <w:szCs w:val="20"/>
          <w:color w:val="auto"/>
        </w:rPr>
      </w:pPr>
      <w:r>
        <w:rPr>
          <w:rFonts w:ascii="Times New Roman" w:cs="Times New Roman" w:eastAsia="Times New Roman" w:hAnsi="Times New Roman"/>
          <w:sz w:val="18"/>
          <w:szCs w:val="18"/>
          <w:color w:val="auto"/>
        </w:rPr>
        <w:t>We may seek accelerated approval of our current or future product candidates, where applicable,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9" w:name="page70"/>
    <w:bookmarkEnd w:id="69"/>
    <w:p>
      <w:pPr>
        <w:ind w:right="80"/>
        <w:spacing w:after="0" w:line="250" w:lineRule="auto"/>
        <w:rPr>
          <w:sz w:val="20"/>
          <w:szCs w:val="20"/>
          <w:color w:val="auto"/>
        </w:rPr>
      </w:pPr>
      <w:r>
        <w:rPr>
          <w:rFonts w:ascii="Times New Roman" w:cs="Times New Roman" w:eastAsia="Times New Roman" w:hAnsi="Times New Roman"/>
          <w:sz w:val="18"/>
          <w:szCs w:val="18"/>
          <w:color w:val="auto"/>
        </w:rPr>
        <w:t>benefit. As a condition of approval, the FDA requires that a sponsor of a drug receiving accelerated approval perform adequate and well-controlled post-marketing clinical trials. 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227"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63" w:lineRule="exact"/>
        <w:rPr>
          <w:sz w:val="20"/>
          <w:szCs w:val="20"/>
          <w:color w:val="auto"/>
        </w:rPr>
      </w:pPr>
    </w:p>
    <w:p>
      <w:pPr>
        <w:ind w:right="60" w:firstLine="576"/>
        <w:spacing w:after="0" w:line="257" w:lineRule="auto"/>
        <w:rPr>
          <w:sz w:val="20"/>
          <w:szCs w:val="20"/>
          <w:color w:val="auto"/>
        </w:rPr>
      </w:pPr>
      <w:r>
        <w:rPr>
          <w:rFonts w:ascii="Times New Roman" w:cs="Times New Roman" w:eastAsia="Times New Roman" w:hAnsi="Times New Roman"/>
          <w:sz w:val="17"/>
          <w:szCs w:val="17"/>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conducting clinical trials or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25"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U.S. government agencies or the EMA or comparable foreign regulatory authorities,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80" w:lineRule="exact"/>
        <w:rPr>
          <w:sz w:val="20"/>
          <w:szCs w:val="20"/>
          <w:color w:val="auto"/>
        </w:rPr>
      </w:pPr>
    </w:p>
    <w:p>
      <w:pPr>
        <w:ind w:right="120" w:firstLine="576"/>
        <w:spacing w:after="0" w:line="246" w:lineRule="auto"/>
        <w:rPr>
          <w:sz w:val="20"/>
          <w:szCs w:val="20"/>
          <w:color w:val="auto"/>
        </w:rPr>
      </w:pPr>
      <w:r>
        <w:rPr>
          <w:rFonts w:ascii="Times New Roman" w:cs="Times New Roman" w:eastAsia="Times New Roman" w:hAnsi="Times New Roman"/>
          <w:sz w:val="18"/>
          <w:szCs w:val="18"/>
          <w:color w:val="auto"/>
        </w:rPr>
        <w:t>The ability of the FDA, the EMA or comparable foreign regulatory authorities to review and approve new products can be affected by a variety of factors, including government budget and funding levels, ability to hire and retain key personnel and accept the payment of user fees, and enact statutory, regulatory and policy changes. Average review times at the FDA or other regulatory authorities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127" w:lineRule="exact"/>
        <w:rPr>
          <w:sz w:val="20"/>
          <w:szCs w:val="20"/>
          <w:color w:val="auto"/>
        </w:rPr>
      </w:pPr>
    </w:p>
    <w:p>
      <w:pPr>
        <w:ind w:right="180" w:firstLine="576"/>
        <w:spacing w:after="0" w:line="266" w:lineRule="auto"/>
        <w:rPr>
          <w:sz w:val="20"/>
          <w:szCs w:val="20"/>
          <w:color w:val="auto"/>
        </w:rPr>
      </w:pPr>
      <w:r>
        <w:rPr>
          <w:rFonts w:ascii="Times New Roman" w:cs="Times New Roman" w:eastAsia="Times New Roman" w:hAnsi="Times New Roman"/>
          <w:sz w:val="18"/>
          <w:szCs w:val="18"/>
          <w:color w:val="auto"/>
        </w:rPr>
        <w:t>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95" w:lineRule="exact"/>
        <w:rPr>
          <w:sz w:val="20"/>
          <w:szCs w:val="20"/>
          <w:color w:val="auto"/>
        </w:rPr>
      </w:pPr>
    </w:p>
    <w:p>
      <w:pPr>
        <w:ind w:right="20" w:firstLine="576"/>
        <w:spacing w:after="0" w:line="247" w:lineRule="auto"/>
        <w:rPr>
          <w:sz w:val="20"/>
          <w:szCs w:val="20"/>
          <w:color w:val="auto"/>
        </w:rPr>
      </w:pPr>
      <w:r>
        <w:rPr>
          <w:rFonts w:ascii="Times New Roman" w:cs="Times New Roman" w:eastAsia="Times New Roman" w:hAnsi="Times New Roman"/>
          <w:sz w:val="18"/>
          <w:szCs w:val="18"/>
          <w:color w:val="auto"/>
        </w:rPr>
        <w:t>Disruptions at the FDA, the EMA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12" w:lineRule="exact"/>
        <w:rPr>
          <w:sz w:val="20"/>
          <w:szCs w:val="20"/>
          <w:color w:val="auto"/>
        </w:rPr>
      </w:pPr>
    </w:p>
    <w:p>
      <w:pPr>
        <w:ind w:firstLine="576"/>
        <w:spacing w:after="0" w:line="244" w:lineRule="auto"/>
        <w:rPr>
          <w:sz w:val="20"/>
          <w:szCs w:val="20"/>
          <w:color w:val="auto"/>
        </w:rPr>
      </w:pPr>
      <w:r>
        <w:rPr>
          <w:rFonts w:ascii="Times New Roman" w:cs="Times New Roman" w:eastAsia="Times New Roman" w:hAnsi="Times New Roman"/>
          <w:sz w:val="18"/>
          <w:szCs w:val="18"/>
          <w:color w:val="auto"/>
        </w:rPr>
        <w:t>Separately, since March 2020 when foreign and domestic inspections were largely placed on hold due to the COVID-19 pandemic, the FDA has been working to resume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abroad and it is unclear when standard operational levels will resume. The FDA is continuing to complete mission-critical work, prioritize other higher-tiered inspectional needs (e.g., for-cause inspections), and carry out surveillance inspections using risk-based approaches for evaluating public health. Should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70" w:name="page71"/>
    <w:bookmarkEnd w:id="70"/>
    <w:p>
      <w:pPr>
        <w:ind w:right="40"/>
        <w:spacing w:after="0" w:line="258" w:lineRule="auto"/>
        <w:rPr>
          <w:sz w:val="20"/>
          <w:szCs w:val="20"/>
          <w:color w:val="auto"/>
        </w:rPr>
      </w:pPr>
      <w:r>
        <w:rPr>
          <w:rFonts w:ascii="Times New Roman" w:cs="Times New Roman" w:eastAsia="Times New Roman" w:hAnsi="Times New Roman"/>
          <w:sz w:val="18"/>
          <w:szCs w:val="18"/>
          <w:color w:val="auto"/>
        </w:rPr>
        <w:t>the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w:t>
      </w:r>
    </w:p>
    <w:p>
      <w:pPr>
        <w:spacing w:after="0" w:line="102" w:lineRule="exact"/>
        <w:rPr>
          <w:sz w:val="20"/>
          <w:szCs w:val="20"/>
          <w:color w:val="auto"/>
        </w:rPr>
      </w:pPr>
    </w:p>
    <w:p>
      <w:pPr>
        <w:ind w:right="560" w:firstLine="576"/>
        <w:spacing w:after="0" w:line="266" w:lineRule="auto"/>
        <w:rPr>
          <w:sz w:val="20"/>
          <w:szCs w:val="20"/>
          <w:color w:val="auto"/>
        </w:rPr>
      </w:pPr>
      <w:r>
        <w:rPr>
          <w:rFonts w:ascii="Times New Roman" w:cs="Times New Roman" w:eastAsia="Times New Roman" w:hAnsi="Times New Roman"/>
          <w:sz w:val="18"/>
          <w:szCs w:val="18"/>
          <w:color w:val="auto"/>
        </w:rPr>
        <w:t>In 2020 and in 2021, a number of companies announced receipt of complete response letters due to the FDA’s inability to complete required inspections for their applications.</w:t>
      </w:r>
    </w:p>
    <w:p>
      <w:pPr>
        <w:spacing w:after="0" w:line="95" w:lineRule="exact"/>
        <w:rPr>
          <w:sz w:val="20"/>
          <w:szCs w:val="20"/>
          <w:color w:val="auto"/>
        </w:rPr>
      </w:pPr>
    </w:p>
    <w:p>
      <w:pPr>
        <w:ind w:right="60" w:firstLine="576"/>
        <w:spacing w:after="0" w:line="246" w:lineRule="auto"/>
        <w:rPr>
          <w:sz w:val="20"/>
          <w:szCs w:val="20"/>
          <w:color w:val="auto"/>
        </w:rPr>
      </w:pPr>
      <w:r>
        <w:rPr>
          <w:rFonts w:ascii="Times New Roman" w:cs="Times New Roman" w:eastAsia="Times New Roman" w:hAnsi="Times New Roman"/>
          <w:sz w:val="18"/>
          <w:szCs w:val="18"/>
          <w:color w:val="auto"/>
        </w:rPr>
        <w:t>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21" w:lineRule="exact"/>
        <w:rPr>
          <w:sz w:val="20"/>
          <w:szCs w:val="20"/>
          <w:color w:val="auto"/>
        </w:rPr>
      </w:pPr>
    </w:p>
    <w:p>
      <w:pPr>
        <w:ind w:right="40" w:firstLine="576"/>
        <w:spacing w:after="0" w:line="246"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and statutes could impact our business in the future by requiring, for example: (i) changes to our manufacturing arrangements; (ii) additions or modifications to product labeling; (iii) the recall or discontinuation of our products (if any products are approved by applicable regulatory authorities); or (iv) additional record-keeping requirements. If any such changes were to be imposed, they could adversely affect the operation of our business. For additional information, see section entitled “</w:t>
      </w:r>
      <w:r>
        <w:rPr>
          <w:rFonts w:ascii="Times New Roman" w:cs="Times New Roman" w:eastAsia="Times New Roman" w:hAnsi="Times New Roman"/>
          <w:sz w:val="18"/>
          <w:szCs w:val="18"/>
          <w:i w:val="1"/>
          <w:iCs w:val="1"/>
          <w:color w:val="auto"/>
        </w:rPr>
        <w:t>Business – Current and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healthcare reform legislation</w:t>
      </w:r>
      <w:r>
        <w:rPr>
          <w:rFonts w:ascii="Times New Roman" w:cs="Times New Roman" w:eastAsia="Times New Roman" w:hAnsi="Times New Roman"/>
          <w:sz w:val="18"/>
          <w:szCs w:val="18"/>
          <w:color w:val="auto"/>
        </w:rPr>
        <w:t>” as set forth in the Annual Report on Form 10-K for the fiscal year ended December 31, 2021.</w:t>
      </w:r>
    </w:p>
    <w:p>
      <w:pPr>
        <w:spacing w:after="0" w:line="181" w:lineRule="exact"/>
        <w:rPr>
          <w:sz w:val="20"/>
          <w:szCs w:val="20"/>
          <w:color w:val="auto"/>
        </w:rPr>
      </w:pPr>
    </w:p>
    <w:p>
      <w:pPr>
        <w:ind w:right="40" w:firstLine="584"/>
        <w:spacing w:after="0" w:line="244" w:lineRule="auto"/>
        <w:rPr>
          <w:sz w:val="20"/>
          <w:szCs w:val="20"/>
          <w:color w:val="auto"/>
        </w:rPr>
      </w:pPr>
      <w:r>
        <w:rPr>
          <w:rFonts w:ascii="Times New Roman" w:cs="Times New Roman" w:eastAsia="Times New Roman" w:hAnsi="Times New Roman"/>
          <w:sz w:val="18"/>
          <w:szCs w:val="18"/>
          <w:color w:val="auto"/>
        </w:rPr>
        <w:t>Since its enactment, there have been numerous judicial, administrative, executive, and legislative challenges to certain aspects of the Patient Protection and Affordable Care Act, as amended by the Health Care and Education Reconciliation Act of 2010, or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185" w:lineRule="exact"/>
        <w:rPr>
          <w:sz w:val="20"/>
          <w:szCs w:val="20"/>
          <w:color w:val="auto"/>
        </w:rPr>
      </w:pPr>
    </w:p>
    <w:p>
      <w:pPr>
        <w:ind w:right="160" w:firstLine="576"/>
        <w:spacing w:after="0" w:line="247" w:lineRule="auto"/>
        <w:rPr>
          <w:sz w:val="20"/>
          <w:szCs w:val="20"/>
          <w:color w:val="auto"/>
        </w:rPr>
      </w:pPr>
      <w:r>
        <w:rPr>
          <w:rFonts w:ascii="Times New Roman" w:cs="Times New Roman" w:eastAsia="Times New Roman" w:hAnsi="Times New Roman"/>
          <w:sz w:val="18"/>
          <w:szCs w:val="18"/>
          <w:color w:val="auto"/>
        </w:rPr>
        <w:t>Separately, increasing efforts by governmental and third-party payors in the United States and abroad to cap or reduce healthcare costs may cause such organizations to limit both coverage and the level of reimbursement for newly approved products and, as a result, they may not cover or may not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80"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Fiscal Years 2019 and 2018 reimbursement formula on specified covered outpatient drugs, or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It is unclear how these developments could affect covered hospitals who might purchase our future products and affect the rates we may charge such facilities for our approved products in the future, if any.</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71" w:name="page72"/>
    <w:bookmarkEnd w:id="71"/>
    <w:p>
      <w:pPr>
        <w:ind w:right="60" w:firstLine="576"/>
        <w:spacing w:after="0" w:line="242" w:lineRule="auto"/>
        <w:rPr>
          <w:sz w:val="20"/>
          <w:szCs w:val="20"/>
          <w:color w:val="auto"/>
        </w:rPr>
      </w:pPr>
      <w:r>
        <w:rPr>
          <w:rFonts w:ascii="Times New Roman" w:cs="Times New Roman" w:eastAsia="Times New Roman" w:hAnsi="Times New Roman"/>
          <w:sz w:val="18"/>
          <w:szCs w:val="18"/>
          <w:color w:val="auto"/>
        </w:rPr>
        <w:t>At the federal level, the Trump administration used several means to propose or implement drug pricing reform, including through federal budget proposals, executive orders and policy initiatives. For example, on July 24, 2020 and September 13, 2020, former President Trump announced several executive orders related to prescription drug pricing that seek to implement several of the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Additionally, on November 20, 2020, DHHS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Implementation of the amendments to the discount safe harbor have been delayed until at least January 1, 2023.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w:t>
      </w:r>
    </w:p>
    <w:p>
      <w:pPr>
        <w:spacing w:after="0" w:line="190" w:lineRule="exact"/>
        <w:rPr>
          <w:sz w:val="20"/>
          <w:szCs w:val="20"/>
          <w:color w:val="auto"/>
        </w:rPr>
      </w:pPr>
    </w:p>
    <w:p>
      <w:pPr>
        <w:ind w:right="40" w:firstLine="576"/>
        <w:spacing w:after="0" w:line="250" w:lineRule="auto"/>
        <w:rPr>
          <w:sz w:val="20"/>
          <w:szCs w:val="20"/>
          <w:color w:val="auto"/>
        </w:rPr>
      </w:pPr>
      <w:r>
        <w:rPr>
          <w:rFonts w:ascii="Times New Roman" w:cs="Times New Roman" w:eastAsia="Times New Roman" w:hAnsi="Times New Roman"/>
          <w:sz w:val="18"/>
          <w:szCs w:val="18"/>
          <w:color w:val="auto"/>
        </w:rPr>
        <w:t>Any reduction in reimbursement from Medicare and other government programs may result in a similar reduction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7" w:lineRule="exact"/>
        <w:rPr>
          <w:sz w:val="20"/>
          <w:szCs w:val="20"/>
          <w:color w:val="auto"/>
        </w:rPr>
      </w:pPr>
    </w:p>
    <w:p>
      <w:pPr>
        <w:ind w:right="80" w:firstLine="576"/>
        <w:spacing w:after="0" w:line="250" w:lineRule="auto"/>
        <w:rPr>
          <w:sz w:val="20"/>
          <w:szCs w:val="20"/>
          <w:color w:val="auto"/>
        </w:rPr>
      </w:pPr>
      <w:r>
        <w:rPr>
          <w:rFonts w:ascii="Times New Roman" w:cs="Times New Roman" w:eastAsia="Times New Roman" w:hAnsi="Times New Roman"/>
          <w:sz w:val="18"/>
          <w:szCs w:val="18"/>
          <w:color w:val="auto"/>
        </w:rPr>
        <w:t>These laws, and future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changes.</w:t>
      </w:r>
    </w:p>
    <w:p>
      <w:pPr>
        <w:spacing w:after="0" w:line="281"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81" w:lineRule="exact"/>
        <w:rPr>
          <w:sz w:val="20"/>
          <w:szCs w:val="20"/>
          <w:color w:val="auto"/>
        </w:rPr>
      </w:pPr>
    </w:p>
    <w:p>
      <w:pPr>
        <w:ind w:right="20" w:firstLine="576"/>
        <w:spacing w:after="0" w:line="24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See section entitled “</w:t>
      </w:r>
      <w:r>
        <w:rPr>
          <w:rFonts w:ascii="Times New Roman" w:cs="Times New Roman" w:eastAsia="Times New Roman" w:hAnsi="Times New Roman"/>
          <w:sz w:val="18"/>
          <w:szCs w:val="18"/>
          <w:i w:val="1"/>
          <w:iCs w:val="1"/>
          <w:color w:val="auto"/>
        </w:rPr>
        <w:t>Business – Other healthcare laws"</w:t>
      </w:r>
      <w:r>
        <w:rPr>
          <w:rFonts w:ascii="Times New Roman" w:cs="Times New Roman" w:eastAsia="Times New Roman" w:hAnsi="Times New Roman"/>
          <w:sz w:val="18"/>
          <w:szCs w:val="18"/>
          <w:color w:val="auto"/>
        </w:rPr>
        <w:t xml:space="preserve"> as set forth in the Annual Report on Form 10-K for the fiscal year ended December 31, 2021.</w:t>
      </w:r>
    </w:p>
    <w:p>
      <w:pPr>
        <w:spacing w:after="0" w:line="181" w:lineRule="exact"/>
        <w:rPr>
          <w:sz w:val="20"/>
          <w:szCs w:val="20"/>
          <w:color w:val="auto"/>
        </w:rPr>
      </w:pPr>
    </w:p>
    <w:p>
      <w:pPr>
        <w:ind w:firstLine="576"/>
        <w:spacing w:after="0" w:line="242"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future sales of our product candidates (following regulatory approval of such therapy) by us or third-parties that we engage, were to be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 and imprisonment. Further, defending against any such actions can be costly and time consuming, and may require significant financial and personnel</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2" w:name="page73"/>
    <w:bookmarkEnd w:id="72"/>
    <w:p>
      <w:pPr>
        <w:ind w:right="60"/>
        <w:spacing w:after="0" w:line="282" w:lineRule="auto"/>
        <w:rPr>
          <w:sz w:val="20"/>
          <w:szCs w:val="20"/>
          <w:color w:val="auto"/>
        </w:rPr>
      </w:pPr>
      <w:r>
        <w:rPr>
          <w:rFonts w:ascii="Times New Roman" w:cs="Times New Roman" w:eastAsia="Times New Roman" w:hAnsi="Times New Roman"/>
          <w:sz w:val="18"/>
          <w:szCs w:val="18"/>
          <w:color w:val="auto"/>
        </w:rPr>
        <w:t>resources. Therefore, even if we are successful in defending against any such actions that may be brought against us, our business may be impaired. If any of the above occur, our ability to operate our business and our results of operations could be adversely affected.</w:t>
      </w:r>
    </w:p>
    <w:p>
      <w:pPr>
        <w:spacing w:after="0" w:line="25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3" w:lineRule="exact"/>
        <w:rPr>
          <w:sz w:val="20"/>
          <w:szCs w:val="20"/>
          <w:color w:val="auto"/>
        </w:rPr>
      </w:pPr>
    </w:p>
    <w:p>
      <w:pPr>
        <w:ind w:right="80" w:firstLine="576"/>
        <w:spacing w:after="0" w:line="244"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however,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2" w:lineRule="exact"/>
        <w:rPr>
          <w:sz w:val="20"/>
          <w:szCs w:val="20"/>
          <w:color w:val="auto"/>
        </w:rPr>
      </w:pPr>
    </w:p>
    <w:p>
      <w:pPr>
        <w:ind w:firstLine="576"/>
        <w:spacing w:after="0" w:line="250"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9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66" w:lineRule="exact"/>
        <w:rPr>
          <w:sz w:val="20"/>
          <w:szCs w:val="20"/>
          <w:color w:val="auto"/>
        </w:rPr>
      </w:pPr>
    </w:p>
    <w:p>
      <w:pPr>
        <w:ind w:right="40" w:firstLine="576"/>
        <w:spacing w:after="0" w:line="241"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require surveillance to monitor the safety and efficacy of the product candidate. 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and pharmacovigilance reporting obligations.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98" w:lineRule="exact"/>
        <w:rPr>
          <w:sz w:val="20"/>
          <w:szCs w:val="20"/>
          <w:color w:val="auto"/>
        </w:rPr>
      </w:pPr>
    </w:p>
    <w:p>
      <w:pPr>
        <w:ind w:left="240" w:right="280"/>
        <w:spacing w:after="0" w:line="246" w:lineRule="auto"/>
        <w:rPr>
          <w:sz w:val="20"/>
          <w:szCs w:val="20"/>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 manufacturing delays and supply disruptions where regulatory inspections identify observations of noncompliance requiring remediation;</w:t>
      </w:r>
    </w:p>
    <w:p>
      <w:pPr>
        <w:spacing w:after="0"/>
        <w:rPr>
          <w:sz w:val="20"/>
          <w:szCs w:val="20"/>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boxed warnings;</w:t>
      </w:r>
    </w:p>
    <w:p>
      <w:pPr>
        <w:spacing w:after="0" w:line="234" w:lineRule="auto"/>
        <w:rPr>
          <w:sz w:val="20"/>
          <w:szCs w:val="20"/>
          <w:color w:val="auto"/>
        </w:rPr>
      </w:pPr>
      <w:r>
        <w:rPr>
          <w:rFonts w:ascii="Times New Roman" w:cs="Times New Roman" w:eastAsia="Times New Roman" w:hAnsi="Times New Roman"/>
          <w:sz w:val="18"/>
          <w:szCs w:val="18"/>
          <w:color w:val="auto"/>
        </w:rPr>
        <w:t>imposition of a REMS which may include distribution or use restrictions;</w:t>
      </w:r>
    </w:p>
    <w:p>
      <w:pPr>
        <w:ind w:left="240" w:right="4080"/>
        <w:spacing w:after="0" w:line="242" w:lineRule="auto"/>
        <w:rPr>
          <w:sz w:val="20"/>
          <w:szCs w:val="20"/>
          <w:color w:val="auto"/>
        </w:rPr>
      </w:pPr>
      <w:r>
        <w:rPr>
          <w:rFonts w:ascii="Times New Roman" w:cs="Times New Roman" w:eastAsia="Times New Roman" w:hAnsi="Times New Roman"/>
          <w:sz w:val="18"/>
          <w:szCs w:val="18"/>
          <w:color w:val="auto"/>
        </w:rPr>
        <w:t>requirements to conduct additional post-market clinical trials to assess the safety of the product; clinical trial holds;</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fines, warning letters or other regulatory enforcement action;</w:t>
      </w:r>
    </w:p>
    <w:p>
      <w:pPr>
        <w:ind w:left="240" w:right="480"/>
        <w:spacing w:after="0" w:line="242" w:lineRule="auto"/>
        <w:rPr>
          <w:sz w:val="20"/>
          <w:szCs w:val="20"/>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 product seizure or detention, or refusal to permit the import or export of products;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injunctions or the imposition of civil or criminal penalties.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3" w:name="page74"/>
    <w:bookmarkEnd w:id="73"/>
    <w:p>
      <w:pPr>
        <w:ind w:firstLine="584"/>
        <w:spacing w:after="0" w:line="250"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108" w:lineRule="exact"/>
        <w:rPr>
          <w:sz w:val="20"/>
          <w:szCs w:val="20"/>
          <w:color w:val="auto"/>
        </w:rPr>
      </w:pPr>
    </w:p>
    <w:p>
      <w:pPr>
        <w:ind w:right="80" w:firstLine="576"/>
        <w:spacing w:after="0" w:line="242" w:lineRule="auto"/>
        <w:rPr>
          <w:sz w:val="20"/>
          <w:szCs w:val="20"/>
          <w:color w:val="auto"/>
        </w:rPr>
      </w:pPr>
      <w:r>
        <w:rPr>
          <w:rFonts w:ascii="Times New Roman" w:cs="Times New Roman" w:eastAsia="Times New Roman" w:hAnsi="Times New Roman"/>
          <w:sz w:val="18"/>
          <w:szCs w:val="18"/>
          <w:color w:val="auto"/>
        </w:rPr>
        <w:t>We plan to conduct clinical trials and enroll subjects in our planned or future clinical trials, and therefore we will be subject to additional privacy restrictions. The collection, use, storage, disclosure, transfer, or other processing of personal data regarding individuals in the European Union,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While we have commenced the process of implementing procedures to comply with the GDPR, compliance with these regulations will be a rigorous and time-intensive process that we expect will increase our cost of doing business and require us to change certain of our business practices, and despite those efforts, there is a risk that we may be subject to fines and penalties, litigation, and reputational harm in connection with our European activities. Further, many countries interpret the application of the provisions of the GDPR in different manner, making compliance in certain countries and across the European Union challenging.</w:t>
      </w:r>
    </w:p>
    <w:p>
      <w:pPr>
        <w:spacing w:after="0" w:line="29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37" w:lineRule="exact"/>
        <w:rPr>
          <w:sz w:val="20"/>
          <w:szCs w:val="20"/>
          <w:color w:val="auto"/>
        </w:rPr>
      </w:pPr>
    </w:p>
    <w:p>
      <w:pPr>
        <w:ind w:firstLine="576"/>
        <w:spacing w:after="0" w:line="245"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1" w:lineRule="exact"/>
        <w:rPr>
          <w:sz w:val="20"/>
          <w:szCs w:val="20"/>
          <w:color w:val="auto"/>
        </w:rPr>
      </w:pPr>
    </w:p>
    <w:p>
      <w:pPr>
        <w:jc w:val="both"/>
        <w:ind w:right="20" w:firstLine="576"/>
        <w:spacing w:after="0" w:line="250"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7" w:lineRule="exact"/>
        <w:rPr>
          <w:sz w:val="20"/>
          <w:szCs w:val="20"/>
          <w:color w:val="auto"/>
        </w:rPr>
      </w:pPr>
    </w:p>
    <w:p>
      <w:pPr>
        <w:ind w:firstLine="576"/>
        <w:spacing w:after="0" w:line="250"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77" w:lineRule="exact"/>
        <w:rPr>
          <w:sz w:val="20"/>
          <w:szCs w:val="20"/>
          <w:color w:val="auto"/>
        </w:rPr>
      </w:pPr>
    </w:p>
    <w:p>
      <w:pPr>
        <w:jc w:val="both"/>
        <w:ind w:right="100" w:firstLine="576"/>
        <w:spacing w:after="0" w:line="258"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Employee Matters and Managing Anticipated Growth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experienced scientists and to attract, retain and motivate qualified personnel.</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74" w:name="page75"/>
    <w:bookmarkEnd w:id="74"/>
    <w:p>
      <w:pPr>
        <w:ind w:firstLine="576"/>
        <w:spacing w:after="0" w:line="245" w:lineRule="auto"/>
        <w:rPr>
          <w:sz w:val="20"/>
          <w:szCs w:val="20"/>
          <w:color w:val="auto"/>
        </w:rPr>
      </w:pPr>
      <w:r>
        <w:rPr>
          <w:rFonts w:ascii="Times New Roman" w:cs="Times New Roman" w:eastAsia="Times New Roman" w:hAnsi="Times New Roman"/>
          <w:sz w:val="18"/>
          <w:szCs w:val="18"/>
          <w:color w:val="auto"/>
        </w:rPr>
        <w:t>We are highly dependent on many of our key employees and members of our executive management team as well as the other principal members of our management, scientific and clinical team.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95" w:lineRule="exact"/>
        <w:rPr>
          <w:sz w:val="20"/>
          <w:szCs w:val="20"/>
          <w:color w:val="auto"/>
        </w:rPr>
      </w:pPr>
    </w:p>
    <w:p>
      <w:pPr>
        <w:ind w:right="60" w:firstLine="576"/>
        <w:spacing w:after="0" w:line="242" w:lineRule="auto"/>
        <w:rPr>
          <w:sz w:val="20"/>
          <w:szCs w:val="20"/>
          <w:color w:val="auto"/>
        </w:rPr>
      </w:pPr>
      <w:r>
        <w:rPr>
          <w:rFonts w:ascii="Times New Roman" w:cs="Times New Roman" w:eastAsia="Times New Roman" w:hAnsi="Times New Roman"/>
          <w:sz w:val="18"/>
          <w:szCs w:val="18"/>
          <w:color w:val="auto"/>
        </w:rPr>
        <w:t>Recruiting and retaining qualified scientific, clinical, medical,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medical and clinical personnel from universities and research institutions. Failure to succeed in clinical trials may make it more challenging to recruit and retain qualified scientific personnel.</w:t>
      </w:r>
    </w:p>
    <w:p>
      <w:pPr>
        <w:spacing w:after="0" w:line="187" w:lineRule="exact"/>
        <w:rPr>
          <w:sz w:val="20"/>
          <w:szCs w:val="20"/>
          <w:color w:val="auto"/>
        </w:rPr>
      </w:pPr>
    </w:p>
    <w:p>
      <w:pPr>
        <w:ind w:right="120" w:firstLine="576"/>
        <w:spacing w:after="0" w:line="250" w:lineRule="auto"/>
        <w:rPr>
          <w:sz w:val="20"/>
          <w:szCs w:val="20"/>
          <w:color w:val="auto"/>
        </w:rPr>
      </w:pPr>
      <w:r>
        <w:rPr>
          <w:rFonts w:ascii="Times New Roman" w:cs="Times New Roman" w:eastAsia="Times New Roman" w:hAnsi="Times New Roman"/>
          <w:sz w:val="18"/>
          <w:szCs w:val="18"/>
          <w:color w:val="auto"/>
        </w:rPr>
        <w:t>In particular, we have experienced a very competitive hiring environment in Cambridge,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281"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63" w:lineRule="exact"/>
        <w:rPr>
          <w:sz w:val="20"/>
          <w:szCs w:val="20"/>
          <w:color w:val="auto"/>
        </w:rPr>
      </w:pPr>
    </w:p>
    <w:p>
      <w:pPr>
        <w:ind w:right="80" w:firstLine="576"/>
        <w:spacing w:after="0" w:line="245" w:lineRule="auto"/>
        <w:rPr>
          <w:sz w:val="20"/>
          <w:szCs w:val="20"/>
          <w:color w:val="auto"/>
        </w:rPr>
      </w:pPr>
      <w:r>
        <w:rPr>
          <w:rFonts w:ascii="Times New Roman" w:cs="Times New Roman" w:eastAsia="Times New Roman" w:hAnsi="Times New Roman"/>
          <w:sz w:val="18"/>
          <w:szCs w:val="18"/>
          <w:color w:val="auto"/>
        </w:rPr>
        <w:t>We rely on information technology systems that we or our third-party providers operate to process, transmit and store electronic information in our day-to-day operations. In connection with our product discovery efforts, we collect and use a variety of personal data, such as names, mailing addresses, email addresses, phone numbers. In addition, in connection with our Phase 1/2 clinical trial, we will have access to, and may store, clinical and health information of the patients participating in the trial.</w:t>
      </w:r>
    </w:p>
    <w:p>
      <w:pPr>
        <w:spacing w:after="0" w:line="86" w:lineRule="exact"/>
        <w:rPr>
          <w:sz w:val="20"/>
          <w:szCs w:val="20"/>
          <w:color w:val="auto"/>
        </w:rPr>
      </w:pPr>
    </w:p>
    <w:p>
      <w:pPr>
        <w:ind w:right="60" w:firstLine="576"/>
        <w:spacing w:after="0" w:line="241" w:lineRule="auto"/>
        <w:rPr>
          <w:sz w:val="20"/>
          <w:szCs w:val="20"/>
          <w:color w:val="auto"/>
        </w:rPr>
      </w:pPr>
      <w:r>
        <w:rPr>
          <w:rFonts w:ascii="Times New Roman" w:cs="Times New Roman" w:eastAsia="Times New Roman" w:hAnsi="Times New Roman"/>
          <w:sz w:val="18"/>
          <w:szCs w:val="18"/>
          <w:color w:val="auto"/>
        </w:rPr>
        <w:t>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206" w:lineRule="exact"/>
        <w:rPr>
          <w:sz w:val="20"/>
          <w:szCs w:val="20"/>
          <w:color w:val="auto"/>
        </w:rPr>
      </w:pPr>
    </w:p>
    <w:p>
      <w:pPr>
        <w:ind w:firstLine="576"/>
        <w:spacing w:after="0" w:line="246" w:lineRule="auto"/>
        <w:rPr>
          <w:sz w:val="20"/>
          <w:szCs w:val="20"/>
          <w:color w:val="auto"/>
        </w:rPr>
      </w:pPr>
      <w:r>
        <w:rPr>
          <w:rFonts w:ascii="Times New Roman" w:cs="Times New Roman" w:eastAsia="Times New Roman" w:hAnsi="Times New Roman"/>
          <w:sz w:val="18"/>
          <w:szCs w:val="18"/>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5" w:name="page76"/>
    <w:bookmarkEnd w:id="75"/>
    <w:p>
      <w:pPr>
        <w:spacing w:after="0" w:line="244" w:lineRule="auto"/>
        <w:rPr>
          <w:sz w:val="20"/>
          <w:szCs w:val="20"/>
          <w:color w:val="auto"/>
        </w:rPr>
      </w:pPr>
      <w:r>
        <w:rPr>
          <w:rFonts w:ascii="Times New Roman" w:cs="Times New Roman" w:eastAsia="Times New Roman" w:hAnsi="Times New Roman"/>
          <w:sz w:val="18"/>
          <w:szCs w:val="18"/>
          <w:color w:val="auto"/>
        </w:rPr>
        <w:t>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 By way of example, the California Consumer Privacy Act, or CCPA, which went into effect on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w:t>
      </w:r>
    </w:p>
    <w:p>
      <w:pPr>
        <w:spacing w:after="0" w:line="172" w:lineRule="exact"/>
        <w:rPr>
          <w:sz w:val="20"/>
          <w:szCs w:val="20"/>
          <w:color w:val="auto"/>
        </w:rPr>
      </w:pPr>
    </w:p>
    <w:p>
      <w:pPr>
        <w:ind w:right="160" w:firstLine="450"/>
        <w:spacing w:after="0" w:line="243" w:lineRule="auto"/>
        <w:rPr>
          <w:sz w:val="20"/>
          <w:szCs w:val="20"/>
          <w:color w:val="auto"/>
        </w:rPr>
      </w:pPr>
      <w:r>
        <w:rPr>
          <w:rFonts w:ascii="Times New Roman" w:cs="Times New Roman" w:eastAsia="Times New Roman" w:hAnsi="Times New Roman"/>
          <w:sz w:val="18"/>
          <w:szCs w:val="18"/>
          <w:color w:val="auto"/>
        </w:rPr>
        <w:t>Further, a new California privacy law, the California Privacy Rights Act, or CPRA, was passed by California voters on November 3, 2020. The CPRA will create additional obligations with respect to processing and storing personal information that are scheduled to take effect on January 1, 2023 (with certain provisions having retroactive effect to January 1, 2022). Additionally, some observers have noted that the CCPA and CPRA could mark the beginning of a trend toward more stringent privacy legislation in the U.S., which could increase our potential liability and adversely affect our business. Already, in the United States, we have witnessed significant developments at the state level. For example, on March 2, 2021, Virginia enacted the Consumer Data Protection Act (the “CDPA”) and, on July 8, 2021, Colorado’s governor signed the Colorado Privacy Act (“CPA”), into law. The CDPA and the CPA will both become effective January 1, 2023. While the CDPA and CPA incorporate many similar concepts of the CCPA and CPRA, there are also several key differences in the scope, application, and enforcement of the law that will change the operational practices of regulated businesses. The new laws will, among other things, impact how regulated businesses collect and process personal sensitive data, conduct data protection assessments, transfer personal data to affiliates, and respond to consumer rights requests.</w:t>
      </w:r>
    </w:p>
    <w:p>
      <w:pPr>
        <w:spacing w:after="0" w:line="186" w:lineRule="exact"/>
        <w:rPr>
          <w:sz w:val="20"/>
          <w:szCs w:val="20"/>
          <w:color w:val="auto"/>
        </w:rPr>
      </w:pPr>
    </w:p>
    <w:p>
      <w:pPr>
        <w:ind w:right="320" w:firstLine="450"/>
        <w:spacing w:after="0" w:line="244" w:lineRule="auto"/>
        <w:rPr>
          <w:sz w:val="20"/>
          <w:szCs w:val="20"/>
          <w:color w:val="auto"/>
        </w:rPr>
      </w:pPr>
      <w:r>
        <w:rPr>
          <w:rFonts w:ascii="Times New Roman" w:cs="Times New Roman" w:eastAsia="Times New Roman" w:hAnsi="Times New Roman"/>
          <w:sz w:val="18"/>
          <w:szCs w:val="18"/>
          <w:color w:val="auto"/>
        </w:rPr>
        <w:t>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spacing w:after="0" w:line="182" w:lineRule="exact"/>
        <w:rPr>
          <w:sz w:val="20"/>
          <w:szCs w:val="20"/>
          <w:color w:val="auto"/>
        </w:rPr>
      </w:pPr>
    </w:p>
    <w:p>
      <w:pPr>
        <w:ind w:right="60" w:firstLine="270"/>
        <w:spacing w:after="0" w:line="243" w:lineRule="auto"/>
        <w:rPr>
          <w:sz w:val="20"/>
          <w:szCs w:val="20"/>
          <w:color w:val="auto"/>
        </w:rPr>
      </w:pPr>
      <w:r>
        <w:rPr>
          <w:rFonts w:ascii="Times New Roman" w:cs="Times New Roman" w:eastAsia="Times New Roman" w:hAnsi="Times New Roman"/>
          <w:sz w:val="18"/>
          <w:szCs w:val="18"/>
          <w:color w:val="auto"/>
        </w:rPr>
        <w:t>By way of example regarding foreign laws and regulations with respect to data privacy and security, the GDPR went into effect in the European Union in May 2018 and introduces strict requirements for processing the personal data of EU data subjects. Companies that must comply with the GDPR face increased compliance obligations and risk, including more robust regulatory enforcement of data protection requirements and potential fines for noncompliance of up to €20 million or 4% of the annual global revenue of the noncompliant company, whichever is greater. In addition, further to the U.K.’s exit from the EU on January 31, 2020, the GDPR ceased to apply in the U.K. at the end of the transition period on December 31, 2020. However, as of January 1, 2021, the U.K.’s European Union (Withdrawal) Act 2018 incorporated the U.K. GDPR into U.K. law.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w:t>
      </w:r>
    </w:p>
    <w:p>
      <w:pPr>
        <w:spacing w:after="0" w:line="172" w:lineRule="exact"/>
        <w:rPr>
          <w:sz w:val="20"/>
          <w:szCs w:val="20"/>
          <w:color w:val="auto"/>
        </w:rPr>
      </w:pPr>
    </w:p>
    <w:p>
      <w:pPr>
        <w:ind w:right="40" w:firstLine="540"/>
        <w:spacing w:after="0" w:line="243" w:lineRule="auto"/>
        <w:rPr>
          <w:sz w:val="20"/>
          <w:szCs w:val="20"/>
          <w:color w:val="auto"/>
        </w:rPr>
      </w:pPr>
      <w:r>
        <w:rPr>
          <w:rFonts w:ascii="Times New Roman" w:cs="Times New Roman" w:eastAsia="Times New Roman" w:hAnsi="Times New Roman"/>
          <w:sz w:val="18"/>
          <w:szCs w:val="18"/>
          <w:color w:val="auto"/>
        </w:rPr>
        <w:t>To enable the transfer of personal data outside of the EEA or the UK, adequate safeguards must be implemented in compliance with European and UK data protection laws. On June 4, 2021, the EC issued new forms of standard contractual clauses for data transfers from controllers or processors in the EU/EEA (or otherwise subject to the GDPR) to controllers or processors established outside the EU/EEA (and not subject to the GDPR). The new standard contractual clauses replace the standard contractual clauses that were adopted previously under the EU Data Protection Directive. The Information Commissioner’s Office, or ICO, has recently introduced new mechanisms for international transfers of personal data originating from the U.K. (an International Data Transfer Agreement, or IDTA, along with a separate addendum to the EU SCCs), which are in force as of March 21, 2022, to replace the old form EU SCCs for U.K. transfers. The new IDTA or the U.K. addendum must be used for any new contract entered into as of September 21, 2022 and implemented in existing contracts that incorporate the prior version of the SCCs by March 21, 2024. Implementing these new safeguards will require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6" w:name="page77"/>
    <w:bookmarkEnd w:id="76"/>
    <w:p>
      <w:pPr>
        <w:ind w:right="420"/>
        <w:spacing w:after="0" w:line="258" w:lineRule="auto"/>
        <w:rPr>
          <w:sz w:val="20"/>
          <w:szCs w:val="20"/>
          <w:color w:val="auto"/>
        </w:rPr>
      </w:pPr>
      <w:r>
        <w:rPr>
          <w:rFonts w:ascii="Times New Roman" w:cs="Times New Roman" w:eastAsia="Times New Roman" w:hAnsi="Times New Roman"/>
          <w:sz w:val="18"/>
          <w:szCs w:val="18"/>
          <w:color w:val="auto"/>
        </w:rPr>
        <w:t>significant effort and cost. These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w:t>
      </w:r>
    </w:p>
    <w:p>
      <w:pPr>
        <w:spacing w:after="0" w:line="169" w:lineRule="exact"/>
        <w:rPr>
          <w:sz w:val="20"/>
          <w:szCs w:val="20"/>
          <w:color w:val="auto"/>
        </w:rPr>
      </w:pPr>
    </w:p>
    <w:p>
      <w:pPr>
        <w:ind w:firstLine="315"/>
        <w:spacing w:after="0" w:line="250" w:lineRule="auto"/>
        <w:rPr>
          <w:sz w:val="20"/>
          <w:szCs w:val="20"/>
          <w:color w:val="auto"/>
        </w:rPr>
      </w:pPr>
      <w:r>
        <w:rPr>
          <w:rFonts w:ascii="Times New Roman" w:cs="Times New Roman" w:eastAsia="Times New Roman" w:hAnsi="Times New Roman"/>
          <w:sz w:val="18"/>
          <w:szCs w:val="18"/>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pacing w:after="0" w:line="190" w:lineRule="exact"/>
        <w:rPr>
          <w:sz w:val="20"/>
          <w:szCs w:val="20"/>
          <w:color w:val="auto"/>
        </w:rPr>
      </w:pPr>
    </w:p>
    <w:p>
      <w:pPr>
        <w:ind w:right="120" w:firstLine="576"/>
        <w:spacing w:after="0" w:line="242" w:lineRule="auto"/>
        <w:rPr>
          <w:sz w:val="20"/>
          <w:szCs w:val="20"/>
          <w:color w:val="auto"/>
        </w:rPr>
      </w:pPr>
      <w:r>
        <w:rPr>
          <w:rFonts w:ascii="Times New Roman" w:cs="Times New Roman" w:eastAsia="Times New Roman" w:hAnsi="Times New Roman"/>
          <w:sz w:val="18"/>
          <w:szCs w:val="18"/>
          <w:color w:val="auto"/>
        </w:rPr>
        <w:t>If we or third-party CMOs,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our CRO operating our trials, or our potential collaborators obtain information, as well as the providers who share this information with us, may contractually limit our ability to use and disclose the information. Claims that we or such third-party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304"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0" w:lineRule="exact"/>
        <w:rPr>
          <w:sz w:val="20"/>
          <w:szCs w:val="20"/>
          <w:color w:val="auto"/>
        </w:rPr>
      </w:pPr>
    </w:p>
    <w:p>
      <w:pPr>
        <w:ind w:right="160" w:firstLine="576"/>
        <w:spacing w:after="0" w:line="245" w:lineRule="auto"/>
        <w:rPr>
          <w:sz w:val="20"/>
          <w:szCs w:val="20"/>
          <w:color w:val="auto"/>
        </w:rPr>
      </w:pPr>
      <w:r>
        <w:rPr>
          <w:rFonts w:ascii="Times New Roman" w:cs="Times New Roman" w:eastAsia="Times New Roman" w:hAnsi="Times New Roman"/>
          <w:sz w:val="18"/>
          <w:szCs w:val="18"/>
          <w:color w:val="auto"/>
        </w:rPr>
        <w:t>As of March 31, 2022, we had 98 full-time employees. We expect to experience significant growth in the number of our employees and the scope of our operations, particularly as we function as a public company and in the areas of product development, regulatory affairs and, if any of our product candidates receives regulatory approval, sales, medical affairs,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planned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41" w:lineRule="exact"/>
        <w:rPr>
          <w:sz w:val="20"/>
          <w:szCs w:val="20"/>
          <w:color w:val="auto"/>
        </w:rPr>
      </w:pPr>
    </w:p>
    <w:p>
      <w:pPr>
        <w:ind w:right="100" w:firstLine="576"/>
        <w:spacing w:after="0" w:line="244"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7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own a significant percentage of our stock and will be able to exert significant control over matters subject to stockholder approval.</w:t>
      </w:r>
    </w:p>
    <w:p>
      <w:pPr>
        <w:spacing w:after="0" w:line="50" w:lineRule="exact"/>
        <w:rPr>
          <w:sz w:val="20"/>
          <w:szCs w:val="20"/>
          <w:color w:val="auto"/>
        </w:rPr>
      </w:pPr>
    </w:p>
    <w:p>
      <w:pPr>
        <w:ind w:right="40" w:firstLine="576"/>
        <w:spacing w:after="0" w:line="246" w:lineRule="auto"/>
        <w:rPr>
          <w:sz w:val="20"/>
          <w:szCs w:val="20"/>
          <w:color w:val="auto"/>
        </w:rPr>
      </w:pPr>
      <w:r>
        <w:rPr>
          <w:rFonts w:ascii="Times New Roman" w:cs="Times New Roman" w:eastAsia="Times New Roman" w:hAnsi="Times New Roman"/>
          <w:sz w:val="18"/>
          <w:szCs w:val="18"/>
          <w:color w:val="auto"/>
        </w:rPr>
        <w:t>Based on our common stock outstanding as of March 31, 2022, our executive officers, directors and their affiliates and our principal stockholders beneficially held, in the aggregate, approximately 40%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These stockholders may have interests, with respect to their common stock, that are different from those of other investors and the concentration of voting power among these stockholders may have an adverse effect on the price of our common stock. In addition, this concentration of ownership might adversely affect the market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77" w:name="page78"/>
    <w:bookmarkEnd w:id="77"/>
    <w:p>
      <w:pPr>
        <w:ind w:right="100" w:firstLine="576"/>
        <w:spacing w:after="0" w:line="244" w:lineRule="auto"/>
        <w:rPr>
          <w:sz w:val="20"/>
          <w:szCs w:val="20"/>
          <w:color w:val="auto"/>
        </w:rPr>
      </w:pPr>
      <w:r>
        <w:rPr>
          <w:rFonts w:ascii="Times New Roman" w:cs="Times New Roman" w:eastAsia="Times New Roman" w:hAnsi="Times New Roman"/>
          <w:sz w:val="18"/>
          <w:szCs w:val="18"/>
          <w:color w:val="auto"/>
        </w:rPr>
        <w:t>Under Sections 382 and 383 of the Internal Revenue Code, as amended, or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 We have experienced such ownership changes in the past, and we may experience ownership changes in the future as a result of shifts in our stock ownership, some of which are outside our control. The Company has performed an analysis of ownership changes through December 31, 2021, and determined that on February 6, 2017 and August 17, 2020, ownership changes had occurred. Based on this analysis, the Company’s ability to use its pre-change tax attributes to offset federal and state taxable income are subject to annual limitations and a portion of the attributes generated prior to February 6, 2017, will expire unutilized, which could potentially result in an increased future tax liability. The Company has adjusted its deferred tax assets and valuation allowance balance for the affected tax attribute carryforwards to reflect the expiration of the attributes.</w:t>
      </w:r>
    </w:p>
    <w:p>
      <w:pPr>
        <w:spacing w:after="0" w:line="77"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8"/>
          <w:szCs w:val="18"/>
          <w:color w:val="auto"/>
        </w:rPr>
        <w:t>Federal net operating loss carryforwards generated in taxable years beginning after December 31, 2017 will not be subject to expiration. However, any such net operating loss carryforwards may only offset 80% of our annual taxable income in taxable years beginning after December 31, 2020. There is also a risk that due to regulatory changes, such as suspensions on the use of net operating loss carryforwards or other unforeseen reasons, our existing net operating loss carryforwards could expire or otherwise be unavailable to offset future income tax liabilities, including for state tax purposes. In future years, if and when a net deferred tax asset is recognized related to our net operating loss carryforwards, the changes in the carryforward/carryback periods as well as the new limitation on use of net operating loss carryforwards may significantly impact our valuation allowance assessments for net operating loss carryforwards. For these reasons, we may not be able to utilize some portion of our net operating loss carryforwards, none of which are currently reflected on our balance sheet, even if we attain profitability.</w:t>
      </w:r>
    </w:p>
    <w:p>
      <w:pPr>
        <w:spacing w:after="0" w:line="304" w:lineRule="exact"/>
        <w:rPr>
          <w:sz w:val="20"/>
          <w:szCs w:val="20"/>
          <w:color w:val="auto"/>
        </w:rPr>
      </w:pPr>
    </w:p>
    <w:p>
      <w:pPr>
        <w:ind w:right="8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0" w:lineRule="exact"/>
        <w:rPr>
          <w:sz w:val="20"/>
          <w:szCs w:val="20"/>
          <w:color w:val="auto"/>
        </w:rPr>
      </w:pPr>
    </w:p>
    <w:p>
      <w:pPr>
        <w:ind w:right="300" w:firstLine="584"/>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40" w:lineRule="exact"/>
        <w:rPr>
          <w:sz w:val="20"/>
          <w:szCs w:val="20"/>
          <w:color w:val="auto"/>
        </w:rPr>
      </w:pPr>
    </w:p>
    <w:p>
      <w:pPr>
        <w:ind w:right="380" w:firstLine="230"/>
        <w:spacing w:after="0" w:line="242" w:lineRule="auto"/>
        <w:rPr>
          <w:sz w:val="20"/>
          <w:szCs w:val="20"/>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 a prohibition on stockholder action through written consent, which requires that all stockholder actions be taken at a meeting of our stockholders; a requirement that special meetings of the stockholders may be called only by the board of directors acting pursuant to a resolution approved by the affirmative vote of a majority of the directors then in office, and special meetings of stockholders may not be called by any other person or persons; advance notice requirements for stockholder proposals and nominations for election to our board of directors;</w:t>
      </w:r>
    </w:p>
    <w:p>
      <w:pPr>
        <w:spacing w:after="0" w:line="2" w:lineRule="exact"/>
        <w:rPr>
          <w:sz w:val="20"/>
          <w:szCs w:val="20"/>
          <w:color w:val="auto"/>
        </w:rPr>
      </w:pPr>
    </w:p>
    <w:p>
      <w:pPr>
        <w:ind w:right="40" w:firstLine="230"/>
        <w:spacing w:after="0"/>
        <w:rPr>
          <w:sz w:val="20"/>
          <w:szCs w:val="20"/>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then, in addition to any other vote required by law, only upon the approval of not less than 66 2/3% of all outstanding shares of our capital stock then entitled to vote in the election of directors;</w:t>
      </w:r>
    </w:p>
    <w:p>
      <w:pPr>
        <w:ind w:right="560" w:firstLine="230"/>
        <w:spacing w:after="0" w:line="242" w:lineRule="auto"/>
        <w:rPr>
          <w:sz w:val="20"/>
          <w:szCs w:val="20"/>
          <w:color w:val="auto"/>
        </w:rPr>
      </w:pPr>
      <w:r>
        <w:rPr>
          <w:rFonts w:ascii="Times New Roman" w:cs="Times New Roman" w:eastAsia="Times New Roman" w:hAnsi="Times New Roman"/>
          <w:sz w:val="18"/>
          <w:szCs w:val="18"/>
          <w:color w:val="auto"/>
        </w:rPr>
        <w:t>supermajority voting requirements to amend our bylaws by stockholder action (unless our board recommends that our stockholders approve such amendment(s)) and to amend specific provisions of our certificate of incorporation; and</w:t>
      </w:r>
    </w:p>
    <w:p>
      <w:pPr>
        <w:spacing w:after="0" w:line="1" w:lineRule="exact"/>
        <w:rPr>
          <w:sz w:val="20"/>
          <w:szCs w:val="20"/>
          <w:color w:val="auto"/>
        </w:rPr>
      </w:pPr>
    </w:p>
    <w:p>
      <w:pPr>
        <w:ind w:right="560" w:firstLine="230"/>
        <w:spacing w:after="0" w:line="243" w:lineRule="auto"/>
        <w:rPr>
          <w:sz w:val="20"/>
          <w:szCs w:val="20"/>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which preferred stock may include rights superior to the rights of the holders of common stock.</w:t>
      </w:r>
    </w:p>
    <w:p>
      <w:pPr>
        <w:spacing w:after="0" w:line="195" w:lineRule="exact"/>
        <w:rPr>
          <w:sz w:val="20"/>
          <w:szCs w:val="20"/>
          <w:color w:val="auto"/>
        </w:rPr>
      </w:pPr>
    </w:p>
    <w:p>
      <w:pPr>
        <w:ind w:right="60" w:firstLine="576"/>
        <w:spacing w:after="0" w:line="246" w:lineRule="auto"/>
        <w:rPr>
          <w:sz w:val="20"/>
          <w:szCs w:val="20"/>
          <w:color w:val="auto"/>
        </w:rPr>
      </w:pPr>
      <w:r>
        <w:rPr>
          <w:rFonts w:ascii="Times New Roman" w:cs="Times New Roman" w:eastAsia="Times New Roman" w:hAnsi="Times New Roman"/>
          <w:sz w:val="18"/>
          <w:szCs w:val="18"/>
          <w:color w:val="auto"/>
        </w:rPr>
        <w:t>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8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specific courts as the exclusive forum for certain litigation that may be initiated by our stockholders, which could limit our stockholders’ ability to obtain a favorable judicial forum for disputes with us.</w:t>
      </w:r>
    </w:p>
    <w:p>
      <w:pPr>
        <w:spacing w:after="0" w:line="37" w:lineRule="exact"/>
        <w:rPr>
          <w:sz w:val="20"/>
          <w:szCs w:val="20"/>
          <w:color w:val="auto"/>
        </w:rPr>
      </w:pPr>
    </w:p>
    <w:p>
      <w:pPr>
        <w:ind w:right="160" w:firstLine="576"/>
        <w:spacing w:after="0" w:line="266" w:lineRule="auto"/>
        <w:rPr>
          <w:sz w:val="20"/>
          <w:szCs w:val="20"/>
          <w:color w:val="auto"/>
        </w:rPr>
      </w:pPr>
      <w:r>
        <w:rPr>
          <w:rFonts w:ascii="Times New Roman" w:cs="Times New Roman" w:eastAsia="Times New Roman" w:hAnsi="Times New Roman"/>
          <w:sz w:val="18"/>
          <w:szCs w:val="18"/>
          <w:color w:val="auto"/>
        </w:rPr>
        <w:t>Pursuant to our bylaws, unless we consent in writing to the selection of an alternative forum, the Court of Chancery of the State of Delaware shall be the sole and exclusive forum for any state law claims for (i) any derivative action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8" w:name="page79"/>
    <w:bookmarkEnd w:id="78"/>
    <w:p>
      <w:pPr>
        <w:ind w:right="40"/>
        <w:spacing w:after="0" w:line="243" w:lineRule="auto"/>
        <w:rPr>
          <w:sz w:val="20"/>
          <w:szCs w:val="20"/>
          <w:color w:val="auto"/>
        </w:rPr>
      </w:pPr>
      <w:r>
        <w:rPr>
          <w:rFonts w:ascii="Times New Roman" w:cs="Times New Roman" w:eastAsia="Times New Roman" w:hAnsi="Times New Roman"/>
          <w:sz w:val="18"/>
          <w:szCs w:val="18"/>
          <w:color w:val="auto"/>
        </w:rPr>
        <w:t>proceeding brought on our behalf, (ii) any action asserting a claim of breach of a fiduciary duty owed by any of our directors, officers, or other employees to us or our stockholders, (iii) any action asserting a claim arising pursuant to any provision of the General Corporation Law of the State of Delaware, or the DGCL, or our certificate of incorporation or bylaws (including the interpretation, validity or enforceability thereof), or (iv) any action asserting a claim governed by the internal affairs doctrine. We refer to the foregoing provision as the Delaware Forum Provision. The Delaware Forum Provision will not apply to any causes of action arising under the Securities Act or the Exchange Act.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6" w:lineRule="exact"/>
        <w:rPr>
          <w:sz w:val="20"/>
          <w:szCs w:val="20"/>
          <w:color w:val="auto"/>
        </w:rPr>
      </w:pPr>
    </w:p>
    <w:p>
      <w:pPr>
        <w:ind w:right="80" w:firstLine="576"/>
        <w:spacing w:after="0" w:line="243"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While the Delaware Supreme Court and courts in other states have upheld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us and/or our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303"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0" w:lineRule="exact"/>
        <w:rPr>
          <w:sz w:val="20"/>
          <w:szCs w:val="20"/>
          <w:color w:val="auto"/>
        </w:rPr>
      </w:pPr>
    </w:p>
    <w:p>
      <w:pPr>
        <w:ind w:right="80" w:firstLine="576"/>
        <w:spacing w:after="0" w:line="243"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and representatives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have, and we expect we will continue to, engage third parties for clinical trials and/or to obtain necessary permits, licenses, patent registrations, and other regulatory approvals and we can be held liable for the corrupt or other illegal activities of our personnel, agents, representatives or partners, even if we do not explicitly authorize or have prior knowledge of such activities.</w:t>
      </w:r>
    </w:p>
    <w:p>
      <w:pPr>
        <w:spacing w:after="0" w:line="29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37"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9" w:name="page80"/>
    <w:bookmarkEnd w:id="79"/>
    <w:p>
      <w:pPr>
        <w:spacing w:after="0" w:line="245" w:lineRule="auto"/>
        <w:rPr>
          <w:sz w:val="20"/>
          <w:szCs w:val="20"/>
          <w:color w:val="auto"/>
        </w:rPr>
      </w:pPr>
      <w:r>
        <w:rPr>
          <w:rFonts w:ascii="Times New Roman" w:cs="Times New Roman" w:eastAsia="Times New Roman" w:hAnsi="Times New Roman"/>
          <w:sz w:val="18"/>
          <w:szCs w:val="18"/>
          <w:color w:val="auto"/>
        </w:rPr>
        <w:t>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imposition of a monitor, possible exclusion from participation in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99"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0" w:lineRule="exact"/>
        <w:rPr>
          <w:sz w:val="20"/>
          <w:szCs w:val="20"/>
          <w:color w:val="auto"/>
        </w:rPr>
      </w:pPr>
    </w:p>
    <w:p>
      <w:pPr>
        <w:ind w:right="140" w:firstLine="576"/>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273"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purchasers of our common stock.</w:t>
      </w:r>
    </w:p>
    <w:p>
      <w:pPr>
        <w:spacing w:after="0" w:line="63" w:lineRule="exact"/>
        <w:rPr>
          <w:sz w:val="20"/>
          <w:szCs w:val="20"/>
          <w:color w:val="auto"/>
        </w:rPr>
      </w:pPr>
    </w:p>
    <w:p>
      <w:pPr>
        <w:ind w:right="220" w:firstLine="576"/>
        <w:spacing w:after="0" w:line="250" w:lineRule="auto"/>
        <w:rPr>
          <w:sz w:val="20"/>
          <w:szCs w:val="20"/>
          <w:color w:val="auto"/>
        </w:rPr>
      </w:pPr>
      <w:r>
        <w:rPr>
          <w:rFonts w:ascii="Times New Roman" w:cs="Times New Roman" w:eastAsia="Times New Roman" w:hAnsi="Times New Roman"/>
          <w:sz w:val="18"/>
          <w:szCs w:val="18"/>
          <w:color w:val="auto"/>
        </w:rPr>
        <w:t>Our stock price has been and is likely to continue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The market price for our common stock may be influenced by many factors, including: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competitive products or technologies;</w:t>
      </w:r>
    </w:p>
    <w:p>
      <w:pPr>
        <w:spacing w:after="0" w:line="15" w:lineRule="exact"/>
        <w:rPr>
          <w:sz w:val="20"/>
          <w:szCs w:val="20"/>
          <w:color w:val="auto"/>
        </w:rPr>
      </w:pPr>
    </w:p>
    <w:p>
      <w:pPr>
        <w:ind w:left="240" w:right="3540"/>
        <w:spacing w:after="0" w:line="241" w:lineRule="auto"/>
        <w:rPr>
          <w:sz w:val="20"/>
          <w:szCs w:val="20"/>
          <w:color w:val="auto"/>
        </w:rPr>
      </w:pPr>
      <w:r>
        <w:rPr>
          <w:rFonts w:ascii="Times New Roman" w:cs="Times New Roman" w:eastAsia="Times New Roman" w:hAnsi="Times New Roman"/>
          <w:sz w:val="18"/>
          <w:szCs w:val="18"/>
          <w:color w:val="auto"/>
        </w:rPr>
        <w:t>advancement of our preclinical programs, such as our targeted oncology programs, into clinical testing; results of clinical trials of our product candidates or those of our competitors;</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regulatory or legal developments in the United States and other countries;</w:t>
      </w:r>
    </w:p>
    <w:p>
      <w:pPr>
        <w:ind w:left="240" w:right="3860"/>
        <w:spacing w:after="0" w:line="241" w:lineRule="auto"/>
        <w:rPr>
          <w:sz w:val="20"/>
          <w:szCs w:val="20"/>
          <w:color w:val="auto"/>
        </w:rPr>
      </w:pPr>
      <w:r>
        <w:rPr>
          <w:rFonts w:ascii="Times New Roman" w:cs="Times New Roman" w:eastAsia="Times New Roman" w:hAnsi="Times New Roman"/>
          <w:sz w:val="18"/>
          <w:szCs w:val="18"/>
          <w:color w:val="auto"/>
        </w:rPr>
        <w:t>developments or disputes concerning patent applications, issued patents or other proprietary rights; the recruitment or departure of key personnel;</w:t>
      </w:r>
    </w:p>
    <w:p>
      <w:pPr>
        <w:spacing w:after="0" w:line="1" w:lineRule="exact"/>
        <w:rPr>
          <w:sz w:val="20"/>
          <w:szCs w:val="20"/>
          <w:color w:val="auto"/>
        </w:rPr>
      </w:pPr>
    </w:p>
    <w:p>
      <w:pPr>
        <w:ind w:left="240" w:right="1920"/>
        <w:spacing w:after="0" w:line="235" w:lineRule="auto"/>
        <w:rPr>
          <w:sz w:val="20"/>
          <w:szCs w:val="20"/>
          <w:color w:val="auto"/>
        </w:rPr>
      </w:pPr>
      <w:r>
        <w:rPr>
          <w:rFonts w:ascii="Times New Roman" w:cs="Times New Roman" w:eastAsia="Times New Roman" w:hAnsi="Times New Roman"/>
          <w:sz w:val="18"/>
          <w:szCs w:val="18"/>
          <w:color w:val="auto"/>
        </w:rPr>
        <w:t>the level of expenses related to any of our programs and product candidates or preclinical and clinical development programs; the results of our efforts to discover, develop, acquire or in-license additional product candidates or products;</w:t>
      </w:r>
    </w:p>
    <w:p>
      <w:pPr>
        <w:spacing w:after="0" w:line="1" w:lineRule="exact"/>
        <w:rPr>
          <w:sz w:val="20"/>
          <w:szCs w:val="20"/>
          <w:color w:val="auto"/>
        </w:rPr>
      </w:pPr>
    </w:p>
    <w:p>
      <w:pPr>
        <w:ind w:left="240" w:right="1560"/>
        <w:spacing w:after="0" w:line="241" w:lineRule="auto"/>
        <w:rPr>
          <w:sz w:val="20"/>
          <w:szCs w:val="20"/>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 variations in our financial results or those of companies that are perceived to be similar to us;</w:t>
      </w:r>
    </w:p>
    <w:p>
      <w:pPr>
        <w:spacing w:after="0" w:line="1" w:lineRule="exact"/>
        <w:rPr>
          <w:sz w:val="20"/>
          <w:szCs w:val="20"/>
          <w:color w:val="auto"/>
        </w:rPr>
      </w:pPr>
    </w:p>
    <w:p>
      <w:pPr>
        <w:ind w:left="240" w:right="4020"/>
        <w:spacing w:after="0" w:line="235" w:lineRule="auto"/>
        <w:rPr>
          <w:sz w:val="20"/>
          <w:szCs w:val="20"/>
          <w:color w:val="auto"/>
        </w:rPr>
      </w:pPr>
      <w:r>
        <w:rPr>
          <w:rFonts w:ascii="Times New Roman" w:cs="Times New Roman" w:eastAsia="Times New Roman" w:hAnsi="Times New Roman"/>
          <w:sz w:val="18"/>
          <w:szCs w:val="18"/>
          <w:color w:val="auto"/>
        </w:rPr>
        <w:t>changes in the structure of healthcare payment systems and third-party reimbursement decisions; market conditions in the pharmaceutical and biotechnology sectors;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trading volume;</w:t>
      </w:r>
    </w:p>
    <w:p>
      <w:pPr>
        <w:spacing w:after="0" w:line="7" w:lineRule="exact"/>
        <w:rPr>
          <w:sz w:val="20"/>
          <w:szCs w:val="20"/>
          <w:color w:val="auto"/>
        </w:rPr>
      </w:pPr>
    </w:p>
    <w:p>
      <w:pPr>
        <w:ind w:left="240" w:right="4920"/>
        <w:spacing w:after="0" w:line="235" w:lineRule="auto"/>
        <w:rPr>
          <w:sz w:val="20"/>
          <w:szCs w:val="20"/>
          <w:color w:val="auto"/>
        </w:rPr>
      </w:pPr>
      <w:r>
        <w:rPr>
          <w:rFonts w:ascii="Times New Roman" w:cs="Times New Roman" w:eastAsia="Times New Roman" w:hAnsi="Times New Roman"/>
          <w:sz w:val="18"/>
          <w:szCs w:val="18"/>
          <w:color w:val="auto"/>
        </w:rPr>
        <w:t>future sales of common stock by our officers, directors and significant stockholders; general economic, industry and market conditions;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factors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188"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63"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7"/>
          <w:szCs w:val="17"/>
          <w:color w:val="auto"/>
        </w:rPr>
        <w:t>As a public company, and particularly after we are no longer an “emerging growth company,” we will incur significant legal, accounting and other expenses that we did not incur as a private company. In addition, the Sarbanes-Oxley Act and rules subsequently implemented by the SEC and The Nasdaq Global Market, or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these rules and regulations have made it more expensive for us to obtain director and officer liability insurance.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80" w:name="page81"/>
    <w:bookmarkEnd w:id="80"/>
    <w:p>
      <w:pPr>
        <w:ind w:firstLine="576"/>
        <w:spacing w:after="0" w:line="258" w:lineRule="auto"/>
        <w:rPr>
          <w:sz w:val="20"/>
          <w:szCs w:val="20"/>
          <w:color w:val="auto"/>
        </w:rPr>
      </w:pPr>
      <w:r>
        <w:rPr>
          <w:rFonts w:ascii="Times New Roman" w:cs="Times New Roman" w:eastAsia="Times New Roman" w:hAnsi="Times New Roman"/>
          <w:sz w:val="17"/>
          <w:szCs w:val="17"/>
          <w:color w:val="auto"/>
        </w:rPr>
        <w:t>Pursuant to Section 404 of the Sarbanes-Oxley Act,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Nasdaq.</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08"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23" w:lineRule="exact"/>
        <w:rPr>
          <w:sz w:val="20"/>
          <w:szCs w:val="20"/>
          <w:color w:val="auto"/>
        </w:rPr>
      </w:pPr>
    </w:p>
    <w:p>
      <w:pPr>
        <w:ind w:right="200" w:firstLine="4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50" w:lineRule="exact"/>
        <w:rPr>
          <w:sz w:val="20"/>
          <w:szCs w:val="20"/>
          <w:color w:val="auto"/>
        </w:rPr>
      </w:pPr>
    </w:p>
    <w:p>
      <w:pPr>
        <w:ind w:right="20" w:firstLine="576"/>
        <w:spacing w:after="0" w:line="247"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control these analysts. If one or more of the analysts covering our business downgrade their evaluations of our stock, the price target for our stock or publish inaccurate or unfavorable evaluations of our company or our stock, the price of our stock could decline. If one or more of these analysts cease to cover our stock or fail to publish reports covering our company regularly, we could lose visibility in the market for our stock, which in turn could cause our stock price to decline. In addition, if we are the subject of negative publicity, whether from an analyst, academic, industry group or the general or financial press, our stock price may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08" w:lineRule="exact"/>
        <w:rPr>
          <w:sz w:val="20"/>
          <w:szCs w:val="20"/>
          <w:color w:val="auto"/>
        </w:rPr>
      </w:pPr>
    </w:p>
    <w:p>
      <w:pPr>
        <w:ind w:right="180" w:firstLine="576"/>
        <w:spacing w:after="0" w:line="250" w:lineRule="auto"/>
        <w:rPr>
          <w:sz w:val="20"/>
          <w:szCs w:val="20"/>
          <w:color w:val="auto"/>
        </w:rPr>
      </w:pPr>
      <w:r>
        <w:rPr>
          <w:rFonts w:ascii="Times New Roman" w:cs="Times New Roman" w:eastAsia="Times New Roman" w:hAnsi="Times New Roman"/>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could adversely affect our business and financial condition.</w:t>
      </w:r>
    </w:p>
    <w:p>
      <w:pPr>
        <w:spacing w:after="0" w:line="121" w:lineRule="exact"/>
        <w:rPr>
          <w:sz w:val="20"/>
          <w:szCs w:val="20"/>
          <w:color w:val="auto"/>
        </w:rPr>
      </w:pPr>
    </w:p>
    <w:p>
      <w:pPr>
        <w:ind w:right="60" w:firstLine="576"/>
        <w:spacing w:after="0" w:line="244" w:lineRule="auto"/>
        <w:rPr>
          <w:sz w:val="20"/>
          <w:szCs w:val="20"/>
          <w:color w:val="auto"/>
        </w:rPr>
      </w:pPr>
      <w:r>
        <w:rPr>
          <w:rFonts w:ascii="Times New Roman" w:cs="Times New Roman" w:eastAsia="Times New Roman" w:hAnsi="Times New Roman"/>
          <w:sz w:val="18"/>
          <w:szCs w:val="18"/>
          <w:color w:val="auto"/>
        </w:rPr>
        <w:t>The tax regimes we are subject to or operate under are unsettled and may be subject to significant change. Changes in tax laws (including in response to the COVID-19 pandemic) or tax rulings, or changes in interpretations of existing laws, could cause us to be subject to additional income-based taxes and non- 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if approved. As we expand the scale of our business activities, any changes in the U.S. taxation of such activities may increase our effective tax rate and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81" w:name="page82"/>
    <w:bookmarkEnd w:id="81"/>
    <w:p>
      <w:pPr>
        <w:ind w:right="100"/>
        <w:spacing w:after="0" w:line="250" w:lineRule="auto"/>
        <w:rPr>
          <w:sz w:val="20"/>
          <w:szCs w:val="20"/>
          <w:color w:val="auto"/>
        </w:rPr>
      </w:pPr>
      <w:r>
        <w:rPr>
          <w:rFonts w:ascii="Times New Roman" w:cs="Times New Roman" w:eastAsia="Times New Roman" w:hAnsi="Times New Roman"/>
          <w:sz w:val="18"/>
          <w:szCs w:val="18"/>
          <w:color w:val="auto"/>
        </w:rPr>
        <w:t>harm our business, financial condition, and results of operations. For example, the change in administration and control of Congress in the United States following the 2020 elections may result in additional U.S. tax law changes that could have a material impact on our future effective tax rate, which could have a negative impact on our results of operations in the future. Complying with these tax laws is complex and the statutes and regulations can be subject to varying interpretation which can make compliance challenging.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08" w:lineRule="exact"/>
        <w:rPr>
          <w:sz w:val="20"/>
          <w:szCs w:val="20"/>
          <w:color w:val="auto"/>
        </w:rPr>
      </w:pPr>
    </w:p>
    <w:p>
      <w:pPr>
        <w:ind w:right="20" w:firstLine="576"/>
        <w:spacing w:after="0" w:line="24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current COVID-19 pandemic has caused significant volatility and uncertainty in U.S. and international markets. A severe or prolonged economic downturn could result in a variety of risks to our business, including, weakened demand for our product candidates and our ability to raise additional capital when needed on acceptable terms, if at all. In addition, our business may be generally exposed to the impact of political or civil unrest or military action, including the current conflict between Russia and Ukraine (where a vendor that performs chemistry related work on our pre-clinical product candidates is located) and, while we do not otherwise have direct exposure to Ukraine, our business and results of operations may be impacted based upon the events taking place there.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you may not be able to resell your shares at the price you paid.</w:t>
      </w:r>
    </w:p>
    <w:p>
      <w:pPr>
        <w:spacing w:after="0" w:line="108"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Although our common stock is listed on The Nasdaq Global Market, an active trading market for our shares may not be sustained. In the absence of an active trading market for our common stock, investors may be unable to sell their shares.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Item 701 of Regulation S-K was previously included in our Quarterly Report on Form 10-Q filed on November 9,</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our Initial Public Offering</w:t>
      </w:r>
    </w:p>
    <w:p>
      <w:pPr>
        <w:spacing w:after="0" w:line="200" w:lineRule="exact"/>
        <w:rPr>
          <w:sz w:val="20"/>
          <w:szCs w:val="20"/>
          <w:color w:val="auto"/>
        </w:rPr>
      </w:pPr>
    </w:p>
    <w:p>
      <w:pPr>
        <w:spacing w:after="0" w:line="23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Of the gross proceeds received from the Initial Public Offering, including an additional 2,175,000 shares of common stock to cover the over-allotments, $166.8 million was placed in a trust account. The net proceeds of the Initial Public Offering were applied to fund the Business Combination and related expenses.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6620" w:type="dxa"/>
            <w:vAlign w:val="bottom"/>
            <w:gridSpan w:val="7"/>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Non-Employee Director Compensation Policy</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4660" w:type="dxa"/>
            <w:vAlign w:val="bottom"/>
            <w:tcBorders>
              <w:top w:val="single" w:sz="8" w:color="0000FF"/>
            </w:tcBorders>
            <w:gridSpan w:val="4"/>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4620" w:type="dxa"/>
            <w:vAlign w:val="bottom"/>
            <w:tcBorders>
              <w:top w:val="single" w:sz="8" w:color="0000FF"/>
            </w:tcBorders>
            <w:gridSpan w:val="3"/>
          </w:tcPr>
          <w:p>
            <w:pPr>
              <w:spacing w:after="0"/>
              <w:rPr>
                <w:sz w:val="14"/>
                <w:szCs w:val="14"/>
                <w:color w:val="auto"/>
              </w:rPr>
            </w:pPr>
          </w:p>
        </w:tc>
        <w:tc>
          <w:tcPr>
            <w:tcW w:w="3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3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160" w:type="dxa"/>
            <w:vAlign w:val="bottom"/>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69"/>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4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5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9"/>
          </w:tcPr>
          <w:p>
            <w:pPr>
              <w:spacing w:after="0" w:line="177"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03"/>
        </w:trPr>
        <w:tc>
          <w:tcPr>
            <w:tcW w:w="11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02"/>
        </w:trPr>
        <w:tc>
          <w:tcPr>
            <w:tcW w:w="11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1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1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3"/>
        </w:trPr>
        <w:tc>
          <w:tcPr>
            <w:tcW w:w="11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6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auto"/>
              </w:rPr>
              <w:t>Cover Page Interactive Data File (formatted in as Inline XBRL with applicable taxonomy extension information contained in Exhibits</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32" w:lineRule="exact"/>
        <w:rPr>
          <w:sz w:val="20"/>
          <w:szCs w:val="20"/>
          <w:color w:val="auto"/>
        </w:rPr>
      </w:pPr>
    </w:p>
    <w:p>
      <w:pPr>
        <w:ind w:left="420" w:hanging="412"/>
        <w:spacing w:after="0"/>
        <w:tabs>
          <w:tab w:leader="none" w:pos="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6" w:lineRule="exact"/>
        <w:rPr>
          <w:sz w:val="20"/>
          <w:szCs w:val="20"/>
          <w:color w:val="auto"/>
        </w:rPr>
      </w:pPr>
    </w:p>
    <w:p>
      <w:pPr>
        <w:ind w:left="520" w:right="80" w:hanging="512"/>
        <w:spacing w:after="0" w:line="239" w:lineRule="auto"/>
        <w:tabs>
          <w:tab w:leader="none" w:pos="41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128905</wp:posOffset>
            </wp:positionV>
            <wp:extent cx="2603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3" w:name="page84"/>
    <w:bookmarkEnd w:id="83"/>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198" w:lineRule="exact"/>
        <w:rPr>
          <w:sz w:val="20"/>
          <w:szCs w:val="20"/>
          <w:color w:val="auto"/>
        </w:rPr>
      </w:pPr>
    </w:p>
    <w:p>
      <w:pPr>
        <w:ind w:left="20"/>
        <w:spacing w:after="0"/>
        <w:tabs>
          <w:tab w:leader="none" w:pos="5660" w:val="left"/>
          <w:tab w:leader="none" w:pos="6100" w:val="left"/>
        </w:tabs>
        <w:rPr>
          <w:sz w:val="20"/>
          <w:szCs w:val="20"/>
          <w:color w:val="auto"/>
        </w:rPr>
      </w:pPr>
      <w:r>
        <w:rPr>
          <w:rFonts w:ascii="Times New Roman" w:cs="Times New Roman" w:eastAsia="Times New Roman" w:hAnsi="Times New Roman"/>
          <w:sz w:val="18"/>
          <w:szCs w:val="18"/>
          <w:color w:val="auto"/>
        </w:rPr>
        <w:t>Dated: May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Barbara Weber, MD</w:t>
      </w:r>
    </w:p>
    <w:p>
      <w:pPr>
        <w:ind w:left="6120"/>
        <w:spacing w:after="0" w:line="234" w:lineRule="auto"/>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198" w:lineRule="exact"/>
        <w:rPr>
          <w:sz w:val="20"/>
          <w:szCs w:val="20"/>
          <w:color w:val="auto"/>
        </w:rPr>
      </w:pPr>
    </w:p>
    <w:p>
      <w:pPr>
        <w:ind w:left="568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Daniella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Daniella Beckman</w:t>
      </w:r>
    </w:p>
    <w:p>
      <w:pPr>
        <w:ind w:left="6120"/>
        <w:spacing w:after="0" w:line="234" w:lineRule="auto"/>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0" w:right="779" w:bottom="1440" w:gutter="0" w:footer="0" w:header="0"/>
        </w:sectPr>
      </w:pPr>
    </w:p>
    <w:bookmarkStart w:id="84" w:name="page85"/>
    <w:bookmarkEnd w:id="84"/>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TANGO THERAPEUTICS, INC.</w:t>
      </w:r>
    </w:p>
    <w:p>
      <w:pPr>
        <w:spacing w:after="0" w:line="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NON-EMPLOYEE DIRECTOR COMPENSATION POLICY</w:t>
      </w:r>
    </w:p>
    <w:p>
      <w:pPr>
        <w:spacing w:after="0" w:line="18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 xml:space="preserve">The purpose of this Non-Employee Director Compensation Policy (the “Policy”) of Tango Therapeutics, Inc. (the “Company”) is to provide a total compensation package that enables the Company to attract and retain, on a long-term basis, high-caliber directors who are not employees or officers of the Company or its subsidiaries (“Outside Directors”). </w:t>
      </w:r>
      <w:r>
        <w:rPr>
          <w:rFonts w:ascii="Times New Roman" w:cs="Times New Roman" w:eastAsia="Times New Roman" w:hAnsi="Times New Roman"/>
          <w:sz w:val="20"/>
          <w:szCs w:val="20"/>
          <w:color w:val="auto"/>
        </w:rPr>
        <w:t>This Policy will become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 xml:space="preserve">effective upon the Closing (as defined in the Agreement and Plan of Merger, dated as of April 13, 2021, by and among the Company (formerly known as BCTG Acquisition Corp.), BCTG Merger Sub Inc., and Tango Therapeutics, Inc.) (the “Effective Date”).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furtherance of the purpose stated above, all Outside Directors shall be paid compensation for services provided to the Company as set forth below: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Cash Retainers</w:t>
      </w:r>
    </w:p>
    <w:p>
      <w:pPr>
        <w:spacing w:after="0" w:line="224" w:lineRule="exact"/>
        <w:rPr>
          <w:sz w:val="20"/>
          <w:szCs w:val="20"/>
          <w:color w:val="auto"/>
        </w:rPr>
      </w:pPr>
    </w:p>
    <w:p>
      <w:pPr>
        <w:ind w:left="200" w:right="200"/>
        <w:spacing w:after="0" w:line="244" w:lineRule="auto"/>
        <w:rPr>
          <w:sz w:val="20"/>
          <w:szCs w:val="20"/>
          <w:color w:val="auto"/>
        </w:rPr>
      </w:pPr>
      <w:r>
        <w:rPr>
          <w:rFonts w:ascii="Times New Roman" w:cs="Times New Roman" w:eastAsia="Times New Roman" w:hAnsi="Times New Roman"/>
          <w:sz w:val="22"/>
          <w:szCs w:val="22"/>
          <w:u w:val="single" w:color="auto"/>
          <w:color w:val="auto"/>
        </w:rPr>
        <w:t>Annual Retainer for Board Membership</w:t>
      </w:r>
      <w:r>
        <w:rPr>
          <w:rFonts w:ascii="Times New Roman" w:cs="Times New Roman" w:eastAsia="Times New Roman" w:hAnsi="Times New Roman"/>
          <w:sz w:val="22"/>
          <w:szCs w:val="22"/>
          <w:color w:val="auto"/>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spacing w:after="0" w:line="150"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56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Additional Annual Retainer for Non-Executive Chair:</w:t>
            </w:r>
          </w:p>
        </w:tc>
        <w:tc>
          <w:tcPr>
            <w:tcW w:w="16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$30,000</w:t>
            </w:r>
          </w:p>
        </w:tc>
      </w:tr>
      <w:tr>
        <w:trPr>
          <w:trHeight w:val="20"/>
        </w:trPr>
        <w:tc>
          <w:tcPr>
            <w:tcW w:w="4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53"/>
        </w:trPr>
        <w:tc>
          <w:tcPr>
            <w:tcW w:w="56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Additional Annual Retainer for Lead Independent Director:</w:t>
            </w:r>
          </w:p>
        </w:tc>
        <w:tc>
          <w:tcPr>
            <w:tcW w:w="16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$15,000</w:t>
            </w:r>
          </w:p>
        </w:tc>
      </w:tr>
      <w:tr>
        <w:trPr>
          <w:trHeight w:val="439"/>
        </w:trPr>
        <w:tc>
          <w:tcPr>
            <w:tcW w:w="50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w w:val="99"/>
              </w:rPr>
              <w:t>Additional Annual Retainers for Committee Membership:</w:t>
            </w: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91"/>
        </w:trPr>
        <w:tc>
          <w:tcPr>
            <w:tcW w:w="4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Audit Committee Chair:</w:t>
            </w:r>
          </w:p>
        </w:tc>
        <w:tc>
          <w:tcPr>
            <w:tcW w:w="700" w:type="dxa"/>
            <w:vAlign w:val="bottom"/>
            <w:gridSpan w:val="2"/>
          </w:tcPr>
          <w:p>
            <w:pPr>
              <w:spacing w:after="0"/>
              <w:rPr>
                <w:sz w:val="24"/>
                <w:szCs w:val="24"/>
                <w:color w:val="auto"/>
              </w:rPr>
            </w:pPr>
          </w:p>
        </w:tc>
        <w:tc>
          <w:tcPr>
            <w:tcW w:w="16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$15,000</w:t>
            </w:r>
          </w:p>
        </w:tc>
      </w:tr>
      <w:tr>
        <w:trPr>
          <w:trHeight w:val="473"/>
        </w:trPr>
        <w:tc>
          <w:tcPr>
            <w:tcW w:w="56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Audit Committee member:</w:t>
            </w:r>
          </w:p>
        </w:tc>
        <w:tc>
          <w:tcPr>
            <w:tcW w:w="16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$7,500</w:t>
            </w:r>
          </w:p>
        </w:tc>
      </w:tr>
      <w:tr>
        <w:trPr>
          <w:trHeight w:val="459"/>
        </w:trPr>
        <w:tc>
          <w:tcPr>
            <w:tcW w:w="56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Compensation Committee Chair:</w:t>
            </w:r>
          </w:p>
        </w:tc>
        <w:tc>
          <w:tcPr>
            <w:tcW w:w="16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$10,000</w:t>
            </w:r>
          </w:p>
        </w:tc>
      </w:tr>
      <w:tr>
        <w:trPr>
          <w:trHeight w:val="473"/>
        </w:trPr>
        <w:tc>
          <w:tcPr>
            <w:tcW w:w="56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Compensation Committee member:</w:t>
            </w:r>
          </w:p>
        </w:tc>
        <w:tc>
          <w:tcPr>
            <w:tcW w:w="16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$5,000</w:t>
            </w:r>
          </w:p>
        </w:tc>
      </w:tr>
      <w:tr>
        <w:trPr>
          <w:trHeight w:val="459"/>
        </w:trPr>
        <w:tc>
          <w:tcPr>
            <w:tcW w:w="56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Nominating and Corporate Governance Committee Chair:</w:t>
            </w:r>
          </w:p>
        </w:tc>
        <w:tc>
          <w:tcPr>
            <w:tcW w:w="16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$8,000</w:t>
            </w:r>
          </w:p>
        </w:tc>
      </w:tr>
      <w:tr>
        <w:trPr>
          <w:trHeight w:val="459"/>
        </w:trPr>
        <w:tc>
          <w:tcPr>
            <w:tcW w:w="56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Nominating and Corporate Governance Committee member:</w:t>
            </w:r>
          </w:p>
        </w:tc>
        <w:tc>
          <w:tcPr>
            <w:tcW w:w="16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$4,000</w:t>
            </w:r>
          </w:p>
        </w:tc>
      </w:tr>
    </w:tbl>
    <w:p>
      <w:pPr>
        <w:spacing w:after="0" w:line="190" w:lineRule="exact"/>
        <w:rPr>
          <w:sz w:val="20"/>
          <w:szCs w:val="20"/>
          <w:color w:val="auto"/>
        </w:rPr>
      </w:pPr>
    </w:p>
    <w:p>
      <w:pPr>
        <w:ind w:left="200" w:right="620"/>
        <w:spacing w:after="0" w:line="258" w:lineRule="auto"/>
        <w:rPr>
          <w:sz w:val="20"/>
          <w:szCs w:val="20"/>
          <w:color w:val="auto"/>
        </w:rPr>
      </w:pPr>
      <w:r>
        <w:rPr>
          <w:rFonts w:ascii="Times New Roman" w:cs="Times New Roman" w:eastAsia="Times New Roman" w:hAnsi="Times New Roman"/>
          <w:sz w:val="22"/>
          <w:szCs w:val="22"/>
          <w:color w:val="auto"/>
        </w:rPr>
        <w:t>Chair and committee member retainers are in addition to retainers for members of the Board of Directors. No additional compensation will be paid for attending individual committee meetings of the Board of Directors.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Equity Retainers</w:t>
      </w:r>
    </w:p>
    <w:p>
      <w:pPr>
        <w:spacing w:after="0" w:line="210" w:lineRule="exact"/>
        <w:rPr>
          <w:sz w:val="20"/>
          <w:szCs w:val="20"/>
          <w:color w:val="auto"/>
        </w:rPr>
      </w:pPr>
    </w:p>
    <w:p>
      <w:pPr>
        <w:ind w:left="200" w:right="180"/>
        <w:spacing w:after="0" w:line="250" w:lineRule="auto"/>
        <w:rPr>
          <w:sz w:val="20"/>
          <w:szCs w:val="20"/>
          <w:color w:val="auto"/>
        </w:rPr>
      </w:pPr>
      <w:r>
        <w:rPr>
          <w:rFonts w:ascii="Times New Roman" w:cs="Times New Roman" w:eastAsia="Times New Roman" w:hAnsi="Times New Roman"/>
          <w:sz w:val="22"/>
          <w:szCs w:val="22"/>
          <w:u w:val="single" w:color="auto"/>
          <w:color w:val="auto"/>
        </w:rPr>
        <w:t>Initial Award</w:t>
      </w:r>
      <w:r>
        <w:rPr>
          <w:rFonts w:ascii="Times New Roman" w:cs="Times New Roman" w:eastAsia="Times New Roman" w:hAnsi="Times New Roman"/>
          <w:sz w:val="22"/>
          <w:szCs w:val="22"/>
          <w:color w:val="auto"/>
        </w:rPr>
        <w:t xml:space="preserve"> : An initial, one-time stock option award (the “Initial Award”) to purchase 80,000 shares will be granted to each new Outside Director upon his or her election to the Board of Directors, which shall vest in 36 substantially equal monthly installments over three years from</w:t>
      </w:r>
    </w:p>
    <w:p>
      <w:pPr>
        <w:spacing w:after="0" w:line="1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ACTIVE/110175159.5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4" w:right="399" w:bottom="1440" w:gutter="0" w:footer="0" w:header="0"/>
        </w:sectPr>
      </w:pPr>
    </w:p>
    <w:bookmarkStart w:id="85" w:name="page86"/>
    <w:bookmarkEnd w:id="85"/>
    <w:p>
      <w:pPr>
        <w:ind w:left="200" w:right="80"/>
        <w:spacing w:after="0" w:line="258" w:lineRule="auto"/>
        <w:rPr>
          <w:sz w:val="20"/>
          <w:szCs w:val="20"/>
          <w:color w:val="auto"/>
        </w:rPr>
      </w:pPr>
      <w:r>
        <w:rPr>
          <w:rFonts w:ascii="Times New Roman" w:cs="Times New Roman" w:eastAsia="Times New Roman" w:hAnsi="Times New Roman"/>
          <w:sz w:val="21"/>
          <w:szCs w:val="21"/>
          <w:color w:val="auto"/>
        </w:rPr>
        <w:t>the date of grant, provided, however, that all vesting shall cease if the director ceases to serve on the Board of Directors, unless the Board of Directors determines that the circumstances warrant continuation of vesting. The Initial Award shall expire not later than ten years from the date of grant, and shall have a per share exercise price equal to the Fair Market Value (as defined in the Company’s 2021 Stock Option and Incentive Plan) of the Company’s common stock on the date of grant. This Initial Award applies only to Outside Directors who are first elected to the Board of Directors subsequent to the Effective Date.</w:t>
      </w:r>
    </w:p>
    <w:p>
      <w:pPr>
        <w:spacing w:after="0" w:line="160" w:lineRule="exact"/>
        <w:rPr>
          <w:sz w:val="20"/>
          <w:szCs w:val="20"/>
          <w:color w:val="auto"/>
        </w:rPr>
      </w:pPr>
    </w:p>
    <w:p>
      <w:pPr>
        <w:ind w:left="200" w:right="20"/>
        <w:spacing w:after="0" w:line="238" w:lineRule="auto"/>
        <w:rPr>
          <w:sz w:val="20"/>
          <w:szCs w:val="20"/>
          <w:color w:val="auto"/>
        </w:rPr>
      </w:pPr>
      <w:r>
        <w:rPr>
          <w:rFonts w:ascii="Times New Roman" w:cs="Times New Roman" w:eastAsia="Times New Roman" w:hAnsi="Times New Roman"/>
          <w:sz w:val="22"/>
          <w:szCs w:val="22"/>
          <w:u w:val="single" w:color="auto"/>
          <w:color w:val="auto"/>
        </w:rPr>
        <w:t>Annual Award</w:t>
      </w:r>
      <w:r>
        <w:rPr>
          <w:rFonts w:ascii="Times New Roman" w:cs="Times New Roman" w:eastAsia="Times New Roman" w:hAnsi="Times New Roman"/>
          <w:sz w:val="22"/>
          <w:szCs w:val="22"/>
          <w:color w:val="auto"/>
        </w:rPr>
        <w:t>: On each date of each Annual Meeting of Stockholders of the Company following the Effective Date (the “Annual Meeting”), each continuing Outside Director, other than a director receiving an Initial Award, will receive an annual stock option award (the “Annual Award”) to purchase 40,000 shares; provided, however, that Annual Awards made to Outside Directors who were elected in the 12 months preceding the date of grant of such Annual Awards will be pro-rated on a monthly basis for time in service. The Annual Award shall vest in 12 substantially equal monthly installments over one year from the date of grant provided, however, that all vesting shall cease if the director ceases to serve on the Board of Directors, unless the Board of Directors determines that the circumstances warrant continuation of vesting. Such Annual Award shall expire no later than ten years from the date of grant, and shall have a per share exercise price equal to the Fair Market Value of the Company’s common stock on the date of grant.</w:t>
      </w:r>
    </w:p>
    <w:p>
      <w:pPr>
        <w:spacing w:after="0" w:line="199" w:lineRule="exact"/>
        <w:rPr>
          <w:sz w:val="20"/>
          <w:szCs w:val="20"/>
          <w:color w:val="auto"/>
        </w:rPr>
      </w:pPr>
    </w:p>
    <w:p>
      <w:pPr>
        <w:ind w:left="200" w:right="260"/>
        <w:spacing w:after="0" w:line="258" w:lineRule="auto"/>
        <w:rPr>
          <w:sz w:val="20"/>
          <w:szCs w:val="20"/>
          <w:color w:val="auto"/>
        </w:rPr>
      </w:pPr>
      <w:r>
        <w:rPr>
          <w:rFonts w:ascii="Times New Roman" w:cs="Times New Roman" w:eastAsia="Times New Roman" w:hAnsi="Times New Roman"/>
          <w:sz w:val="22"/>
          <w:szCs w:val="22"/>
          <w:u w:val="single" w:color="auto"/>
          <w:color w:val="auto"/>
        </w:rPr>
        <w:t>Sale Event Acceleration</w:t>
      </w:r>
      <w:r>
        <w:rPr>
          <w:rFonts w:ascii="Times New Roman" w:cs="Times New Roman" w:eastAsia="Times New Roman" w:hAnsi="Times New Roman"/>
          <w:sz w:val="22"/>
          <w:szCs w:val="22"/>
          <w:color w:val="auto"/>
        </w:rPr>
        <w:t>: All outstanding Initial Awards and Annual Awards held by an Outside Director shall become fully vested and exercisable upon a Sale Event (as defined in the Company’s 2021 Stock Option and Incentive Plan).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Expenses</w:t>
      </w:r>
    </w:p>
    <w:p>
      <w:pPr>
        <w:spacing w:after="0" w:line="210" w:lineRule="exact"/>
        <w:rPr>
          <w:sz w:val="20"/>
          <w:szCs w:val="20"/>
          <w:color w:val="auto"/>
        </w:rPr>
      </w:pPr>
    </w:p>
    <w:p>
      <w:pPr>
        <w:ind w:left="200" w:right="140"/>
        <w:spacing w:after="0" w:line="258" w:lineRule="auto"/>
        <w:rPr>
          <w:sz w:val="20"/>
          <w:szCs w:val="20"/>
          <w:color w:val="auto"/>
        </w:rPr>
      </w:pPr>
      <w:r>
        <w:rPr>
          <w:rFonts w:ascii="Times New Roman" w:cs="Times New Roman" w:eastAsia="Times New Roman" w:hAnsi="Times New Roman"/>
          <w:sz w:val="22"/>
          <w:szCs w:val="22"/>
          <w:color w:val="auto"/>
        </w:rPr>
        <w:t>The Company will reimburse all reasonable out-of-pocket expenses incurred by non-employee directors in attending meetings of the Board of Directors or any committee thereof.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Maximum Annual Compensation</w:t>
      </w:r>
    </w:p>
    <w:p>
      <w:pPr>
        <w:spacing w:after="0" w:line="210" w:lineRule="exact"/>
        <w:rPr>
          <w:sz w:val="20"/>
          <w:szCs w:val="20"/>
          <w:color w:val="auto"/>
        </w:rPr>
      </w:pPr>
    </w:p>
    <w:p>
      <w:pPr>
        <w:jc w:val="both"/>
        <w:ind w:left="200"/>
        <w:spacing w:after="0"/>
        <w:rPr>
          <w:sz w:val="20"/>
          <w:szCs w:val="20"/>
          <w:color w:val="auto"/>
        </w:rPr>
      </w:pPr>
      <w:r>
        <w:rPr>
          <w:rFonts w:ascii="Times New Roman" w:cs="Times New Roman" w:eastAsia="Times New Roman" w:hAnsi="Times New Roman"/>
          <w:sz w:val="22"/>
          <w:szCs w:val="22"/>
          <w:color w:val="auto"/>
        </w:rPr>
        <w:t>The aggregate amount of compensation, including both equity compensation and cash compensation, paid by the Company to any Outside Director in a calendar year for services as an Outside Director period shall not exceed $750,000; provided, however, that such amount shall be $1,000,000 for the calendar year in which the applicable Outside Director is initially elected or appointed to the Board of Directors; (or such other limits as may be set forth in Section 3(b) of the Company’s 2021 Stock Option and Incentive Plan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Adopted June 9, 2021.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Amended: May 10, 2022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ACTIVE/110175159.5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6" w:name="page87"/>
    <w:bookmarkEnd w:id="86"/>
    <w:p>
      <w:pPr>
        <w:jc w:val="right"/>
        <w:ind w:right="4459"/>
        <w:spacing w:after="0"/>
        <w:rPr>
          <w:sz w:val="20"/>
          <w:szCs w:val="20"/>
          <w:color w:val="auto"/>
        </w:rPr>
      </w:pPr>
      <w:r>
        <w:rPr>
          <w:rFonts w:ascii="Times New Roman" w:cs="Times New Roman" w:eastAsia="Times New Roman" w:hAnsi="Times New Roman"/>
          <w:sz w:val="22"/>
          <w:szCs w:val="22"/>
          <w:color w:val="auto"/>
        </w:rPr>
        <w:t>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ACTIVE/110175159.5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71" w:right="1440" w:bottom="1440" w:gutter="0" w:footer="0" w:header="0"/>
        </w:sectPr>
      </w:pPr>
    </w:p>
    <w:bookmarkStart w:id="87" w:name="page88"/>
    <w:bookmarkEnd w:id="87"/>
    <w:p>
      <w:pPr>
        <w:ind w:left="10260"/>
        <w:spacing w:after="0"/>
        <w:rPr>
          <w:sz w:val="20"/>
          <w:szCs w:val="20"/>
          <w:color w:val="auto"/>
        </w:rPr>
      </w:pPr>
      <w:r>
        <w:rPr>
          <w:rFonts w:ascii="Times New Roman" w:cs="Times New Roman" w:eastAsia="Times New Roman" w:hAnsi="Times New Roman"/>
          <w:sz w:val="19"/>
          <w:szCs w:val="19"/>
          <w:color w:val="auto"/>
        </w:rPr>
        <w:t>Exhibit 31.1</w:t>
      </w:r>
    </w:p>
    <w:p>
      <w:pPr>
        <w:spacing w:after="0" w:line="237"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 RULE 13a-14(a) / RULE 15d-14(a) OF THE SECURITIES EXCHANGE ACT OF 1934, AS AMENDED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Barbara Weber, M.D., certify that:</w:t>
      </w:r>
    </w:p>
    <w:p>
      <w:pPr>
        <w:spacing w:after="0" w:line="216" w:lineRule="exact"/>
        <w:rPr>
          <w:sz w:val="20"/>
          <w:szCs w:val="20"/>
          <w:color w:val="auto"/>
        </w:rPr>
      </w:pPr>
    </w:p>
    <w:p>
      <w:pPr>
        <w:ind w:left="380" w:hanging="372"/>
        <w:spacing w:after="0"/>
        <w:tabs>
          <w:tab w:leader="none" w:pos="3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Tango Therapeutics, Inc.;</w:t>
      </w:r>
    </w:p>
    <w:p>
      <w:pPr>
        <w:spacing w:after="0" w:line="229"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6"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4"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193"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20"/>
          <w:szCs w:val="20"/>
          <w:color w:val="auto"/>
        </w:rPr>
      </w:pPr>
    </w:p>
    <w:p>
      <w:pPr>
        <w:jc w:val="both"/>
        <w:ind w:left="1020" w:hanging="368"/>
        <w:spacing w:after="0" w:line="247" w:lineRule="auto"/>
        <w:tabs>
          <w:tab w:leader="none" w:pos="102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6"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403860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8" w:name="page89"/>
    <w:bookmarkEnd w:id="88"/>
    <w:p>
      <w:pPr>
        <w:jc w:val="both"/>
        <w:ind w:left="1020" w:hanging="368"/>
        <w:spacing w:after="0" w:line="254" w:lineRule="auto"/>
        <w:tabs>
          <w:tab w:leader="none" w:pos="102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Times New Roman" w:cs="Times New Roman" w:eastAsia="Times New Roman" w:hAnsi="Times New Roman"/>
          <w:sz w:val="20"/>
          <w:szCs w:val="20"/>
          <w:color w:val="auto"/>
        </w:rPr>
      </w:pPr>
    </w:p>
    <w:p>
      <w:pPr>
        <w:jc w:val="both"/>
        <w:ind w:left="380" w:hanging="372"/>
        <w:spacing w:after="0" w:line="247" w:lineRule="auto"/>
        <w:tabs>
          <w:tab w:leader="none" w:pos="3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020" w:right="20" w:hanging="368"/>
        <w:spacing w:after="0" w:line="269" w:lineRule="auto"/>
        <w:tabs>
          <w:tab w:leader="none" w:pos="102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48"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20"/>
          <w:szCs w:val="20"/>
          <w:color w:val="auto"/>
        </w:rPr>
        <w:t>Dated: May 11, 2022</w:t>
      </w:r>
      <w:r>
        <w:rPr>
          <w:sz w:val="20"/>
          <w:szCs w:val="20"/>
          <w:color w:val="auto"/>
        </w:rPr>
        <w:tab/>
      </w:r>
      <w:r>
        <w:rPr>
          <w:rFonts w:ascii="Times New Roman" w:cs="Times New Roman" w:eastAsia="Times New Roman" w:hAnsi="Times New Roman"/>
          <w:sz w:val="19"/>
          <w:szCs w:val="19"/>
          <w:u w:val="single" w:color="auto"/>
          <w:color w:val="auto"/>
        </w:rPr>
        <w:t>/s/ Barbara Weber, M.D.</w:t>
      </w:r>
    </w:p>
    <w:p>
      <w:pPr>
        <w:spacing w:after="0" w:line="14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Barbara Weber, M.D.</w:t>
      </w:r>
    </w:p>
    <w:p>
      <w:pPr>
        <w:spacing w:after="0" w:line="2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Chief Executive Officer</w:t>
      </w:r>
    </w:p>
    <w:p>
      <w:pPr>
        <w:ind w:left="340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9" w:name="page90"/>
    <w:bookmarkEnd w:id="89"/>
    <w:p>
      <w:pPr>
        <w:ind w:left="10260"/>
        <w:spacing w:after="0"/>
        <w:rPr>
          <w:sz w:val="20"/>
          <w:szCs w:val="20"/>
          <w:color w:val="auto"/>
        </w:rPr>
      </w:pPr>
      <w:r>
        <w:rPr>
          <w:rFonts w:ascii="Times New Roman" w:cs="Times New Roman" w:eastAsia="Times New Roman" w:hAnsi="Times New Roman"/>
          <w:sz w:val="19"/>
          <w:szCs w:val="19"/>
          <w:color w:val="auto"/>
        </w:rPr>
        <w:t>Exhibit 31.2</w:t>
      </w:r>
    </w:p>
    <w:p>
      <w:pPr>
        <w:spacing w:after="0" w:line="237"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 RULE 13a-14(a) / RULE 15d-14(a) OF THE SECURITIES EXCHANGE ACT OF 1934, AS AMENDED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Daniella Beckman, certify that:</w:t>
      </w:r>
    </w:p>
    <w:p>
      <w:pPr>
        <w:spacing w:after="0" w:line="216" w:lineRule="exact"/>
        <w:rPr>
          <w:sz w:val="20"/>
          <w:szCs w:val="20"/>
          <w:color w:val="auto"/>
        </w:rPr>
      </w:pPr>
    </w:p>
    <w:p>
      <w:pPr>
        <w:ind w:left="380" w:hanging="372"/>
        <w:spacing w:after="0"/>
        <w:tabs>
          <w:tab w:leader="none" w:pos="3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Tango Therapeutics, Inc.;</w:t>
      </w:r>
    </w:p>
    <w:p>
      <w:pPr>
        <w:spacing w:after="0" w:line="229"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6"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4"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193"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20"/>
          <w:szCs w:val="20"/>
          <w:color w:val="auto"/>
        </w:rPr>
      </w:pPr>
    </w:p>
    <w:p>
      <w:pPr>
        <w:jc w:val="both"/>
        <w:ind w:left="1020" w:hanging="368"/>
        <w:spacing w:after="0" w:line="247" w:lineRule="auto"/>
        <w:tabs>
          <w:tab w:leader="none" w:pos="102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6"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403860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0" w:name="page91"/>
    <w:bookmarkEnd w:id="90"/>
    <w:p>
      <w:pPr>
        <w:jc w:val="both"/>
        <w:ind w:left="1020" w:hanging="368"/>
        <w:spacing w:after="0" w:line="254" w:lineRule="auto"/>
        <w:tabs>
          <w:tab w:leader="none" w:pos="102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Times New Roman" w:cs="Times New Roman" w:eastAsia="Times New Roman" w:hAnsi="Times New Roman"/>
          <w:sz w:val="20"/>
          <w:szCs w:val="20"/>
          <w:color w:val="auto"/>
        </w:rPr>
      </w:pPr>
    </w:p>
    <w:p>
      <w:pPr>
        <w:jc w:val="both"/>
        <w:ind w:left="380" w:hanging="372"/>
        <w:spacing w:after="0" w:line="247" w:lineRule="auto"/>
        <w:tabs>
          <w:tab w:leader="none" w:pos="3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020" w:right="20" w:hanging="368"/>
        <w:spacing w:after="0" w:line="269" w:lineRule="auto"/>
        <w:tabs>
          <w:tab w:leader="none" w:pos="102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48"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20"/>
          <w:szCs w:val="20"/>
          <w:color w:val="auto"/>
        </w:rPr>
        <w:t>Dated: May 11, 2022</w:t>
      </w:r>
      <w:r>
        <w:rPr>
          <w:sz w:val="20"/>
          <w:szCs w:val="20"/>
          <w:color w:val="auto"/>
        </w:rPr>
        <w:tab/>
      </w:r>
      <w:r>
        <w:rPr>
          <w:rFonts w:ascii="Times New Roman" w:cs="Times New Roman" w:eastAsia="Times New Roman" w:hAnsi="Times New Roman"/>
          <w:sz w:val="19"/>
          <w:szCs w:val="19"/>
          <w:u w:val="single" w:color="auto"/>
          <w:color w:val="auto"/>
        </w:rPr>
        <w:t>/s/ Daniella Beckman</w:t>
      </w:r>
    </w:p>
    <w:p>
      <w:pPr>
        <w:spacing w:after="0" w:line="14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Daniella Beckman</w:t>
      </w:r>
    </w:p>
    <w:p>
      <w:pPr>
        <w:spacing w:after="0" w:line="2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Chief Financial Officer</w:t>
      </w:r>
    </w:p>
    <w:p>
      <w:pPr>
        <w:ind w:left="294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0"/>
          <w:szCs w:val="20"/>
          <w:color w:val="auto"/>
        </w:rPr>
        <w:t>Exhibit 32.1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94" w:lineRule="exact"/>
        <w:rPr>
          <w:sz w:val="20"/>
          <w:szCs w:val="20"/>
          <w:color w:val="auto"/>
        </w:rPr>
      </w:pPr>
    </w:p>
    <w:p>
      <w:pPr>
        <w:ind w:right="60" w:firstLine="749"/>
        <w:spacing w:after="0" w:line="274" w:lineRule="auto"/>
        <w:rPr>
          <w:sz w:val="20"/>
          <w:szCs w:val="20"/>
          <w:color w:val="auto"/>
        </w:rPr>
      </w:pPr>
      <w:r>
        <w:rPr>
          <w:rFonts w:ascii="Times New Roman" w:cs="Times New Roman" w:eastAsia="Times New Roman" w:hAnsi="Times New Roman"/>
          <w:sz w:val="19"/>
          <w:szCs w:val="19"/>
          <w:color w:val="auto"/>
        </w:rPr>
        <w:t>In connection with the Quarterly Report on Form 10-Q of Tango Therapeutics, Inc. (the “Company”) for the fiscal quarter ended March 31, 2022 as filed with the Securities and Exchange Commission (the “Report”), I, Barbara Weber, M.D., Chief Executive Officer of the Company, certify, pursuant to 18 U.S.C. § 1350, as adopted pursuant to § 906 of the Sarbanes-Oxley Act of 2002, to my knowledge, that:</w:t>
      </w:r>
    </w:p>
    <w:p>
      <w:pPr>
        <w:spacing w:after="0" w:line="170" w:lineRule="exact"/>
        <w:rPr>
          <w:sz w:val="20"/>
          <w:szCs w:val="20"/>
          <w:color w:val="auto"/>
        </w:rPr>
      </w:pPr>
    </w:p>
    <w:p>
      <w:pPr>
        <w:ind w:left="760" w:hanging="378"/>
        <w:spacing w:after="0"/>
        <w:tabs>
          <w:tab w:leader="none" w:pos="7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2760" w:val="left"/>
        </w:tabs>
        <w:rPr>
          <w:sz w:val="20"/>
          <w:szCs w:val="20"/>
          <w:color w:val="auto"/>
        </w:rPr>
      </w:pPr>
      <w:r>
        <w:rPr>
          <w:rFonts w:ascii="Times New Roman" w:cs="Times New Roman" w:eastAsia="Times New Roman" w:hAnsi="Times New Roman"/>
          <w:sz w:val="20"/>
          <w:szCs w:val="20"/>
          <w:color w:val="auto"/>
        </w:rPr>
        <w:t>Dated:  May 11, 2022</w:t>
      </w:r>
      <w:r>
        <w:rPr>
          <w:sz w:val="20"/>
          <w:szCs w:val="20"/>
          <w:color w:val="auto"/>
        </w:rPr>
        <w:tab/>
      </w:r>
      <w:r>
        <w:rPr>
          <w:rFonts w:ascii="Times New Roman" w:cs="Times New Roman" w:eastAsia="Times New Roman" w:hAnsi="Times New Roman"/>
          <w:sz w:val="19"/>
          <w:szCs w:val="19"/>
          <w:u w:val="single" w:color="auto"/>
          <w:color w:val="auto"/>
        </w:rPr>
        <w:t>/s/ Barbara Weber, M.D.</w:t>
      </w:r>
    </w:p>
    <w:p>
      <w:pPr>
        <w:spacing w:after="0" w:line="10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Barbara Weber, M.D.</w:t>
      </w:r>
    </w:p>
    <w:p>
      <w:pPr>
        <w:spacing w:after="0" w:line="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Chief Executive Officer</w:t>
      </w:r>
    </w:p>
    <w:p>
      <w:pPr>
        <w:ind w:left="290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0" w:lineRule="exact"/>
        <w:rPr>
          <w:sz w:val="20"/>
          <w:szCs w:val="20"/>
          <w:color w:val="auto"/>
        </w:rPr>
      </w:pPr>
    </w:p>
    <w:p>
      <w:pPr>
        <w:spacing w:after="0" w:line="23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394335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0"/>
          <w:szCs w:val="20"/>
          <w:color w:val="auto"/>
        </w:rPr>
        <w:t>Exhibit 32.2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94" w:lineRule="exact"/>
        <w:rPr>
          <w:sz w:val="20"/>
          <w:szCs w:val="20"/>
          <w:color w:val="auto"/>
        </w:rPr>
      </w:pPr>
    </w:p>
    <w:p>
      <w:pPr>
        <w:jc w:val="both"/>
        <w:ind w:right="240" w:firstLine="749"/>
        <w:spacing w:after="0" w:line="274" w:lineRule="auto"/>
        <w:rPr>
          <w:sz w:val="20"/>
          <w:szCs w:val="20"/>
          <w:color w:val="auto"/>
        </w:rPr>
      </w:pPr>
      <w:r>
        <w:rPr>
          <w:rFonts w:ascii="Times New Roman" w:cs="Times New Roman" w:eastAsia="Times New Roman" w:hAnsi="Times New Roman"/>
          <w:sz w:val="19"/>
          <w:szCs w:val="19"/>
          <w:color w:val="auto"/>
        </w:rPr>
        <w:t>In connection with the Quarterly Report on Form 10-Q of Tango Therapeutics, Inc. (the “Company”) for the fiscal quarter ended March 31, 2022 as filed with the Securities and Exchange Commission (the “Report”), I, Daniella Beckman, Chief Financial Officer of the Company, certify, pursuant to 18 U.S.C. § 1350, as adopted pursuant to § 906 of the Sarbanes-Oxley Act of 2002, to my knowledge, that:</w:t>
      </w:r>
    </w:p>
    <w:p>
      <w:pPr>
        <w:spacing w:after="0" w:line="170" w:lineRule="exact"/>
        <w:rPr>
          <w:sz w:val="20"/>
          <w:szCs w:val="20"/>
          <w:color w:val="auto"/>
        </w:rPr>
      </w:pPr>
    </w:p>
    <w:p>
      <w:pPr>
        <w:ind w:left="760" w:hanging="378"/>
        <w:spacing w:after="0"/>
        <w:tabs>
          <w:tab w:leader="none" w:pos="7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2760" w:val="left"/>
        </w:tabs>
        <w:rPr>
          <w:sz w:val="20"/>
          <w:szCs w:val="20"/>
          <w:color w:val="auto"/>
        </w:rPr>
      </w:pPr>
      <w:r>
        <w:rPr>
          <w:rFonts w:ascii="Times New Roman" w:cs="Times New Roman" w:eastAsia="Times New Roman" w:hAnsi="Times New Roman"/>
          <w:sz w:val="20"/>
          <w:szCs w:val="20"/>
          <w:color w:val="auto"/>
        </w:rPr>
        <w:t>Dated:  May 11, 2022</w:t>
      </w:r>
      <w:r>
        <w:rPr>
          <w:sz w:val="20"/>
          <w:szCs w:val="20"/>
          <w:color w:val="auto"/>
        </w:rPr>
        <w:tab/>
      </w:r>
      <w:r>
        <w:rPr>
          <w:rFonts w:ascii="Times New Roman" w:cs="Times New Roman" w:eastAsia="Times New Roman" w:hAnsi="Times New Roman"/>
          <w:sz w:val="19"/>
          <w:szCs w:val="19"/>
          <w:u w:val="single" w:color="auto"/>
          <w:color w:val="auto"/>
        </w:rPr>
        <w:t>/s/ Daniella Beckman_____</w:t>
      </w:r>
    </w:p>
    <w:p>
      <w:pPr>
        <w:spacing w:after="0" w:line="10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Daniella Beckman</w:t>
      </w:r>
    </w:p>
    <w:p>
      <w:pPr>
        <w:spacing w:after="0" w:line="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Chief Financial Officer</w:t>
      </w:r>
    </w:p>
    <w:p>
      <w:pPr>
        <w:ind w:left="290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0" w:lineRule="exact"/>
        <w:rPr>
          <w:sz w:val="20"/>
          <w:szCs w:val="20"/>
          <w:color w:val="auto"/>
        </w:rPr>
      </w:pPr>
    </w:p>
    <w:p>
      <w:pPr>
        <w:spacing w:after="0" w:line="23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394335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3" w:name="page94"/>
    <w:bookmarkEnd w:id="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lvl w:ilvl="1">
      <w:lvlJc w:val="left"/>
      <w:lvlText w:val="•"/>
      <w:numFmt w:val="bullet"/>
      <w:start w:val="1"/>
    </w:lvl>
  </w:abstractNum>
  <w:abstractNum w:abstractNumId="3">
    <w:nsid w:val="22221A70"/>
    <w:multiLevelType w:val="hybridMultilevel"/>
    <w:lvl w:ilvl="0">
      <w:lvlJc w:val="left"/>
      <w:lvlText w:val="•"/>
      <w:numFmt w:val="bullet"/>
      <w:start w:val="1"/>
    </w:lvl>
    <w:lvl w:ilvl="1">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2"/>
    </w:lvl>
  </w:abstractNum>
  <w:abstractNum w:abstractNumId="8">
    <w:nsid w:val="5577F8E1"/>
    <w:multiLevelType w:val="hybridMultilevel"/>
    <w:lvl w:ilvl="0">
      <w:lvlJc w:val="left"/>
      <w:lvlText w:val="%1."/>
      <w:numFmt w:val="decimal"/>
      <w:start w:val="3"/>
    </w:lvl>
  </w:abstractNum>
  <w:abstractNum w:abstractNumId="9">
    <w:nsid w:val="440BADFC"/>
    <w:multiLevelType w:val="hybridMultilevel"/>
    <w:lvl w:ilvl="0">
      <w:lvlJc w:val="left"/>
      <w:lvlText w:val="%1."/>
      <w:numFmt w:val="decimal"/>
      <w:start w:val="4"/>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1."/>
      <w:numFmt w:val="decimal"/>
      <w:start w:val="5"/>
    </w:lvl>
  </w:abstractNum>
  <w:abstractNum w:abstractNumId="12">
    <w:nsid w:val="77465F01"/>
    <w:multiLevelType w:val="hybridMultilevel"/>
    <w:lvl w:ilvl="0">
      <w:lvlJc w:val="left"/>
      <w:lvlText w:val="%1."/>
      <w:numFmt w:val="decimal"/>
      <w:start w:val="6"/>
    </w:lvl>
  </w:abstractNum>
  <w:abstractNum w:abstractNumId="13">
    <w:nsid w:val="7724C67E"/>
    <w:multiLevelType w:val="hybridMultilevel"/>
    <w:lvl w:ilvl="0">
      <w:lvlJc w:val="left"/>
      <w:lvlText w:val="%1."/>
      <w:numFmt w:val="decimal"/>
      <w:start w:val="7"/>
    </w:lvl>
  </w:abstractNum>
  <w:abstractNum w:abstractNumId="14">
    <w:nsid w:val="5C482A97"/>
    <w:multiLevelType w:val="hybridMultilevel"/>
    <w:lvl w:ilvl="0">
      <w:lvlJc w:val="left"/>
      <w:lvlText w:val="%1."/>
      <w:numFmt w:val="decimal"/>
      <w:start w:val="8"/>
    </w:lvl>
  </w:abstractNum>
  <w:abstractNum w:abstractNumId="15">
    <w:nsid w:val="2463B9EA"/>
    <w:multiLevelType w:val="hybridMultilevel"/>
    <w:lvl w:ilvl="0">
      <w:lvlJc w:val="left"/>
      <w:lvlText w:val="%1."/>
      <w:numFmt w:val="decimal"/>
      <w:start w:val="9"/>
    </w:lvl>
  </w:abstractNum>
  <w:abstractNum w:abstractNumId="16">
    <w:nsid w:val="5E884ADC"/>
    <w:multiLevelType w:val="hybridMultilevel"/>
    <w:lvl w:ilvl="0">
      <w:lvlJc w:val="left"/>
      <w:lvlText w:val="%1."/>
      <w:numFmt w:val="decimal"/>
      <w:start w:val="10"/>
    </w:lvl>
  </w:abstractNum>
  <w:abstractNum w:abstractNumId="17">
    <w:nsid w:val="51EAD36B"/>
    <w:multiLevelType w:val="hybridMultilevel"/>
    <w:lvl w:ilvl="0">
      <w:lvlJc w:val="left"/>
      <w:lvlText w:val="%1."/>
      <w:numFmt w:val="decimal"/>
      <w:start w:val="11"/>
    </w:lvl>
  </w:abstractNum>
  <w:abstractNum w:abstractNumId="18">
    <w:nsid w:val="2D517796"/>
    <w:multiLevelType w:val="hybridMultilevel"/>
    <w:lvl w:ilvl="0">
      <w:lvlJc w:val="left"/>
      <w:lvlText w:val="%1."/>
      <w:numFmt w:val="decimal"/>
      <w:start w:val="12"/>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1)"/>
      <w:numFmt w:val="lowerLetter"/>
      <w:start w:val="4"/>
    </w:lvl>
  </w:abstractNum>
  <w:abstractNum w:abstractNumId="25">
    <w:nsid w:val="1D4ED43B"/>
    <w:multiLevelType w:val="hybridMultilevel"/>
    <w:lvl w:ilvl="0">
      <w:lvlJc w:val="left"/>
      <w:lvlText w:val=" "/>
      <w:numFmt w:val="bullet"/>
      <w:start w:val="1"/>
    </w:lvl>
  </w:abstractNum>
  <w:abstractNum w:abstractNumId="26">
    <w:nsid w:val="725A06FB"/>
    <w:multiLevelType w:val="hybridMultilevel"/>
    <w:lvl w:ilvl="0">
      <w:lvlJc w:val="left"/>
      <w:lvlText w:val=" "/>
      <w:numFmt w:val="bullet"/>
      <w:start w:val="1"/>
    </w:lvl>
  </w:abstractNum>
  <w:abstractNum w:abstractNumId="27">
    <w:nsid w:val="2CD89A32"/>
    <w:multiLevelType w:val="hybridMultilevel"/>
    <w:lvl w:ilvl="0">
      <w:lvlJc w:val="left"/>
      <w:lvlText w:val=" "/>
      <w:numFmt w:val="bullet"/>
      <w:start w:val="1"/>
    </w:lvl>
  </w:abstractNum>
  <w:abstractNum w:abstractNumId="28">
    <w:nsid w:val="57E4CCAF"/>
    <w:multiLevelType w:val="hybridMultilevel"/>
    <w:lvl w:ilvl="0">
      <w:lvlJc w:val="left"/>
      <w:lvlText w:val=" "/>
      <w:numFmt w:val="bullet"/>
      <w:start w:val="1"/>
    </w:lvl>
  </w:abstractNum>
  <w:abstractNum w:abstractNumId="29">
    <w:nsid w:val="7A6D8D3C"/>
    <w:multiLevelType w:val="hybridMultilevel"/>
    <w:lvl w:ilvl="0">
      <w:lvlJc w:val="left"/>
      <w:lvlText w:val=" "/>
      <w:numFmt w:val="bullet"/>
      <w:start w:val="1"/>
    </w:lvl>
  </w:abstractNum>
  <w:abstractNum w:abstractNumId="30">
    <w:nsid w:val="4B588F54"/>
    <w:multiLevelType w:val="hybridMultilevel"/>
    <w:lvl w:ilvl="0">
      <w:lvlJc w:val="left"/>
      <w:lvlText w:val=" "/>
      <w:numFmt w:val="bullet"/>
      <w:start w:val="1"/>
    </w:lvl>
  </w:abstractNum>
  <w:abstractNum w:abstractNumId="31">
    <w:nsid w:val="542289EC"/>
    <w:multiLevelType w:val="hybridMultilevel"/>
    <w:lvl w:ilvl="0">
      <w:lvlJc w:val="left"/>
      <w:lvlText w:val=" "/>
      <w:numFmt w:val="bullet"/>
      <w:start w:val="1"/>
    </w:lvl>
  </w:abstractNum>
  <w:abstractNum w:abstractNumId="32">
    <w:nsid w:val="6DE91B18"/>
    <w:multiLevelType w:val="hybridMultilevel"/>
    <w:lvl w:ilvl="0">
      <w:lvlJc w:val="left"/>
      <w:lvlText w:val=" "/>
      <w:numFmt w:val="bullet"/>
      <w:start w:val="1"/>
    </w:lvl>
  </w:abstractNum>
  <w:abstractNum w:abstractNumId="33">
    <w:nsid w:val="38437FDB"/>
    <w:multiLevelType w:val="hybridMultilevel"/>
    <w:lvl w:ilvl="0">
      <w:lvlJc w:val="left"/>
      <w:lvlText w:val=" "/>
      <w:numFmt w:val="bullet"/>
      <w:start w:val="1"/>
    </w:lvl>
  </w:abstractNum>
  <w:abstractNum w:abstractNumId="34">
    <w:nsid w:val="7644A45C"/>
    <w:multiLevelType w:val="hybridMultilevel"/>
    <w:lvl w:ilvl="0">
      <w:lvlJc w:val="left"/>
      <w:lvlText w:val=" "/>
      <w:numFmt w:val="bullet"/>
      <w:start w:val="1"/>
    </w:lvl>
  </w:abstractNum>
  <w:abstractNum w:abstractNumId="35">
    <w:nsid w:val="32FFF902"/>
    <w:multiLevelType w:val="hybridMultilevel"/>
    <w:lvl w:ilvl="0">
      <w:lvlJc w:val="left"/>
      <w:lvlText w:val=" "/>
      <w:numFmt w:val="bullet"/>
      <w:start w:val="1"/>
    </w:lvl>
  </w:abstractNum>
  <w:abstractNum w:abstractNumId="36">
    <w:nsid w:val="684A481A"/>
    <w:multiLevelType w:val="hybridMultilevel"/>
    <w:lvl w:ilvl="0">
      <w:lvlJc w:val="left"/>
      <w:lvlText w:val=" "/>
      <w:numFmt w:val="bullet"/>
      <w:start w:val="1"/>
    </w:lvl>
  </w:abstractNum>
  <w:abstractNum w:abstractNumId="37">
    <w:nsid w:val="579478FE"/>
    <w:multiLevelType w:val="hybridMultilevel"/>
    <w:lvl w:ilvl="0">
      <w:lvlJc w:val="left"/>
      <w:lvlText w:val=" "/>
      <w:numFmt w:val="bullet"/>
      <w:start w:val="1"/>
    </w:lvl>
  </w:abstractNum>
  <w:abstractNum w:abstractNumId="38">
    <w:nsid w:val="749ABB43"/>
    <w:multiLevelType w:val="hybridMultilevel"/>
    <w:lvl w:ilvl="0">
      <w:lvlJc w:val="left"/>
      <w:lvlText w:val=" "/>
      <w:numFmt w:val="bullet"/>
      <w:start w:val="1"/>
    </w:lvl>
  </w:abstractNum>
  <w:abstractNum w:abstractNumId="39">
    <w:nsid w:val="3DC240FB"/>
    <w:multiLevelType w:val="hybridMultilevel"/>
    <w:lvl w:ilvl="0">
      <w:lvlJc w:val="left"/>
      <w:lvlText w:val=" "/>
      <w:numFmt w:val="bullet"/>
      <w:start w:val="1"/>
    </w:lvl>
  </w:abstractNum>
  <w:abstractNum w:abstractNumId="40">
    <w:nsid w:val="1BA026FA"/>
    <w:multiLevelType w:val="hybridMultilevel"/>
    <w:lvl w:ilvl="0">
      <w:lvlJc w:val="left"/>
      <w:lvlText w:val=" "/>
      <w:numFmt w:val="bullet"/>
      <w:start w:val="1"/>
    </w:lvl>
  </w:abstractNum>
  <w:abstractNum w:abstractNumId="41">
    <w:nsid w:val="79A1DEAA"/>
    <w:multiLevelType w:val="hybridMultilevel"/>
    <w:lvl w:ilvl="0">
      <w:lvlJc w:val="left"/>
      <w:lvlText w:val=" "/>
      <w:numFmt w:val="bullet"/>
      <w:start w:val="1"/>
    </w:lvl>
  </w:abstractNum>
  <w:abstractNum w:abstractNumId="42">
    <w:nsid w:val="75C6C33A"/>
    <w:multiLevelType w:val="hybridMultilevel"/>
    <w:lvl w:ilvl="0">
      <w:lvlJc w:val="left"/>
      <w:lvlText w:val=" "/>
      <w:numFmt w:val="bullet"/>
      <w:start w:val="1"/>
    </w:lvl>
  </w:abstractNum>
  <w:abstractNum w:abstractNumId="43">
    <w:nsid w:val="12E685FB"/>
    <w:multiLevelType w:val="hybridMultilevel"/>
    <w:lvl w:ilvl="0">
      <w:lvlJc w:val="left"/>
      <w:lvlText w:val=" "/>
      <w:numFmt w:val="bullet"/>
      <w:start w:val="1"/>
    </w:lvl>
  </w:abstractNum>
  <w:abstractNum w:abstractNumId="44">
    <w:nsid w:val="70C6A529"/>
    <w:multiLevelType w:val="hybridMultilevel"/>
    <w:lvl w:ilvl="0">
      <w:lvlJc w:val="left"/>
      <w:lvlText w:val=" "/>
      <w:numFmt w:val="bullet"/>
      <w:start w:val="1"/>
    </w:lvl>
  </w:abstractNum>
  <w:abstractNum w:abstractNumId="45">
    <w:nsid w:val="520EEDD1"/>
    <w:multiLevelType w:val="hybridMultilevel"/>
    <w:lvl w:ilvl="0">
      <w:lvlJc w:val="left"/>
      <w:lvlText w:val=" "/>
      <w:numFmt w:val="bullet"/>
      <w:start w:val="1"/>
    </w:lvl>
  </w:abstractNum>
  <w:abstractNum w:abstractNumId="46">
    <w:nsid w:val="374A3FE6"/>
    <w:multiLevelType w:val="hybridMultilevel"/>
    <w:lvl w:ilvl="0">
      <w:lvlJc w:val="left"/>
      <w:lvlText w:val=" "/>
      <w:numFmt w:val="bullet"/>
      <w:start w:val="1"/>
    </w:lvl>
  </w:abstractNum>
  <w:abstractNum w:abstractNumId="47">
    <w:nsid w:val="4F4EF005"/>
    <w:multiLevelType w:val="hybridMultilevel"/>
    <w:lvl w:ilvl="0">
      <w:lvlJc w:val="left"/>
      <w:lvlText w:val=" "/>
      <w:numFmt w:val="bullet"/>
      <w:start w:val="1"/>
    </w:lvl>
  </w:abstractNum>
  <w:abstractNum w:abstractNumId="48">
    <w:nsid w:val="23F9C13C"/>
    <w:multiLevelType w:val="hybridMultilevel"/>
    <w:lvl w:ilvl="0">
      <w:lvlJc w:val="left"/>
      <w:lvlText w:val=" "/>
      <w:numFmt w:val="bullet"/>
      <w:start w:val="1"/>
    </w:lvl>
  </w:abstractNum>
  <w:abstractNum w:abstractNumId="49">
    <w:nsid w:val="649BB77C"/>
    <w:multiLevelType w:val="hybridMultilevel"/>
    <w:lvl w:ilvl="0">
      <w:lvlJc w:val="left"/>
      <w:lvlText w:val=" "/>
      <w:numFmt w:val="bullet"/>
      <w:start w:val="1"/>
    </w:lvl>
  </w:abstractNum>
  <w:abstractNum w:abstractNumId="50">
    <w:nsid w:val="275AC794"/>
    <w:multiLevelType w:val="hybridMultilevel"/>
    <w:lvl w:ilvl="0">
      <w:lvlJc w:val="left"/>
      <w:lvlText w:val=" "/>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1."/>
      <w:numFmt w:val="decimal"/>
      <w:start w:val="1"/>
    </w:lvl>
    <w:lvl w:ilvl="1">
      <w:lvlJc w:val="left"/>
      <w:lvlText w:val="(%2)"/>
      <w:numFmt w:val="lowerLetter"/>
      <w:start w:val="1"/>
    </w:lvl>
  </w:abstractNum>
  <w:abstractNum w:abstractNumId="54">
    <w:nsid w:val="235BA861"/>
    <w:multiLevelType w:val="hybridMultilevel"/>
    <w:lvl w:ilvl="0">
      <w:lvlJc w:val="left"/>
      <w:lvlText w:val="%1"/>
      <w:numFmt w:val="decimal"/>
      <w:start w:val="1"/>
    </w:lvl>
    <w:lvl w:ilvl="1">
      <w:lvlJc w:val="left"/>
      <w:lvlText w:val="(%2)"/>
      <w:numFmt w:val="lowerLetter"/>
      <w:start w:val="4"/>
    </w:lvl>
  </w:abstractNum>
  <w:abstractNum w:abstractNumId="55">
    <w:nsid w:val="47398C89"/>
    <w:multiLevelType w:val="hybridMultilevel"/>
    <w:lvl w:ilvl="0">
      <w:lvlJc w:val="left"/>
      <w:lvlText w:val="%1."/>
      <w:numFmt w:val="decimal"/>
      <w:start w:val="5"/>
    </w:lvl>
    <w:lvl w:ilvl="1">
      <w:lvlJc w:val="left"/>
      <w:lvlText w:val="(%2)"/>
      <w:numFmt w:val="lowerLetter"/>
      <w:start w:val="1"/>
    </w:lvl>
  </w:abstractNum>
  <w:abstractNum w:abstractNumId="56">
    <w:nsid w:val="354FE9F9"/>
    <w:multiLevelType w:val="hybridMultilevel"/>
    <w:lvl w:ilvl="0">
      <w:lvlJc w:val="left"/>
      <w:lvlText w:val="%1."/>
      <w:numFmt w:val="decimal"/>
      <w:start w:val="1"/>
    </w:lvl>
    <w:lvl w:ilvl="1">
      <w:lvlJc w:val="left"/>
      <w:lvlText w:val="(%2)"/>
      <w:numFmt w:val="lowerLetter"/>
      <w:start w:val="1"/>
    </w:lvl>
  </w:abstractNum>
  <w:abstractNum w:abstractNumId="57">
    <w:nsid w:val="15B5AF5C"/>
    <w:multiLevelType w:val="hybridMultilevel"/>
    <w:lvl w:ilvl="0">
      <w:lvlJc w:val="left"/>
      <w:lvlText w:val="%1"/>
      <w:numFmt w:val="decimal"/>
      <w:start w:val="1"/>
    </w:lvl>
    <w:lvl w:ilvl="1">
      <w:lvlJc w:val="left"/>
      <w:lvlText w:val="(%2)"/>
      <w:numFmt w:val="lowerLetter"/>
      <w:start w:val="4"/>
    </w:lvl>
  </w:abstractNum>
  <w:abstractNum w:abstractNumId="58">
    <w:nsid w:val="741226BB"/>
    <w:multiLevelType w:val="hybridMultilevel"/>
    <w:lvl w:ilvl="0">
      <w:lvlJc w:val="left"/>
      <w:lvlText w:val="%1."/>
      <w:numFmt w:val="decimal"/>
      <w:start w:val="5"/>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2022-05-11T06:31:11Z</dcterms:created>
  <dcterms:modified xsi:type="dcterms:W3CDTF">2022-05-11T06:31:11Z</dcterms:modified>
</cp:coreProperties>
</file>