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24"/>
          <w:szCs w:val="24"/>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Calibri" w:cs="Calibri" w:eastAsia="Calibri" w:hAnsi="Calibri"/>
          <w:sz w:val="24"/>
          <w:szCs w:val="24"/>
          <w:b w:val="1"/>
          <w:bCs w:val="1"/>
          <w:color w:val="auto"/>
        </w:rPr>
        <w:t>SECURITIES AND EXCHANGE COMMISSION</w:t>
      </w:r>
    </w:p>
    <w:p>
      <w:pPr>
        <w:jc w:val="center"/>
        <w:spacing w:after="0"/>
        <w:rPr>
          <w:sz w:val="20"/>
          <w:szCs w:val="20"/>
          <w:color w:val="auto"/>
        </w:rPr>
      </w:pPr>
      <w:r>
        <w:rPr>
          <w:rFonts w:ascii="Calibri" w:cs="Calibri" w:eastAsia="Calibri" w:hAnsi="Calibri"/>
          <w:sz w:val="20"/>
          <w:szCs w:val="20"/>
          <w:b w:val="1"/>
          <w:bCs w:val="1"/>
          <w:color w:val="auto"/>
        </w:rPr>
        <w:t>Washington, D.C. 20549</w:t>
      </w:r>
    </w:p>
    <w:p>
      <w:pPr>
        <w:spacing w:after="0" w:line="222" w:lineRule="exact"/>
        <w:rPr>
          <w:sz w:val="24"/>
          <w:szCs w:val="24"/>
          <w:color w:val="auto"/>
        </w:rPr>
      </w:pPr>
    </w:p>
    <w:p>
      <w:pPr>
        <w:jc w:val="center"/>
        <w:spacing w:after="0"/>
        <w:rPr>
          <w:sz w:val="20"/>
          <w:szCs w:val="20"/>
          <w:color w:val="auto"/>
        </w:rPr>
      </w:pPr>
      <w:r>
        <w:rPr>
          <w:rFonts w:ascii="Calibri" w:cs="Calibri" w:eastAsia="Calibri" w:hAnsi="Calibri"/>
          <w:sz w:val="18"/>
          <w:szCs w:val="18"/>
          <w:b w:val="1"/>
          <w:bCs w:val="1"/>
          <w:color w:val="auto"/>
        </w:rPr>
        <w:t>SCHEDULE 13D</w:t>
      </w:r>
    </w:p>
    <w:p>
      <w:pPr>
        <w:jc w:val="center"/>
        <w:spacing w:after="0" w:line="235" w:lineRule="auto"/>
        <w:rPr>
          <w:sz w:val="20"/>
          <w:szCs w:val="20"/>
          <w:color w:val="auto"/>
        </w:rPr>
      </w:pPr>
      <w:r>
        <w:rPr>
          <w:rFonts w:ascii="Calibri" w:cs="Calibri" w:eastAsia="Calibri" w:hAnsi="Calibri"/>
          <w:sz w:val="18"/>
          <w:szCs w:val="18"/>
          <w:b w:val="1"/>
          <w:bCs w:val="1"/>
          <w:color w:val="auto"/>
        </w:rPr>
        <w:t>(RULE 13D - 101)</w:t>
      </w:r>
    </w:p>
    <w:p>
      <w:pPr>
        <w:spacing w:after="0" w:line="206"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INFORMATION TO BE INCLUDED IN STATEMENTS FILED PURSUANT TO 13d-1(a) AND</w:t>
      </w:r>
    </w:p>
    <w:p>
      <w:pPr>
        <w:jc w:val="center"/>
        <w:spacing w:after="0" w:line="238" w:lineRule="auto"/>
        <w:rPr>
          <w:sz w:val="20"/>
          <w:szCs w:val="20"/>
          <w:color w:val="auto"/>
        </w:rPr>
      </w:pPr>
      <w:r>
        <w:rPr>
          <w:rFonts w:ascii="Calibri" w:cs="Calibri" w:eastAsia="Calibri" w:hAnsi="Calibri"/>
          <w:sz w:val="20"/>
          <w:szCs w:val="20"/>
          <w:b w:val="1"/>
          <w:bCs w:val="1"/>
          <w:color w:val="auto"/>
        </w:rPr>
        <w:t>AMENDMENTS THERETO FILED PURSUANT TO 13d-2(a)</w:t>
      </w:r>
    </w:p>
    <w:p>
      <w:pPr>
        <w:spacing w:after="0" w:line="209" w:lineRule="exact"/>
        <w:rPr>
          <w:sz w:val="24"/>
          <w:szCs w:val="24"/>
          <w:color w:val="auto"/>
        </w:rPr>
      </w:pPr>
    </w:p>
    <w:p>
      <w:pPr>
        <w:jc w:val="center"/>
        <w:spacing w:after="0"/>
        <w:rPr>
          <w:sz w:val="20"/>
          <w:szCs w:val="20"/>
          <w:color w:val="auto"/>
        </w:rPr>
      </w:pPr>
      <w:r>
        <w:rPr>
          <w:rFonts w:ascii="Calibri" w:cs="Calibri" w:eastAsia="Calibri" w:hAnsi="Calibri"/>
          <w:sz w:val="18"/>
          <w:szCs w:val="18"/>
          <w:b w:val="1"/>
          <w:bCs w:val="1"/>
          <w:color w:val="auto"/>
        </w:rPr>
        <w:t>(Amendment No. 4)*</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Tango Therapeutcs,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(Name of Issuer)</w:t>
      </w:r>
    </w:p>
    <w:p>
      <w:pPr>
        <w:spacing w:after="0" w:line="212"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(Title of Class of Securites)</w:t>
      </w:r>
    </w:p>
    <w:p>
      <w:pPr>
        <w:spacing w:after="0" w:line="212"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(CUSIP Number)</w:t>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Josh La Grange</w:t>
      </w:r>
    </w:p>
    <w:p>
      <w:pPr>
        <w:jc w:val="center"/>
        <w:spacing w:after="0" w:line="235" w:lineRule="auto"/>
        <w:rPr>
          <w:sz w:val="20"/>
          <w:szCs w:val="20"/>
          <w:color w:val="auto"/>
        </w:rPr>
      </w:pPr>
      <w:r>
        <w:rPr>
          <w:rFonts w:ascii="Calibri" w:cs="Calibri" w:eastAsia="Calibri" w:hAnsi="Calibri"/>
          <w:sz w:val="18"/>
          <w:szCs w:val="18"/>
          <w:color w:val="auto"/>
        </w:rPr>
        <w:t>Fried, Frank, Harris, Shriver &amp; Jacobson LLP</w:t>
      </w:r>
    </w:p>
    <w:p>
      <w:pPr>
        <w:jc w:val="center"/>
        <w:spacing w:after="0" w:line="236" w:lineRule="auto"/>
        <w:rPr>
          <w:sz w:val="20"/>
          <w:szCs w:val="20"/>
          <w:color w:val="auto"/>
        </w:rPr>
      </w:pPr>
      <w:r>
        <w:rPr>
          <w:rFonts w:ascii="Calibri" w:cs="Calibri" w:eastAsia="Calibri" w:hAnsi="Calibri"/>
          <w:sz w:val="18"/>
          <w:szCs w:val="18"/>
          <w:color w:val="auto"/>
        </w:rPr>
        <w:t>801 17th Street, NW, Washington, DC 20006</w:t>
      </w:r>
    </w:p>
    <w:p>
      <w:pPr>
        <w:jc w:val="center"/>
        <w:spacing w:after="0" w:line="236" w:lineRule="auto"/>
        <w:rPr>
          <w:sz w:val="20"/>
          <w:szCs w:val="20"/>
          <w:color w:val="auto"/>
        </w:rPr>
      </w:pPr>
      <w:r>
        <w:rPr>
          <w:rFonts w:ascii="Calibri" w:cs="Calibri" w:eastAsia="Calibri" w:hAnsi="Calibri"/>
          <w:sz w:val="18"/>
          <w:szCs w:val="18"/>
          <w:color w:val="auto"/>
        </w:rPr>
        <w:t>202-639-7497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(Name, Address and Telephone Number of Person</w:t>
      </w:r>
    </w:p>
    <w:p>
      <w:pPr>
        <w:spacing w:after="0" w:line="10"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Authorized to Receive Notces and Communicatons)</w:t>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October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(Date of Event which Requires Filing of this Statement)</w:t>
      </w:r>
    </w:p>
    <w:p>
      <w:pPr>
        <w:spacing w:after="0" w:line="244" w:lineRule="exact"/>
        <w:rPr>
          <w:sz w:val="24"/>
          <w:szCs w:val="24"/>
          <w:color w:val="auto"/>
        </w:rPr>
      </w:pPr>
    </w:p>
    <w:p>
      <w:pPr>
        <w:spacing w:after="0" w:line="241" w:lineRule="exact"/>
        <w:rPr>
          <w:sz w:val="20"/>
          <w:szCs w:val="20"/>
          <w:color w:val="auto"/>
        </w:rPr>
      </w:pPr>
      <w:r>
        <w:rPr>
          <w:rFonts w:ascii="Calibri" w:cs="Calibri" w:eastAsia="Calibri" w:hAnsi="Calibri"/>
          <w:sz w:val="18"/>
          <w:szCs w:val="18"/>
          <w:color w:val="auto"/>
        </w:rPr>
        <w:t xml:space="preserve">If the fling person has previously fled a statement on Schedule 13G to report the acquisiton that is the subject of this Schedule 13D, and is fling this schedule because of §§240.13d-1(e), 240.13d-1(f) or 240.13d-1(g), check the following box </w:t>
      </w:r>
      <w:r>
        <w:rPr>
          <w:rFonts w:ascii="MS PGothic" w:cs="MS PGothic" w:eastAsia="MS PGothic" w:hAnsi="MS PGothic"/>
          <w:sz w:val="18"/>
          <w:szCs w:val="18"/>
          <w:color w:val="auto"/>
        </w:rPr>
        <w:t>☐</w:t>
      </w:r>
      <w:r>
        <w:rPr>
          <w:rFonts w:ascii="Calibri" w:cs="Calibri" w:eastAsia="Calibri" w:hAnsi="Calibri"/>
          <w:sz w:val="18"/>
          <w:szCs w:val="18"/>
          <w:color w:val="auto"/>
        </w:rPr>
        <w:t>.</w:t>
      </w:r>
    </w:p>
    <w:p>
      <w:pPr>
        <w:spacing w:after="0" w:line="180" w:lineRule="exact"/>
        <w:rPr>
          <w:sz w:val="24"/>
          <w:szCs w:val="24"/>
          <w:color w:val="auto"/>
        </w:rPr>
      </w:pPr>
    </w:p>
    <w:p>
      <w:pPr>
        <w:spacing w:after="0" w:line="235" w:lineRule="auto"/>
        <w:rPr>
          <w:sz w:val="20"/>
          <w:szCs w:val="20"/>
          <w:color w:val="auto"/>
        </w:rPr>
      </w:pPr>
      <w:r>
        <w:rPr>
          <w:rFonts w:ascii="Calibri" w:cs="Calibri" w:eastAsia="Calibri" w:hAnsi="Calibri"/>
          <w:sz w:val="18"/>
          <w:szCs w:val="18"/>
          <w:b w:val="1"/>
          <w:bCs w:val="1"/>
          <w:color w:val="auto"/>
        </w:rPr>
        <w:t>Note</w:t>
      </w:r>
      <w:r>
        <w:rPr>
          <w:rFonts w:ascii="Calibri" w:cs="Calibri" w:eastAsia="Calibri" w:hAnsi="Calibri"/>
          <w:sz w:val="18"/>
          <w:szCs w:val="18"/>
          <w:color w:val="auto"/>
        </w:rPr>
        <w:t>: Schedules fled in paper format shall include a signed original and fve copies of the schedule, including all exhibits. See §240.13d-7 for other partes to</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whom copies are to be sent.</w:t>
      </w:r>
    </w:p>
    <w:p>
      <w:pPr>
        <w:spacing w:after="0" w:line="218" w:lineRule="exact"/>
        <w:rPr>
          <w:sz w:val="24"/>
          <w:szCs w:val="24"/>
          <w:color w:val="auto"/>
        </w:rPr>
      </w:pPr>
    </w:p>
    <w:p>
      <w:pPr>
        <w:ind w:firstLine="8"/>
        <w:spacing w:after="0" w:line="235" w:lineRule="auto"/>
        <w:tabs>
          <w:tab w:leader="none" w:pos="111" w:val="left"/>
        </w:tabs>
        <w:numPr>
          <w:ilvl w:val="0"/>
          <w:numId w:val="1"/>
        </w:numPr>
        <w:rPr>
          <w:rFonts w:ascii="Calibri" w:cs="Calibri" w:eastAsia="Calibri" w:hAnsi="Calibri"/>
          <w:sz w:val="15"/>
          <w:szCs w:val="15"/>
          <w:color w:val="auto"/>
        </w:rPr>
      </w:pPr>
      <w:r>
        <w:rPr>
          <w:rFonts w:ascii="Calibri" w:cs="Calibri" w:eastAsia="Calibri" w:hAnsi="Calibri"/>
          <w:sz w:val="18"/>
          <w:szCs w:val="18"/>
          <w:color w:val="auto"/>
        </w:rPr>
        <w:t>The remainder of this cover page shall be flled out for a reportng person's inital fling on this form with respect to the subject class of securites, and for any subsequent amendment containing informaton which would alter disclosures provided in a prior cover page.</w:t>
      </w:r>
    </w:p>
    <w:p>
      <w:pPr>
        <w:spacing w:after="0" w:line="218" w:lineRule="exact"/>
        <w:rPr>
          <w:sz w:val="24"/>
          <w:szCs w:val="24"/>
          <w:color w:val="auto"/>
        </w:rPr>
      </w:pPr>
    </w:p>
    <w:p>
      <w:pPr>
        <w:spacing w:after="0" w:line="258" w:lineRule="auto"/>
        <w:rPr>
          <w:sz w:val="20"/>
          <w:szCs w:val="20"/>
          <w:color w:val="auto"/>
        </w:rPr>
      </w:pPr>
      <w:r>
        <w:rPr>
          <w:rFonts w:ascii="Calibri" w:cs="Calibri" w:eastAsia="Calibri" w:hAnsi="Calibri"/>
          <w:sz w:val="17"/>
          <w:szCs w:val="17"/>
          <w:color w:val="auto"/>
        </w:rPr>
        <w:t>The informaton required on the remainder of this cover page shall not be deemed to be "fled" for the purpose of Secton 18 of the Securites Exchange Act of 1934 ("Act") or otherwise subject to the liabilites of that secton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 w:name="page2"/>
    <w:bookmarkEnd w:id="1"/>
    <w:p>
      <w:pPr>
        <w:spacing w:after="0"/>
        <w:rPr>
          <w:sz w:val="20"/>
          <w:szCs w:val="20"/>
          <w:color w:val="auto"/>
        </w:rPr>
      </w:pPr>
      <w:r>
        <w:rPr>
          <w:rFonts w:ascii="Calibri" w:cs="Calibri" w:eastAsia="Calibri" w:hAnsi="Calibri"/>
          <w:sz w:val="18"/>
          <w:szCs w:val="18"/>
          <w:b w:val="1"/>
          <w:bCs w:val="1"/>
          <w:color w:val="auto"/>
        </w:rPr>
        <w:t>CUSIP No. 87583X109</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vMerge w:val="restart"/>
          </w:tcPr>
          <w:p>
            <w:pPr>
              <w:ind w:left="40"/>
              <w:spacing w:after="0"/>
              <w:rPr>
                <w:sz w:val="20"/>
                <w:szCs w:val="20"/>
                <w:color w:val="auto"/>
              </w:rPr>
            </w:pPr>
            <w:r>
              <w:rPr>
                <w:rFonts w:ascii="Times New Roman" w:cs="Times New Roman" w:eastAsia="Times New Roman" w:hAnsi="Times New Roman"/>
                <w:sz w:val="22"/>
                <w:szCs w:val="22"/>
                <w:color w:val="auto"/>
              </w:rPr>
              <w:t>Boxer Capital Management, LLC</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right w:val="single" w:sz="8" w:color="auto"/>
            </w:tcBorders>
          </w:tcPr>
          <w:p>
            <w:pPr>
              <w:spacing w:after="0"/>
              <w:rPr>
                <w:sz w:val="16"/>
                <w:szCs w:val="16"/>
                <w:color w:val="auto"/>
              </w:rPr>
            </w:pPr>
          </w:p>
        </w:tc>
        <w:tc>
          <w:tcPr>
            <w:tcW w:w="9320" w:type="dxa"/>
            <w:vAlign w:val="bottom"/>
            <w:gridSpan w:val="4"/>
            <w:vMerge w:val="continue"/>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932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N/A</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4"/>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Delaware</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vMerge w:val="restart"/>
          </w:tcPr>
          <w:p>
            <w:pPr>
              <w:ind w:left="40"/>
              <w:spacing w:after="0"/>
              <w:rPr>
                <w:sz w:val="20"/>
                <w:szCs w:val="20"/>
                <w:color w:val="auto"/>
              </w:rPr>
            </w:pPr>
            <w:r>
              <w:rPr>
                <w:rFonts w:ascii="Calibri" w:cs="Calibri" w:eastAsia="Calibri" w:hAnsi="Calibri"/>
                <w:sz w:val="18"/>
                <w:szCs w:val="18"/>
                <w:color w:val="auto"/>
              </w:rPr>
              <w:t>6,988,450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0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8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400" w:type="dxa"/>
            <w:vAlign w:val="bottom"/>
            <w:tcBorders>
              <w:left w:val="single" w:sz="8" w:color="auto"/>
            </w:tcBorders>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vMerge w:val="restart"/>
          </w:tcPr>
          <w:p>
            <w:pPr>
              <w:ind w:left="40"/>
              <w:spacing w:after="0"/>
              <w:rPr>
                <w:sz w:val="20"/>
                <w:szCs w:val="20"/>
                <w:color w:val="auto"/>
              </w:rPr>
            </w:pPr>
            <w:r>
              <w:rPr>
                <w:rFonts w:ascii="Calibri" w:cs="Calibri" w:eastAsia="Calibri" w:hAnsi="Calibri"/>
                <w:sz w:val="18"/>
                <w:szCs w:val="18"/>
                <w:color w:val="auto"/>
              </w:rPr>
              <w:t>6,988,450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0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Calibri" w:cs="Calibri" w:eastAsia="Calibri" w:hAnsi="Calibri"/>
                <w:sz w:val="18"/>
                <w:szCs w:val="18"/>
                <w:color w:val="auto"/>
                <w:w w:val="98"/>
              </w:rPr>
              <w:t>6,988,450</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Calibri" w:cs="Calibri" w:eastAsia="Calibri" w:hAnsi="Calibri"/>
                <w:sz w:val="18"/>
                <w:szCs w:val="18"/>
                <w:color w:val="auto"/>
              </w:rPr>
              <w:t>6.5%</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4"/>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8" w:right="339" w:bottom="1440" w:gutter="0" w:footer="0" w:header="0"/>
        </w:sectPr>
      </w:pPr>
    </w:p>
    <w:bookmarkStart w:id="2" w:name="page3"/>
    <w:bookmarkEnd w:id="2"/>
    <w:p>
      <w:pPr>
        <w:spacing w:after="0"/>
        <w:rPr>
          <w:sz w:val="20"/>
          <w:szCs w:val="20"/>
          <w:color w:val="auto"/>
        </w:rPr>
      </w:pPr>
      <w:r>
        <w:rPr>
          <w:rFonts w:ascii="Calibri" w:cs="Calibri" w:eastAsia="Calibri" w:hAnsi="Calibri"/>
          <w:sz w:val="18"/>
          <w:szCs w:val="18"/>
          <w:b w:val="1"/>
          <w:bCs w:val="1"/>
          <w:color w:val="auto"/>
        </w:rPr>
        <w:t>CUSIP No. 87583X109</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vMerge w:val="restart"/>
          </w:tcPr>
          <w:p>
            <w:pPr>
              <w:ind w:left="40"/>
              <w:spacing w:after="0"/>
              <w:rPr>
                <w:sz w:val="20"/>
                <w:szCs w:val="20"/>
                <w:color w:val="auto"/>
              </w:rPr>
            </w:pPr>
            <w:r>
              <w:rPr>
                <w:rFonts w:ascii="Calibri" w:cs="Calibri" w:eastAsia="Calibri" w:hAnsi="Calibri"/>
                <w:sz w:val="18"/>
                <w:szCs w:val="18"/>
                <w:color w:val="auto"/>
                <w:w w:val="95"/>
              </w:rPr>
              <w:t>Boxer Capital, LLC</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4"/>
          </w:tcPr>
          <w:p>
            <w:pPr>
              <w:spacing w:after="0"/>
              <w:rPr>
                <w:sz w:val="6"/>
                <w:szCs w:val="6"/>
                <w:color w:val="auto"/>
              </w:rPr>
            </w:pPr>
          </w:p>
        </w:tc>
        <w:tc>
          <w:tcPr>
            <w:tcW w:w="52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N/A</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4"/>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jc w:val="right"/>
              <w:ind w:right="773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jc w:val="right"/>
              <w:ind w:right="773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8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20" w:type="dxa"/>
            <w:vAlign w:val="bottom"/>
          </w:tcPr>
          <w:p>
            <w:pPr>
              <w:spacing w:after="0"/>
              <w:rPr>
                <w:sz w:val="18"/>
                <w:szCs w:val="18"/>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8000" w:type="dxa"/>
            <w:vAlign w:val="bottom"/>
          </w:tcPr>
          <w:p>
            <w:pPr>
              <w:jc w:val="right"/>
              <w:ind w:right="773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jc w:val="right"/>
              <w:ind w:right="773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4"/>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8" w:right="339" w:bottom="1440" w:gutter="0" w:footer="0" w:header="0"/>
        </w:sectPr>
      </w:pPr>
    </w:p>
    <w:bookmarkStart w:id="3" w:name="page4"/>
    <w:bookmarkEnd w:id="3"/>
    <w:p>
      <w:pPr>
        <w:spacing w:after="0"/>
        <w:rPr>
          <w:sz w:val="20"/>
          <w:szCs w:val="20"/>
          <w:color w:val="auto"/>
        </w:rPr>
      </w:pPr>
      <w:r>
        <w:rPr>
          <w:rFonts w:ascii="Calibri" w:cs="Calibri" w:eastAsia="Calibri" w:hAnsi="Calibri"/>
          <w:sz w:val="18"/>
          <w:szCs w:val="18"/>
          <w:b w:val="1"/>
          <w:bCs w:val="1"/>
          <w:color w:val="auto"/>
        </w:rPr>
        <w:t>CUSIP No. 87583X109</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vMerge w:val="restart"/>
          </w:tcPr>
          <w:p>
            <w:pPr>
              <w:ind w:left="40"/>
              <w:spacing w:after="0"/>
              <w:rPr>
                <w:sz w:val="20"/>
                <w:szCs w:val="20"/>
                <w:color w:val="auto"/>
              </w:rPr>
            </w:pPr>
            <w:r>
              <w:rPr>
                <w:rFonts w:ascii="Calibri" w:cs="Calibri" w:eastAsia="Calibri" w:hAnsi="Calibri"/>
                <w:sz w:val="18"/>
                <w:szCs w:val="18"/>
                <w:color w:val="auto"/>
              </w:rPr>
              <w:t>MVA Investors, LLC</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932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4"/>
          </w:tcPr>
          <w:p>
            <w:pPr>
              <w:spacing w:after="0"/>
              <w:rPr>
                <w:sz w:val="6"/>
                <w:szCs w:val="6"/>
                <w:color w:val="auto"/>
              </w:rPr>
            </w:pPr>
          </w:p>
        </w:tc>
        <w:tc>
          <w:tcPr>
            <w:tcW w:w="52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N/A</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4"/>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0" w:type="dxa"/>
            <w:vAlign w:val="bottom"/>
          </w:tcPr>
          <w:p>
            <w:pPr>
              <w:spacing w:after="0"/>
              <w:rPr>
                <w:sz w:val="21"/>
                <w:szCs w:val="21"/>
                <w:color w:val="auto"/>
              </w:rPr>
            </w:pPr>
          </w:p>
        </w:tc>
        <w:tc>
          <w:tcPr>
            <w:tcW w:w="560" w:type="dxa"/>
            <w:vAlign w:val="bottom"/>
            <w:tcBorders>
              <w:right w:val="single" w:sz="8" w:color="auto"/>
            </w:tcBorders>
            <w:vMerge w:val="continue"/>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40" w:type="dxa"/>
            <w:vAlign w:val="bottom"/>
            <w:tcBorders>
              <w:left w:val="single" w:sz="8" w:color="auto"/>
              <w:right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000" w:type="dxa"/>
            <w:vAlign w:val="bottom"/>
          </w:tcPr>
          <w:p>
            <w:pPr>
              <w:ind w:left="40"/>
              <w:spacing w:after="0" w:line="201" w:lineRule="exact"/>
              <w:rPr>
                <w:sz w:val="20"/>
                <w:szCs w:val="20"/>
                <w:color w:val="auto"/>
              </w:rPr>
            </w:pPr>
            <w:r>
              <w:rPr>
                <w:rFonts w:ascii="Calibri" w:cs="Calibri" w:eastAsia="Calibri" w:hAnsi="Calibri"/>
                <w:sz w:val="18"/>
                <w:szCs w:val="18"/>
                <w:color w:val="auto"/>
              </w:rPr>
              <w:t>108,793</w:t>
            </w:r>
          </w:p>
        </w:tc>
        <w:tc>
          <w:tcPr>
            <w:tcW w:w="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20" w:type="dxa"/>
            <w:vAlign w:val="bottom"/>
          </w:tcPr>
          <w:p>
            <w:pPr>
              <w:spacing w:after="0"/>
              <w:rPr>
                <w:sz w:val="18"/>
                <w:szCs w:val="18"/>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80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vMerge w:val="restart"/>
          </w:tcPr>
          <w:p>
            <w:pPr>
              <w:ind w:left="40"/>
              <w:spacing w:after="0"/>
              <w:rPr>
                <w:sz w:val="20"/>
                <w:szCs w:val="20"/>
                <w:color w:val="auto"/>
              </w:rPr>
            </w:pPr>
            <w:r>
              <w:rPr>
                <w:rFonts w:ascii="Calibri" w:cs="Calibri" w:eastAsia="Calibri" w:hAnsi="Calibri"/>
                <w:sz w:val="18"/>
                <w:szCs w:val="18"/>
                <w:color w:val="auto"/>
              </w:rPr>
              <w:t>108,793</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80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Calibri" w:cs="Calibri" w:eastAsia="Calibri" w:hAnsi="Calibri"/>
                <w:sz w:val="18"/>
                <w:szCs w:val="18"/>
                <w:color w:val="auto"/>
                <w:w w:val="94"/>
              </w:rPr>
              <w:t>108,793</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Calibri" w:cs="Calibri" w:eastAsia="Calibri" w:hAnsi="Calibri"/>
                <w:sz w:val="18"/>
                <w:szCs w:val="18"/>
                <w:color w:val="auto"/>
              </w:rPr>
              <w:t>0.1%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4"/>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8" w:right="33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b w:val="1"/>
          <w:bCs w:val="1"/>
          <w:color w:val="auto"/>
        </w:rPr>
        <w:t>CUSIP No. 87583X109</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vMerge w:val="restart"/>
          </w:tcPr>
          <w:p>
            <w:pPr>
              <w:ind w:left="40"/>
              <w:spacing w:after="0"/>
              <w:rPr>
                <w:sz w:val="20"/>
                <w:szCs w:val="20"/>
                <w:color w:val="auto"/>
              </w:rPr>
            </w:pPr>
            <w:r>
              <w:rPr>
                <w:rFonts w:ascii="Calibri" w:cs="Calibri" w:eastAsia="Calibri" w:hAnsi="Calibri"/>
                <w:sz w:val="18"/>
                <w:szCs w:val="18"/>
                <w:color w:val="auto"/>
              </w:rPr>
              <w:t>Aaron I. Davis</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932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4"/>
          </w:tcPr>
          <w:p>
            <w:pPr>
              <w:spacing w:after="0"/>
              <w:rPr>
                <w:sz w:val="6"/>
                <w:szCs w:val="6"/>
                <w:color w:val="auto"/>
              </w:rPr>
            </w:pPr>
          </w:p>
        </w:tc>
        <w:tc>
          <w:tcPr>
            <w:tcW w:w="52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9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N/A</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4"/>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vMerge w:val="restart"/>
          </w:tcPr>
          <w:p>
            <w:pPr>
              <w:ind w:left="40"/>
              <w:spacing w:after="0"/>
              <w:rPr>
                <w:sz w:val="20"/>
                <w:szCs w:val="20"/>
                <w:color w:val="auto"/>
              </w:rPr>
            </w:pPr>
            <w:r>
              <w:rPr>
                <w:rFonts w:ascii="Calibri" w:cs="Calibri" w:eastAsia="Calibri" w:hAnsi="Calibri"/>
                <w:sz w:val="18"/>
                <w:szCs w:val="18"/>
                <w:color w:val="auto"/>
              </w:rPr>
              <w:t>United States of America</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932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vMerge w:val="restart"/>
          </w:tcPr>
          <w:p>
            <w:pPr>
              <w:ind w:left="40"/>
              <w:spacing w:after="0"/>
              <w:rPr>
                <w:sz w:val="20"/>
                <w:szCs w:val="20"/>
                <w:color w:val="auto"/>
              </w:rPr>
            </w:pPr>
            <w:r>
              <w:rPr>
                <w:rFonts w:ascii="Calibri" w:cs="Calibri" w:eastAsia="Calibri" w:hAnsi="Calibri"/>
                <w:sz w:val="18"/>
                <w:szCs w:val="18"/>
                <w:color w:val="auto"/>
              </w:rPr>
              <w:t>32,500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0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21"/>
                <w:szCs w:val="21"/>
                <w:color w:val="auto"/>
              </w:rPr>
            </w:pPr>
          </w:p>
        </w:tc>
        <w:tc>
          <w:tcPr>
            <w:tcW w:w="540" w:type="dxa"/>
            <w:vAlign w:val="bottom"/>
            <w:tcBorders>
              <w:right w:val="single" w:sz="8" w:color="auto"/>
            </w:tcBorders>
            <w:vMerge w:val="continue"/>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40" w:type="dxa"/>
            <w:vAlign w:val="bottom"/>
            <w:tcBorders>
              <w:left w:val="single" w:sz="8" w:color="auto"/>
              <w:right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8000" w:type="dxa"/>
            <w:vAlign w:val="bottom"/>
          </w:tcPr>
          <w:p>
            <w:pPr>
              <w:ind w:left="40"/>
              <w:spacing w:after="0" w:line="201" w:lineRule="exact"/>
              <w:rPr>
                <w:sz w:val="20"/>
                <w:szCs w:val="20"/>
                <w:color w:val="auto"/>
              </w:rPr>
            </w:pPr>
            <w:r>
              <w:rPr>
                <w:rFonts w:ascii="Calibri" w:cs="Calibri" w:eastAsia="Calibri" w:hAnsi="Calibri"/>
                <w:sz w:val="18"/>
                <w:szCs w:val="18"/>
                <w:color w:val="auto"/>
              </w:rPr>
              <w:t>8,307,435</w:t>
            </w:r>
          </w:p>
        </w:tc>
        <w:tc>
          <w:tcPr>
            <w:tcW w:w="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400" w:type="dxa"/>
            <w:vAlign w:val="bottom"/>
            <w:tcBorders>
              <w:left w:val="single" w:sz="8" w:color="auto"/>
            </w:tcBorders>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vMerge w:val="restart"/>
          </w:tcPr>
          <w:p>
            <w:pPr>
              <w:ind w:left="40"/>
              <w:spacing w:after="0"/>
              <w:rPr>
                <w:sz w:val="20"/>
                <w:szCs w:val="20"/>
                <w:color w:val="auto"/>
              </w:rPr>
            </w:pPr>
            <w:r>
              <w:rPr>
                <w:rFonts w:ascii="Calibri" w:cs="Calibri" w:eastAsia="Calibri" w:hAnsi="Calibri"/>
                <w:sz w:val="18"/>
                <w:szCs w:val="18"/>
                <w:color w:val="auto"/>
              </w:rPr>
              <w:t>32,500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0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vMerge w:val="restart"/>
          </w:tcPr>
          <w:p>
            <w:pPr>
              <w:ind w:left="40"/>
              <w:spacing w:after="0"/>
              <w:rPr>
                <w:sz w:val="20"/>
                <w:szCs w:val="20"/>
                <w:color w:val="auto"/>
              </w:rPr>
            </w:pPr>
            <w:r>
              <w:rPr>
                <w:rFonts w:ascii="Calibri" w:cs="Calibri" w:eastAsia="Calibri" w:hAnsi="Calibri"/>
                <w:sz w:val="18"/>
                <w:szCs w:val="18"/>
                <w:color w:val="auto"/>
              </w:rPr>
              <w:t>8,307,435</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0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Calibri" w:cs="Calibri" w:eastAsia="Calibri" w:hAnsi="Calibri"/>
                <w:sz w:val="18"/>
                <w:szCs w:val="18"/>
                <w:color w:val="auto"/>
                <w:w w:val="98"/>
              </w:rPr>
              <w:t>8,339,935</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Calibri" w:cs="Calibri" w:eastAsia="Calibri" w:hAnsi="Calibri"/>
                <w:sz w:val="18"/>
                <w:szCs w:val="18"/>
                <w:color w:val="auto"/>
              </w:rPr>
              <w:t>7.8%</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8" w:right="33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b w:val="1"/>
          <w:bCs w:val="1"/>
          <w:color w:val="auto"/>
        </w:rPr>
        <w:t>CUSIP No. 87583X109</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vMerge w:val="restart"/>
          </w:tcPr>
          <w:p>
            <w:pPr>
              <w:ind w:left="40"/>
              <w:spacing w:after="0"/>
              <w:rPr>
                <w:sz w:val="20"/>
                <w:szCs w:val="20"/>
                <w:color w:val="auto"/>
              </w:rPr>
            </w:pPr>
            <w:r>
              <w:rPr>
                <w:rFonts w:ascii="Calibri" w:cs="Calibri" w:eastAsia="Calibri" w:hAnsi="Calibri"/>
                <w:sz w:val="18"/>
                <w:szCs w:val="18"/>
                <w:color w:val="auto"/>
              </w:rPr>
              <w:t>Boxer Capital Management, LLC</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932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4"/>
          </w:tcPr>
          <w:p>
            <w:pPr>
              <w:spacing w:after="0"/>
              <w:rPr>
                <w:sz w:val="6"/>
                <w:szCs w:val="6"/>
                <w:color w:val="auto"/>
              </w:rPr>
            </w:pPr>
          </w:p>
        </w:tc>
        <w:tc>
          <w:tcPr>
            <w:tcW w:w="52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N/A</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4"/>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Delaware</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21"/>
                <w:szCs w:val="21"/>
                <w:color w:val="auto"/>
              </w:rPr>
            </w:pPr>
          </w:p>
        </w:tc>
        <w:tc>
          <w:tcPr>
            <w:tcW w:w="540" w:type="dxa"/>
            <w:vAlign w:val="bottom"/>
            <w:tcBorders>
              <w:right w:val="single" w:sz="8" w:color="auto"/>
            </w:tcBorders>
            <w:vMerge w:val="continue"/>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40" w:type="dxa"/>
            <w:vAlign w:val="bottom"/>
            <w:tcBorders>
              <w:left w:val="single" w:sz="8" w:color="auto"/>
              <w:right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8000" w:type="dxa"/>
            <w:vAlign w:val="bottom"/>
          </w:tcPr>
          <w:p>
            <w:pPr>
              <w:ind w:left="40"/>
              <w:spacing w:after="0" w:line="201" w:lineRule="exact"/>
              <w:rPr>
                <w:sz w:val="20"/>
                <w:szCs w:val="20"/>
                <w:color w:val="auto"/>
              </w:rPr>
            </w:pPr>
            <w:r>
              <w:rPr>
                <w:rFonts w:ascii="Calibri" w:cs="Calibri" w:eastAsia="Calibri" w:hAnsi="Calibri"/>
                <w:sz w:val="18"/>
                <w:szCs w:val="18"/>
                <w:color w:val="auto"/>
              </w:rPr>
              <w:t>8,198,642</w:t>
            </w:r>
          </w:p>
        </w:tc>
        <w:tc>
          <w:tcPr>
            <w:tcW w:w="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80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vMerge w:val="restart"/>
          </w:tcPr>
          <w:p>
            <w:pPr>
              <w:ind w:left="40"/>
              <w:spacing w:after="0"/>
              <w:rPr>
                <w:sz w:val="20"/>
                <w:szCs w:val="20"/>
                <w:color w:val="auto"/>
              </w:rPr>
            </w:pPr>
            <w:r>
              <w:rPr>
                <w:rFonts w:ascii="Calibri" w:cs="Calibri" w:eastAsia="Calibri" w:hAnsi="Calibri"/>
                <w:sz w:val="18"/>
                <w:szCs w:val="18"/>
                <w:color w:val="auto"/>
              </w:rPr>
              <w:t>8,198,642</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0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Calibri" w:cs="Calibri" w:eastAsia="Calibri" w:hAnsi="Calibri"/>
                <w:sz w:val="18"/>
                <w:szCs w:val="18"/>
                <w:color w:val="auto"/>
                <w:w w:val="98"/>
              </w:rPr>
              <w:t>8,198,642</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Calibri" w:cs="Calibri" w:eastAsia="Calibri" w:hAnsi="Calibri"/>
                <w:sz w:val="18"/>
                <w:szCs w:val="18"/>
                <w:color w:val="auto"/>
              </w:rPr>
              <w:t>7.6%</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OO, IA</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24"/>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8" w:right="339" w:bottom="1440" w:gutter="0" w:footer="0" w:header="0"/>
        </w:sectPr>
      </w:pPr>
    </w:p>
    <w:bookmarkStart w:id="6" w:name="page7"/>
    <w:bookmarkEnd w:id="6"/>
    <w:p>
      <w:pPr>
        <w:jc w:val="both"/>
        <w:ind w:right="60" w:firstLine="648"/>
        <w:spacing w:after="0" w:line="250" w:lineRule="auto"/>
        <w:rPr>
          <w:sz w:val="20"/>
          <w:szCs w:val="20"/>
          <w:color w:val="auto"/>
        </w:rPr>
      </w:pPr>
      <w:r>
        <w:rPr>
          <w:rFonts w:ascii="Calibri" w:cs="Calibri" w:eastAsia="Calibri" w:hAnsi="Calibri"/>
          <w:sz w:val="17"/>
          <w:szCs w:val="17"/>
          <w:color w:val="auto"/>
        </w:rPr>
        <w:t>With respect to BCTG Holdings, LLC (“</w:t>
      </w:r>
      <w:r>
        <w:rPr>
          <w:rFonts w:ascii="Calibri" w:cs="Calibri" w:eastAsia="Calibri" w:hAnsi="Calibri"/>
          <w:sz w:val="17"/>
          <w:szCs w:val="17"/>
          <w:u w:val="single" w:color="auto"/>
          <w:color w:val="auto"/>
        </w:rPr>
        <w:t>BCTG Holdings</w:t>
      </w:r>
      <w:r>
        <w:rPr>
          <w:rFonts w:ascii="Calibri" w:cs="Calibri" w:eastAsia="Calibri" w:hAnsi="Calibri"/>
          <w:sz w:val="17"/>
          <w:szCs w:val="17"/>
          <w:color w:val="auto"/>
        </w:rPr>
        <w:t>”), MVA Investors, LLC (“</w:t>
      </w:r>
      <w:r>
        <w:rPr>
          <w:rFonts w:ascii="Calibri" w:cs="Calibri" w:eastAsia="Calibri" w:hAnsi="Calibri"/>
          <w:sz w:val="17"/>
          <w:szCs w:val="17"/>
          <w:u w:val="single" w:color="auto"/>
          <w:color w:val="auto"/>
        </w:rPr>
        <w:t>MVA Investors</w:t>
      </w:r>
      <w:r>
        <w:rPr>
          <w:rFonts w:ascii="Calibri" w:cs="Calibri" w:eastAsia="Calibri" w:hAnsi="Calibri"/>
          <w:sz w:val="17"/>
          <w:szCs w:val="17"/>
          <w:color w:val="auto"/>
        </w:rPr>
        <w:t>”), Aaron I. Davis and Boxer Capital, LLC (“</w:t>
      </w:r>
      <w:r>
        <w:rPr>
          <w:rFonts w:ascii="Calibri" w:cs="Calibri" w:eastAsia="Calibri" w:hAnsi="Calibri"/>
          <w:sz w:val="17"/>
          <w:szCs w:val="17"/>
          <w:u w:val="single" w:color="auto"/>
          <w:color w:val="auto"/>
        </w:rPr>
        <w:t>Boxer Capital</w:t>
      </w:r>
      <w:r>
        <w:rPr>
          <w:rFonts w:ascii="Calibri" w:cs="Calibri" w:eastAsia="Calibri" w:hAnsi="Calibri"/>
          <w:sz w:val="17"/>
          <w:szCs w:val="17"/>
          <w:color w:val="auto"/>
        </w:rPr>
        <w:t>”), this amendment (this “</w:t>
      </w:r>
      <w:r>
        <w:rPr>
          <w:rFonts w:ascii="Calibri" w:cs="Calibri" w:eastAsia="Calibri" w:hAnsi="Calibri"/>
          <w:sz w:val="17"/>
          <w:szCs w:val="17"/>
          <w:u w:val="single" w:color="auto"/>
          <w:color w:val="auto"/>
        </w:rPr>
        <w:t>Amendment No. 4</w:t>
      </w:r>
      <w:r>
        <w:rPr>
          <w:rFonts w:ascii="Calibri" w:cs="Calibri" w:eastAsia="Calibri" w:hAnsi="Calibri"/>
          <w:sz w:val="17"/>
          <w:szCs w:val="17"/>
          <w:color w:val="auto"/>
        </w:rPr>
        <w:t>”) further amends and supplements the statement on Schedule 13D fled on August 20, 2021 (the “</w:t>
      </w:r>
      <w:r>
        <w:rPr>
          <w:rFonts w:ascii="Calibri" w:cs="Calibri" w:eastAsia="Calibri" w:hAnsi="Calibri"/>
          <w:sz w:val="17"/>
          <w:szCs w:val="17"/>
          <w:u w:val="single" w:color="auto"/>
          <w:color w:val="auto"/>
        </w:rPr>
        <w:t>Original Filing</w:t>
      </w:r>
      <w:r>
        <w:rPr>
          <w:rFonts w:ascii="Calibri" w:cs="Calibri" w:eastAsia="Calibri" w:hAnsi="Calibri"/>
          <w:sz w:val="17"/>
          <w:szCs w:val="17"/>
          <w:color w:val="auto"/>
        </w:rPr>
        <w:t>”) by BCTG Holdings, Boxer Capital, Boxer Asset Management Inc. (“</w:t>
      </w:r>
      <w:r>
        <w:rPr>
          <w:rFonts w:ascii="Calibri" w:cs="Calibri" w:eastAsia="Calibri" w:hAnsi="Calibri"/>
          <w:sz w:val="17"/>
          <w:szCs w:val="17"/>
          <w:u w:val="single" w:color="auto"/>
          <w:color w:val="auto"/>
        </w:rPr>
        <w:t>Boxer Management</w:t>
      </w:r>
      <w:r>
        <w:rPr>
          <w:rFonts w:ascii="Calibri" w:cs="Calibri" w:eastAsia="Calibri" w:hAnsi="Calibri"/>
          <w:sz w:val="17"/>
          <w:szCs w:val="17"/>
          <w:color w:val="auto"/>
        </w:rPr>
        <w:t>”), MVA Investors, Mr. Davis and Joe Lewis with respect to the Common Stock, par value $0.001 (the “</w:t>
      </w:r>
      <w:r>
        <w:rPr>
          <w:rFonts w:ascii="Calibri" w:cs="Calibri" w:eastAsia="Calibri" w:hAnsi="Calibri"/>
          <w:sz w:val="17"/>
          <w:szCs w:val="17"/>
          <w:u w:val="single" w:color="auto"/>
          <w:color w:val="auto"/>
        </w:rPr>
        <w:t>Common Stock</w:t>
      </w:r>
      <w:r>
        <w:rPr>
          <w:rFonts w:ascii="Calibri" w:cs="Calibri" w:eastAsia="Calibri" w:hAnsi="Calibri"/>
          <w:sz w:val="17"/>
          <w:szCs w:val="17"/>
          <w:color w:val="auto"/>
        </w:rPr>
        <w:t>”) of Tango Therapeutcs, Inc. (the “</w:t>
      </w:r>
      <w:r>
        <w:rPr>
          <w:rFonts w:ascii="Calibri" w:cs="Calibri" w:eastAsia="Calibri" w:hAnsi="Calibri"/>
          <w:sz w:val="17"/>
          <w:szCs w:val="17"/>
          <w:u w:val="single" w:color="auto"/>
          <w:color w:val="auto"/>
        </w:rPr>
        <w:t>Issuer</w:t>
      </w:r>
      <w:r>
        <w:rPr>
          <w:rFonts w:ascii="Calibri" w:cs="Calibri" w:eastAsia="Calibri" w:hAnsi="Calibri"/>
          <w:sz w:val="17"/>
          <w:szCs w:val="17"/>
          <w:color w:val="auto"/>
        </w:rPr>
        <w:t>”), as previously amended and fled on January 4, 2022 (“</w:t>
      </w:r>
      <w:r>
        <w:rPr>
          <w:rFonts w:ascii="Calibri" w:cs="Calibri" w:eastAsia="Calibri" w:hAnsi="Calibri"/>
          <w:sz w:val="17"/>
          <w:szCs w:val="17"/>
          <w:u w:val="single" w:color="auto"/>
          <w:color w:val="auto"/>
        </w:rPr>
        <w:t>Amendment</w:t>
      </w:r>
      <w:r>
        <w:rPr>
          <w:rFonts w:ascii="Calibri" w:cs="Calibri" w:eastAsia="Calibri" w:hAnsi="Calibri"/>
          <w:sz w:val="17"/>
          <w:szCs w:val="17"/>
          <w:color w:val="auto"/>
        </w:rPr>
        <w:t xml:space="preserve"> </w:t>
      </w:r>
      <w:r>
        <w:rPr>
          <w:rFonts w:ascii="Calibri" w:cs="Calibri" w:eastAsia="Calibri" w:hAnsi="Calibri"/>
          <w:sz w:val="17"/>
          <w:szCs w:val="17"/>
          <w:u w:val="single" w:color="auto"/>
          <w:color w:val="auto"/>
        </w:rPr>
        <w:t>No. 1</w:t>
      </w:r>
      <w:r>
        <w:rPr>
          <w:rFonts w:ascii="Calibri" w:cs="Calibri" w:eastAsia="Calibri" w:hAnsi="Calibri"/>
          <w:sz w:val="17"/>
          <w:szCs w:val="17"/>
          <w:color w:val="auto"/>
        </w:rPr>
        <w:t>”), August 16, 2023 (“</w:t>
      </w:r>
      <w:r>
        <w:rPr>
          <w:rFonts w:ascii="Calibri" w:cs="Calibri" w:eastAsia="Calibri" w:hAnsi="Calibri"/>
          <w:sz w:val="17"/>
          <w:szCs w:val="17"/>
          <w:u w:val="single" w:color="auto"/>
          <w:color w:val="auto"/>
        </w:rPr>
        <w:t>Amendment No. 2</w:t>
      </w:r>
      <w:r>
        <w:rPr>
          <w:rFonts w:ascii="Calibri" w:cs="Calibri" w:eastAsia="Calibri" w:hAnsi="Calibri"/>
          <w:sz w:val="17"/>
          <w:szCs w:val="17"/>
          <w:color w:val="auto"/>
        </w:rPr>
        <w:t>”) and October 18, 2023 (“</w:t>
      </w:r>
      <w:r>
        <w:rPr>
          <w:rFonts w:ascii="Calibri" w:cs="Calibri" w:eastAsia="Calibri" w:hAnsi="Calibri"/>
          <w:sz w:val="17"/>
          <w:szCs w:val="17"/>
          <w:u w:val="single" w:color="auto"/>
          <w:color w:val="auto"/>
        </w:rPr>
        <w:t>Amendment No. 3</w:t>
      </w:r>
      <w:r>
        <w:rPr>
          <w:rFonts w:ascii="Calibri" w:cs="Calibri" w:eastAsia="Calibri" w:hAnsi="Calibri"/>
          <w:sz w:val="17"/>
          <w:szCs w:val="17"/>
          <w:color w:val="auto"/>
        </w:rPr>
        <w:t>”). Amendment No. 1 was an original fling for Braslyn Ltd. (“</w:t>
      </w:r>
      <w:r>
        <w:rPr>
          <w:rFonts w:ascii="Calibri" w:cs="Calibri" w:eastAsia="Calibri" w:hAnsi="Calibri"/>
          <w:sz w:val="17"/>
          <w:szCs w:val="17"/>
          <w:u w:val="single" w:color="auto"/>
          <w:color w:val="auto"/>
        </w:rPr>
        <w:t>Braslyn</w:t>
      </w:r>
      <w:r>
        <w:rPr>
          <w:rFonts w:ascii="Calibri" w:cs="Calibri" w:eastAsia="Calibri" w:hAnsi="Calibri"/>
          <w:sz w:val="17"/>
          <w:szCs w:val="17"/>
          <w:color w:val="auto"/>
        </w:rPr>
        <w:t>”). On October 10, 2024, Boxer Capital entered into an investment management agreement (the “</w:t>
      </w:r>
      <w:r>
        <w:rPr>
          <w:rFonts w:ascii="Calibri" w:cs="Calibri" w:eastAsia="Calibri" w:hAnsi="Calibri"/>
          <w:sz w:val="17"/>
          <w:szCs w:val="17"/>
          <w:u w:val="single" w:color="auto"/>
          <w:color w:val="auto"/>
        </w:rPr>
        <w:t>IMA</w:t>
      </w:r>
      <w:r>
        <w:rPr>
          <w:rFonts w:ascii="Calibri" w:cs="Calibri" w:eastAsia="Calibri" w:hAnsi="Calibri"/>
          <w:sz w:val="17"/>
          <w:szCs w:val="17"/>
          <w:color w:val="auto"/>
        </w:rPr>
        <w:t>”) with Boxer Capital Management, LLC (“</w:t>
      </w:r>
      <w:r>
        <w:rPr>
          <w:rFonts w:ascii="Calibri" w:cs="Calibri" w:eastAsia="Calibri" w:hAnsi="Calibri"/>
          <w:sz w:val="17"/>
          <w:szCs w:val="17"/>
          <w:u w:val="single" w:color="auto"/>
          <w:color w:val="auto"/>
        </w:rPr>
        <w:t>BCM</w:t>
      </w:r>
      <w:r>
        <w:rPr>
          <w:rFonts w:ascii="Calibri" w:cs="Calibri" w:eastAsia="Calibri" w:hAnsi="Calibri"/>
          <w:sz w:val="17"/>
          <w:szCs w:val="17"/>
          <w:color w:val="auto"/>
        </w:rPr>
        <w:t>”), a registered investment advisor controlled by Mr. Davis. Pursuant to the IMA, Boxer Capital has delegated exclusive votng and investment power over its investment portolio to BCM. Consequently, BCM has acquired benefcial ownership of the securites held in Boxer Capital’s investment portolio and, without refectng any change in its economic interest in such securites, Boxer Capital has thereby ceased to benefcially own the securites held in its investment portolio, including shares of Common Stock. To the extent applicable, the Original Filing, as previously and hereby amended, is hereby adopted by BCM as its original fling on Schedule 13D regarding the Issuer. Capitalized terms used herein but not defned herein shall have the respectve meanings defned in the Original Filing, as previously amended. The Original Filing, as previously amended, is further amended hereby only as specifcally set forth herein, provided that with respect to any Item amended herein, if such Item is incorporated by reference into any other Item in the Original Filing, as previously amended, such incorporaton by reference is also amended hereby. Boxer Capital reports herein that it has ceased to benefcially own more than 5% of the outstanding shares of Common Stock. On or about the day of this fling, Boxer Management, Braslyn and Mr. Lewis are independently amending the Original Filing with respect to themselves; see that fling for any required informaton pertaining to any of them.</w:t>
      </w:r>
    </w:p>
    <w:p>
      <w:pPr>
        <w:spacing w:after="0" w:line="209" w:lineRule="exact"/>
        <w:rPr>
          <w:sz w:val="20"/>
          <w:szCs w:val="20"/>
          <w:color w:val="auto"/>
        </w:rPr>
      </w:pPr>
    </w:p>
    <w:p>
      <w:pPr>
        <w:spacing w:after="0"/>
        <w:tabs>
          <w:tab w:leader="none" w:pos="1140" w:val="left"/>
        </w:tabs>
        <w:rPr>
          <w:sz w:val="20"/>
          <w:szCs w:val="20"/>
          <w:color w:val="auto"/>
        </w:rPr>
      </w:pPr>
      <w:r>
        <w:rPr>
          <w:rFonts w:ascii="Calibri" w:cs="Calibri" w:eastAsia="Calibri" w:hAnsi="Calibri"/>
          <w:sz w:val="18"/>
          <w:szCs w:val="18"/>
          <w:b w:val="1"/>
          <w:bCs w:val="1"/>
          <w:color w:val="auto"/>
        </w:rPr>
        <w:t>Item 2.</w:t>
      </w:r>
      <w:r>
        <w:rPr>
          <w:sz w:val="20"/>
          <w:szCs w:val="20"/>
          <w:color w:val="auto"/>
        </w:rPr>
        <w:tab/>
      </w:r>
      <w:r>
        <w:rPr>
          <w:rFonts w:ascii="Calibri" w:cs="Calibri" w:eastAsia="Calibri" w:hAnsi="Calibri"/>
          <w:sz w:val="17"/>
          <w:szCs w:val="17"/>
          <w:b w:val="1"/>
          <w:bCs w:val="1"/>
          <w:color w:val="auto"/>
        </w:rPr>
        <w:t>Identty and Background.</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Item 2 is hereby amended and restated to read as follows:</w:t>
      </w:r>
    </w:p>
    <w:p>
      <w:pPr>
        <w:spacing w:after="0" w:line="212"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color w:val="auto"/>
        </w:rPr>
        <w:t>This Schedule 13D is jointly fled by BCTG Holdings, Boxer Capital, MVA Investors, Mr. Davis and BCM (collectvely, the "Reportng Persons").</w:t>
      </w:r>
    </w:p>
    <w:p>
      <w:pPr>
        <w:spacing w:after="0" w:line="217"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18"/>
          <w:szCs w:val="18"/>
          <w:color w:val="auto"/>
        </w:rPr>
        <w:t>BCTG Holdings, a limited liability company organized under the laws of Delaware, is primarily involved in the business of investment in securites. BCTG Holdings is majority-owned by Boxer Capital and Mr. Davis is a manager of BCTG Holdings. The board of managers of BCTG Holdings has votng and dispositve power over securites owned by BCTG Holdings.</w:t>
      </w:r>
    </w:p>
    <w:p>
      <w:pPr>
        <w:spacing w:after="0" w:line="219"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18"/>
          <w:szCs w:val="18"/>
          <w:color w:val="auto"/>
        </w:rPr>
        <w:t>Boxer Capital is a limited liability company organized under the laws of Delaware. BCM, a limited liability company organized under the laws of Delaware, is a registered investment advisor, providing investment management services to Boxer Capital. Each of Boxer Capital and BCM is primarily engaged in the business of investng in securites.</w:t>
      </w:r>
    </w:p>
    <w:p>
      <w:pPr>
        <w:spacing w:after="0" w:line="219"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18"/>
          <w:szCs w:val="18"/>
          <w:color w:val="auto"/>
        </w:rPr>
        <w:t>MVA Investors, a limited liability company organized under the laws of Delaware, is the independent, personal investment vehicle of certain employees of BCM. MVA Investors is primarily engaged in the business of investment in securites.</w:t>
      </w:r>
    </w:p>
    <w:p>
      <w:pPr>
        <w:spacing w:after="0" w:line="218"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18"/>
          <w:szCs w:val="18"/>
          <w:color w:val="auto"/>
        </w:rPr>
        <w:t>Mr. Davis, a citzen of the United States and the Chief Executve Ofcer of Boxer Capital and is a member of and has votng and dispositve power over securites held by MVA Investors and BCM. With his immediate family, Mr. Davis indirectly owns the membership interests in BCM.</w:t>
      </w:r>
    </w:p>
    <w:p>
      <w:pPr>
        <w:spacing w:after="0" w:line="218" w:lineRule="exact"/>
        <w:rPr>
          <w:sz w:val="20"/>
          <w:szCs w:val="20"/>
          <w:color w:val="auto"/>
        </w:rPr>
      </w:pPr>
    </w:p>
    <w:p>
      <w:pPr>
        <w:ind w:right="300" w:firstLine="648"/>
        <w:spacing w:after="0" w:line="235" w:lineRule="auto"/>
        <w:rPr>
          <w:sz w:val="20"/>
          <w:szCs w:val="20"/>
          <w:color w:val="auto"/>
        </w:rPr>
      </w:pPr>
      <w:r>
        <w:rPr>
          <w:rFonts w:ascii="Calibri" w:cs="Calibri" w:eastAsia="Calibri" w:hAnsi="Calibri"/>
          <w:sz w:val="18"/>
          <w:szCs w:val="18"/>
          <w:color w:val="auto"/>
        </w:rPr>
        <w:t>By virtue of these relatonships, BCTG Holdings, Boxer Capital, MVA Investors, Mr. Davis and BCM may be deemed to be members of a group, but disclaim the existence of any such group.</w:t>
      </w:r>
    </w:p>
    <w:p>
      <w:pPr>
        <w:spacing w:after="0" w:line="218"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18"/>
          <w:szCs w:val="18"/>
          <w:color w:val="auto"/>
        </w:rPr>
        <w:t>The address of each of BCTG Holdings, Boxer Capital, MVA Investors, Mr. Davis and BCM for purposes of this fling is: 12860 El Camino Real, Suite 300, San Diego, CA 92130.</w:t>
      </w:r>
    </w:p>
    <w:p>
      <w:pPr>
        <w:spacing w:after="0" w:line="218"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18"/>
          <w:szCs w:val="18"/>
          <w:color w:val="auto"/>
        </w:rPr>
        <w:t xml:space="preserve">Set forth on </w:t>
      </w:r>
      <w:r>
        <w:rPr>
          <w:rFonts w:ascii="Calibri" w:cs="Calibri" w:eastAsia="Calibri" w:hAnsi="Calibri"/>
          <w:sz w:val="18"/>
          <w:szCs w:val="18"/>
          <w:u w:val="single" w:color="auto"/>
          <w:color w:val="auto"/>
        </w:rPr>
        <w:t>Schedule A</w:t>
      </w:r>
      <w:r>
        <w:rPr>
          <w:rFonts w:ascii="Calibri" w:cs="Calibri" w:eastAsia="Calibri" w:hAnsi="Calibri"/>
          <w:sz w:val="18"/>
          <w:szCs w:val="18"/>
          <w:color w:val="auto"/>
        </w:rPr>
        <w:t>, and incorporated herein by reference, is the (a) name, (b) residence or business address, (c) present principal occupaton or employment and (d) citzenship, of each executve ofcer and director of each of BCTG Holdings, Boxer Capital, MVA Investors and BCM, and (e) name of any corporaton or other organizaton in which such occupaton or employment is conducted, together with the principal business and address of any such corporaton or organizaton other than BCTG Holdings, Boxer Capital, MVA Investors or BCM.</w:t>
      </w:r>
    </w:p>
    <w:p>
      <w:pPr>
        <w:spacing w:after="0" w:line="219"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18"/>
          <w:szCs w:val="18"/>
          <w:color w:val="auto"/>
        </w:rPr>
        <w:t xml:space="preserve">None of the Reportng Persons nor any of the individuals identfed on </w:t>
      </w:r>
      <w:r>
        <w:rPr>
          <w:rFonts w:ascii="Calibri" w:cs="Calibri" w:eastAsia="Calibri" w:hAnsi="Calibri"/>
          <w:sz w:val="18"/>
          <w:szCs w:val="18"/>
          <w:u w:val="single" w:color="auto"/>
          <w:color w:val="auto"/>
        </w:rPr>
        <w:t>Schedule A</w:t>
      </w:r>
      <w:r>
        <w:rPr>
          <w:rFonts w:ascii="Calibri" w:cs="Calibri" w:eastAsia="Calibri" w:hAnsi="Calibri"/>
          <w:sz w:val="18"/>
          <w:szCs w:val="18"/>
          <w:color w:val="auto"/>
        </w:rPr>
        <w:t xml:space="preserve"> to this Schedule 13D has, during the past fve years, (a) been convicted in a criminal proceeding (excluding trafc violatons or similar misdemeanors), or (b) been a party to a civil proceeding of a judicial or administratve body of competent jurisdicton and as a result of such proceeding was or is subject to a judgment, decree or fnal order enjoining future violatons of, or prohibitng, or mandatng actvites subject to, federal or state securites laws or a fnding of any violaton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spacing w:after="0"/>
        <w:tabs>
          <w:tab w:leader="none" w:pos="1140" w:val="left"/>
        </w:tabs>
        <w:rPr>
          <w:sz w:val="20"/>
          <w:szCs w:val="20"/>
          <w:color w:val="auto"/>
        </w:rPr>
      </w:pPr>
      <w:r>
        <w:rPr>
          <w:rFonts w:ascii="Calibri" w:cs="Calibri" w:eastAsia="Calibri" w:hAnsi="Calibri"/>
          <w:sz w:val="18"/>
          <w:szCs w:val="18"/>
          <w:b w:val="1"/>
          <w:bCs w:val="1"/>
          <w:color w:val="auto"/>
        </w:rPr>
        <w:t>Item 3.</w:t>
      </w:r>
      <w:r>
        <w:rPr>
          <w:sz w:val="20"/>
          <w:szCs w:val="20"/>
          <w:color w:val="auto"/>
        </w:rPr>
        <w:tab/>
      </w:r>
      <w:r>
        <w:rPr>
          <w:rFonts w:ascii="Calibri" w:cs="Calibri" w:eastAsia="Calibri" w:hAnsi="Calibri"/>
          <w:sz w:val="17"/>
          <w:szCs w:val="17"/>
          <w:b w:val="1"/>
          <w:bCs w:val="1"/>
          <w:color w:val="auto"/>
        </w:rPr>
        <w:t>Source and Amount of Funds or Other Consideraton.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Item 3 is hereby amended by the additon of the following:</w:t>
      </w:r>
    </w:p>
    <w:p>
      <w:pPr>
        <w:spacing w:after="0" w:line="212"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The disclosure set forth below in Item 4 is hereby incorporated herein.</w:t>
      </w:r>
    </w:p>
    <w:p>
      <w:pPr>
        <w:spacing w:after="0" w:line="212" w:lineRule="exact"/>
        <w:rPr>
          <w:sz w:val="20"/>
          <w:szCs w:val="20"/>
          <w:color w:val="auto"/>
        </w:rPr>
      </w:pPr>
    </w:p>
    <w:p>
      <w:pPr>
        <w:spacing w:after="0"/>
        <w:tabs>
          <w:tab w:leader="none" w:pos="1120" w:val="left"/>
        </w:tabs>
        <w:rPr>
          <w:sz w:val="20"/>
          <w:szCs w:val="20"/>
          <w:color w:val="auto"/>
        </w:rPr>
      </w:pPr>
      <w:r>
        <w:rPr>
          <w:rFonts w:ascii="Calibri" w:cs="Calibri" w:eastAsia="Calibri" w:hAnsi="Calibri"/>
          <w:sz w:val="18"/>
          <w:szCs w:val="18"/>
          <w:b w:val="1"/>
          <w:bCs w:val="1"/>
          <w:color w:val="auto"/>
        </w:rPr>
        <w:t>Item 4.</w:t>
      </w:r>
      <w:r>
        <w:rPr>
          <w:sz w:val="20"/>
          <w:szCs w:val="20"/>
          <w:color w:val="auto"/>
        </w:rPr>
        <w:tab/>
      </w:r>
      <w:r>
        <w:rPr>
          <w:rFonts w:ascii="Calibri" w:cs="Calibri" w:eastAsia="Calibri" w:hAnsi="Calibri"/>
          <w:sz w:val="17"/>
          <w:szCs w:val="17"/>
          <w:b w:val="1"/>
          <w:bCs w:val="1"/>
          <w:color w:val="auto"/>
        </w:rPr>
        <w:t>Purpose of Transacton.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Item 4 is hereby amended by the additon of the following:</w:t>
      </w:r>
    </w:p>
    <w:p>
      <w:pPr>
        <w:spacing w:after="0" w:line="217"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18"/>
          <w:szCs w:val="18"/>
          <w:color w:val="auto"/>
        </w:rPr>
        <w:t>On October 10, 2024, Boxer Management, Boxer Capital and BCM entered into the IMA, pursuant to which Boxer Capital has delegated exclusive votng and investment power over its investment portolio to BCM. Consequently, BCM has acquired benefcial ownership of the shares of Common Stock held by Boxer Capital and, without refectng any change in its economic interest in such securites, Boxer Capital has thereby ceased to benefcially own the securites held in its investment portolio, including shares of Common Stock.</w:t>
      </w:r>
    </w:p>
    <w:p>
      <w:pPr>
        <w:spacing w:after="0" w:line="215" w:lineRule="exact"/>
        <w:rPr>
          <w:sz w:val="20"/>
          <w:szCs w:val="20"/>
          <w:color w:val="auto"/>
        </w:rPr>
      </w:pPr>
    </w:p>
    <w:p>
      <w:pPr>
        <w:spacing w:after="0"/>
        <w:tabs>
          <w:tab w:leader="none" w:pos="1120" w:val="left"/>
        </w:tabs>
        <w:rPr>
          <w:sz w:val="20"/>
          <w:szCs w:val="20"/>
          <w:color w:val="auto"/>
        </w:rPr>
      </w:pPr>
      <w:r>
        <w:rPr>
          <w:rFonts w:ascii="Calibri" w:cs="Calibri" w:eastAsia="Calibri" w:hAnsi="Calibri"/>
          <w:sz w:val="18"/>
          <w:szCs w:val="18"/>
          <w:b w:val="1"/>
          <w:bCs w:val="1"/>
          <w:color w:val="auto"/>
        </w:rPr>
        <w:t>Item 5.</w:t>
      </w:r>
      <w:r>
        <w:rPr>
          <w:sz w:val="20"/>
          <w:szCs w:val="20"/>
          <w:color w:val="auto"/>
        </w:rPr>
        <w:tab/>
      </w:r>
      <w:r>
        <w:rPr>
          <w:rFonts w:ascii="Calibri" w:cs="Calibri" w:eastAsia="Calibri" w:hAnsi="Calibri"/>
          <w:sz w:val="17"/>
          <w:szCs w:val="17"/>
          <w:b w:val="1"/>
          <w:bCs w:val="1"/>
          <w:color w:val="auto"/>
        </w:rPr>
        <w:t>Interest in Securites of the Issuer.</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Item 5 is hereby amended and restated to read as follows:</w:t>
      </w:r>
    </w:p>
    <w:p>
      <w:pPr>
        <w:spacing w:after="0" w:line="217"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18"/>
          <w:szCs w:val="18"/>
          <w:color w:val="auto"/>
        </w:rPr>
        <w:t xml:space="preserve">All percentages are based on 107,176,965 shares of the Issuer’s Common Stock outstanding, which is (i) 107,144,465 shares of the Issuer’s Common Stock outstanding as of August 1, 2024 as set forth in the Issuer’s 10-Q fled with the Securites and Exchange Commission on August 7, 2024, </w:t>
      </w:r>
      <w:r>
        <w:rPr>
          <w:rFonts w:ascii="Calibri" w:cs="Calibri" w:eastAsia="Calibri" w:hAnsi="Calibri"/>
          <w:sz w:val="18"/>
          <w:szCs w:val="18"/>
          <w:i w:val="1"/>
          <w:iCs w:val="1"/>
          <w:color w:val="auto"/>
        </w:rPr>
        <w:t>plus</w:t>
      </w:r>
      <w:r>
        <w:rPr>
          <w:rFonts w:ascii="Calibri" w:cs="Calibri" w:eastAsia="Calibri" w:hAnsi="Calibri"/>
          <w:sz w:val="18"/>
          <w:szCs w:val="18"/>
          <w:color w:val="auto"/>
        </w:rPr>
        <w:t xml:space="preserve"> (ii) 32,500 shares of Common Stock subject to optons to purchase shares of Common Stock, held by Mr. Davis, exercisable in the next 60 days.</w:t>
      </w:r>
    </w:p>
    <w:p>
      <w:pPr>
        <w:spacing w:after="0" w:line="205" w:lineRule="exact"/>
        <w:rPr>
          <w:sz w:val="20"/>
          <w:szCs w:val="20"/>
          <w:color w:val="auto"/>
        </w:rPr>
      </w:pPr>
    </w:p>
    <w:p>
      <w:pPr>
        <w:ind w:firstLine="656"/>
        <w:spacing w:after="0" w:line="235" w:lineRule="auto"/>
        <w:tabs>
          <w:tab w:leader="none" w:pos="1486"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The Reportng Persons may be deemed to benefcially own, in the aggregate, 15,328,385 shares of Common Stock, representng 14.3% of the outstanding shares of Common Stock.</w:t>
      </w:r>
    </w:p>
    <w:p>
      <w:pPr>
        <w:spacing w:after="0" w:line="191"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18"/>
          <w:szCs w:val="18"/>
          <w:color w:val="auto"/>
        </w:rPr>
        <w:t>BCTG Holdings benefcially owns 6,988,450 shares of Common Stock which represents 6.5% of the outstanding Common Stock. BCM benefcially owns 8,198,642 shares of Common Stock which represents 7.6% of the outstanding Common Stock. MVA Investors benefcially owns 108,793 shares of Common Stock which represents 0.1% of the outstanding Common Stock. Mr. Davis benefcially owns 8,339,935 shares of Common Stock which includes the shares of Common Stock benefcially owned by MVA Investors and BCM and which represents 7.8% of the outstanding Common Stock.</w:t>
      </w:r>
    </w:p>
    <w:p>
      <w:pPr>
        <w:spacing w:after="0" w:line="206" w:lineRule="exact"/>
        <w:rPr>
          <w:sz w:val="20"/>
          <w:szCs w:val="20"/>
          <w:color w:val="auto"/>
        </w:rPr>
      </w:pPr>
    </w:p>
    <w:p>
      <w:pPr>
        <w:ind w:firstLine="656"/>
        <w:spacing w:after="0" w:line="235" w:lineRule="auto"/>
        <w:tabs>
          <w:tab w:leader="none" w:pos="1494"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With respect to any rights or powers to vote, or to direct the vote of, or to dispose of, or to direct the dispositon of, the Common Stock owned by the Reportng Persons:</w:t>
      </w:r>
    </w:p>
    <w:p>
      <w:pPr>
        <w:spacing w:after="0" w:line="192" w:lineRule="exact"/>
        <w:rPr>
          <w:rFonts w:ascii="Calibri" w:cs="Calibri" w:eastAsia="Calibri" w:hAnsi="Calibri"/>
          <w:sz w:val="18"/>
          <w:szCs w:val="18"/>
          <w:color w:val="auto"/>
        </w:rPr>
      </w:pPr>
    </w:p>
    <w:p>
      <w:pPr>
        <w:ind w:left="1800" w:hanging="550"/>
        <w:spacing w:after="0"/>
        <w:tabs>
          <w:tab w:leader="none" w:pos="1800" w:val="left"/>
        </w:tabs>
        <w:numPr>
          <w:ilvl w:val="1"/>
          <w:numId w:val="3"/>
        </w:numPr>
        <w:rPr>
          <w:rFonts w:ascii="Calibri" w:cs="Calibri" w:eastAsia="Calibri" w:hAnsi="Calibri"/>
          <w:sz w:val="20"/>
          <w:szCs w:val="20"/>
          <w:color w:val="auto"/>
        </w:rPr>
      </w:pPr>
      <w:r>
        <w:rPr>
          <w:rFonts w:ascii="Calibri" w:cs="Calibri" w:eastAsia="Calibri" w:hAnsi="Calibri"/>
          <w:sz w:val="20"/>
          <w:szCs w:val="20"/>
          <w:color w:val="auto"/>
        </w:rPr>
        <w:t>Sole power to vote or to direct the vote:</w:t>
      </w:r>
    </w:p>
    <w:p>
      <w:pPr>
        <w:spacing w:after="0" w:line="252" w:lineRule="exact"/>
        <w:rPr>
          <w:sz w:val="20"/>
          <w:szCs w:val="20"/>
          <w:color w:val="auto"/>
        </w:rPr>
      </w:pPr>
    </w:p>
    <w:p>
      <w:pPr>
        <w:ind w:left="1800" w:right="80" w:firstLine="229"/>
        <w:spacing w:after="0" w:line="236" w:lineRule="auto"/>
        <w:rPr>
          <w:sz w:val="20"/>
          <w:szCs w:val="20"/>
          <w:color w:val="auto"/>
        </w:rPr>
      </w:pPr>
      <w:r>
        <w:rPr>
          <w:rFonts w:ascii="Calibri" w:cs="Calibri" w:eastAsia="Calibri" w:hAnsi="Calibri"/>
          <w:sz w:val="20"/>
          <w:szCs w:val="20"/>
          <w:color w:val="auto"/>
        </w:rPr>
        <w:t>BCTG Holdings has the sole power to vote or to direct the vote of 6,988,450 shares of Common Stock. Mr. Davis has the sole power to vote or to direct the vote 32,500 shares of Common Stock underlying Issuer optons exercisable within 60 days.</w:t>
      </w:r>
    </w:p>
    <w:p>
      <w:pPr>
        <w:spacing w:after="0" w:line="242" w:lineRule="exact"/>
        <w:rPr>
          <w:sz w:val="20"/>
          <w:szCs w:val="20"/>
          <w:color w:val="auto"/>
        </w:rPr>
      </w:pPr>
    </w:p>
    <w:p>
      <w:pPr>
        <w:ind w:left="1800" w:hanging="550"/>
        <w:spacing w:after="0"/>
        <w:tabs>
          <w:tab w:leader="none" w:pos="1800"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Shared power to vote or to direct the vote:</w:t>
      </w:r>
    </w:p>
    <w:p>
      <w:pPr>
        <w:spacing w:after="0" w:line="242" w:lineRule="exact"/>
        <w:rPr>
          <w:sz w:val="20"/>
          <w:szCs w:val="20"/>
          <w:color w:val="auto"/>
        </w:rPr>
      </w:pPr>
    </w:p>
    <w:p>
      <w:pPr>
        <w:ind w:left="2040"/>
        <w:spacing w:after="0"/>
        <w:rPr>
          <w:sz w:val="20"/>
          <w:szCs w:val="20"/>
          <w:color w:val="auto"/>
        </w:rPr>
      </w:pPr>
      <w:r>
        <w:rPr>
          <w:rFonts w:ascii="Calibri" w:cs="Calibri" w:eastAsia="Calibri" w:hAnsi="Calibri"/>
          <w:sz w:val="20"/>
          <w:szCs w:val="20"/>
          <w:color w:val="auto"/>
        </w:rPr>
        <w:t>BCM and Mr. Davis and have shared power to vote or to direct the vote of 8,198,642 shares of Common Stock.</w:t>
      </w:r>
    </w:p>
    <w:p>
      <w:pPr>
        <w:ind w:left="1800"/>
        <w:spacing w:after="0" w:line="238" w:lineRule="auto"/>
        <w:rPr>
          <w:sz w:val="20"/>
          <w:szCs w:val="20"/>
          <w:color w:val="auto"/>
        </w:rPr>
      </w:pPr>
      <w:r>
        <w:rPr>
          <w:rFonts w:ascii="Calibri" w:cs="Calibri" w:eastAsia="Calibri" w:hAnsi="Calibri"/>
          <w:sz w:val="20"/>
          <w:szCs w:val="20"/>
          <w:color w:val="auto"/>
        </w:rPr>
        <w:t>MVA Investors and Mr. Davis have shared power to vote or direct the vote of 108,793 shares of Common Stock.</w:t>
      </w:r>
    </w:p>
    <w:p>
      <w:pPr>
        <w:spacing w:after="0" w:line="243" w:lineRule="exact"/>
        <w:rPr>
          <w:sz w:val="20"/>
          <w:szCs w:val="20"/>
          <w:color w:val="auto"/>
        </w:rPr>
      </w:pPr>
    </w:p>
    <w:p>
      <w:pPr>
        <w:ind w:left="1800" w:hanging="550"/>
        <w:spacing w:after="0"/>
        <w:tabs>
          <w:tab w:leader="none" w:pos="180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Sole power to dispose or to direct the dispositon of:</w:t>
      </w:r>
    </w:p>
    <w:p>
      <w:pPr>
        <w:spacing w:after="0" w:line="252" w:lineRule="exact"/>
        <w:rPr>
          <w:sz w:val="20"/>
          <w:szCs w:val="20"/>
          <w:color w:val="auto"/>
        </w:rPr>
      </w:pPr>
    </w:p>
    <w:p>
      <w:pPr>
        <w:jc w:val="both"/>
        <w:ind w:left="1800" w:right="80" w:firstLine="229"/>
        <w:spacing w:after="0" w:line="236" w:lineRule="auto"/>
        <w:rPr>
          <w:sz w:val="20"/>
          <w:szCs w:val="20"/>
          <w:color w:val="auto"/>
        </w:rPr>
      </w:pPr>
      <w:r>
        <w:rPr>
          <w:rFonts w:ascii="Calibri" w:cs="Calibri" w:eastAsia="Calibri" w:hAnsi="Calibri"/>
          <w:sz w:val="20"/>
          <w:szCs w:val="20"/>
          <w:color w:val="auto"/>
        </w:rPr>
        <w:t>BCTG Holdings has the sole power to dispose or to direct the dispositon of 6,988,450 shares of Common Stock. Mr. Davis has the sole power to dispose or to direct the dispositon of 32,500 shares of Common Stock underlying Issuer optons exercisable within 60 days.</w:t>
      </w:r>
    </w:p>
    <w:p>
      <w:pPr>
        <w:spacing w:after="0" w:line="242" w:lineRule="exact"/>
        <w:rPr>
          <w:sz w:val="20"/>
          <w:szCs w:val="20"/>
          <w:color w:val="auto"/>
        </w:rPr>
      </w:pPr>
    </w:p>
    <w:p>
      <w:pPr>
        <w:ind w:left="1800" w:hanging="550"/>
        <w:spacing w:after="0"/>
        <w:tabs>
          <w:tab w:leader="none" w:pos="1800"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Shared power to dispose or to direct the dispositon of:</w:t>
      </w:r>
    </w:p>
    <w:p>
      <w:pPr>
        <w:spacing w:after="0" w:line="252" w:lineRule="exact"/>
        <w:rPr>
          <w:sz w:val="20"/>
          <w:szCs w:val="20"/>
          <w:color w:val="auto"/>
        </w:rPr>
      </w:pPr>
    </w:p>
    <w:p>
      <w:pPr>
        <w:jc w:val="both"/>
        <w:ind w:left="1800" w:right="260" w:firstLine="229"/>
        <w:spacing w:after="0" w:line="236" w:lineRule="auto"/>
        <w:rPr>
          <w:sz w:val="20"/>
          <w:szCs w:val="20"/>
          <w:color w:val="auto"/>
        </w:rPr>
      </w:pPr>
      <w:r>
        <w:rPr>
          <w:rFonts w:ascii="Calibri" w:cs="Calibri" w:eastAsia="Calibri" w:hAnsi="Calibri"/>
          <w:sz w:val="20"/>
          <w:szCs w:val="20"/>
          <w:color w:val="auto"/>
        </w:rPr>
        <w:t>BCM and Mr. Davis have shared power to dispose or to direct the dispositon of 8,198,642 shares of Common Stock. MVA Investors and Mr. Davis have shared power to vote or direct the vote of 108,793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 w:name="page9"/>
    <w:bookmarkEnd w:id="8"/>
    <w:p>
      <w:pPr>
        <w:ind w:firstLine="656"/>
        <w:spacing w:after="0" w:line="235" w:lineRule="auto"/>
        <w:tabs>
          <w:tab w:leader="none" w:pos="1477"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Other than as described herein in Item 4 or transactons previously reported on Form 4, the Reportng Persons have not engaged in any transactons in the Common Stock in the past 60 days.</w:t>
      </w:r>
    </w:p>
    <w:p>
      <w:pPr>
        <w:spacing w:after="0" w:line="204" w:lineRule="exact"/>
        <w:rPr>
          <w:rFonts w:ascii="Calibri" w:cs="Calibri" w:eastAsia="Calibri" w:hAnsi="Calibri"/>
          <w:sz w:val="18"/>
          <w:szCs w:val="18"/>
          <w:color w:val="auto"/>
        </w:rPr>
      </w:pPr>
    </w:p>
    <w:p>
      <w:pPr>
        <w:jc w:val="both"/>
        <w:ind w:firstLine="656"/>
        <w:spacing w:after="0" w:line="235" w:lineRule="auto"/>
        <w:tabs>
          <w:tab w:leader="none" w:pos="1494"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Other than as described herein and except as may result from indirect interests of investors in Boxer Capital, BCTG Holdings, MVA Investors or BCM, no persons other than the Reportng Persons have the right to receive or the power to direct the receipt of dividends, or proceeds of sale of such securites outlined in this report.</w:t>
      </w:r>
    </w:p>
    <w:p>
      <w:pPr>
        <w:spacing w:after="0" w:line="186" w:lineRule="exact"/>
        <w:rPr>
          <w:rFonts w:ascii="Calibri" w:cs="Calibri" w:eastAsia="Calibri" w:hAnsi="Calibri"/>
          <w:sz w:val="18"/>
          <w:szCs w:val="18"/>
          <w:color w:val="auto"/>
        </w:rPr>
      </w:pPr>
    </w:p>
    <w:p>
      <w:pPr>
        <w:ind w:left="1500" w:hanging="844"/>
        <w:spacing w:after="0"/>
        <w:tabs>
          <w:tab w:leader="none" w:pos="150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As described in Item 4, as of October 10, 2024, Boxer Capital ceased to benefcially own more than 5% of the outstanding shares of</w:t>
      </w:r>
    </w:p>
    <w:p>
      <w:pPr>
        <w:spacing w:after="0" w:line="235" w:lineRule="auto"/>
        <w:rPr>
          <w:rFonts w:ascii="Calibri" w:cs="Calibri" w:eastAsia="Calibri" w:hAnsi="Calibri"/>
          <w:sz w:val="18"/>
          <w:szCs w:val="18"/>
          <w:color w:val="auto"/>
        </w:rPr>
      </w:pPr>
      <w:r>
        <w:rPr>
          <w:rFonts w:ascii="Calibri" w:cs="Calibri" w:eastAsia="Calibri" w:hAnsi="Calibri"/>
          <w:sz w:val="18"/>
          <w:szCs w:val="18"/>
          <w:color w:val="auto"/>
        </w:rPr>
        <w:t>Common Stock.</w:t>
      </w:r>
    </w:p>
    <w:p>
      <w:pPr>
        <w:spacing w:after="0" w:line="200" w:lineRule="exact"/>
        <w:rPr>
          <w:sz w:val="20"/>
          <w:szCs w:val="20"/>
          <w:color w:val="auto"/>
        </w:rPr>
      </w:pPr>
    </w:p>
    <w:p>
      <w:pPr>
        <w:spacing w:after="0"/>
        <w:tabs>
          <w:tab w:leader="none" w:pos="1120" w:val="left"/>
        </w:tabs>
        <w:rPr>
          <w:sz w:val="20"/>
          <w:szCs w:val="20"/>
          <w:color w:val="auto"/>
        </w:rPr>
      </w:pPr>
      <w:r>
        <w:rPr>
          <w:rFonts w:ascii="Calibri" w:cs="Calibri" w:eastAsia="Calibri" w:hAnsi="Calibri"/>
          <w:sz w:val="18"/>
          <w:szCs w:val="18"/>
          <w:b w:val="1"/>
          <w:bCs w:val="1"/>
          <w:color w:val="auto"/>
        </w:rPr>
        <w:t>Item 7.</w:t>
      </w:r>
      <w:r>
        <w:rPr>
          <w:sz w:val="20"/>
          <w:szCs w:val="20"/>
          <w:color w:val="auto"/>
        </w:rPr>
        <w:tab/>
      </w:r>
      <w:r>
        <w:rPr>
          <w:rFonts w:ascii="Calibri" w:cs="Calibri" w:eastAsia="Calibri" w:hAnsi="Calibri"/>
          <w:sz w:val="17"/>
          <w:szCs w:val="17"/>
          <w:b w:val="1"/>
          <w:bCs w:val="1"/>
          <w:color w:val="auto"/>
        </w:rPr>
        <w:t>Material to be Filed as Exhibits.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Item 7 is hereby amended by the additon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60" w:type="dxa"/>
            <w:vAlign w:val="bottom"/>
          </w:tcPr>
          <w:p>
            <w:pPr>
              <w:spacing w:after="0"/>
              <w:rPr>
                <w:sz w:val="20"/>
                <w:szCs w:val="20"/>
                <w:color w:val="auto"/>
              </w:rPr>
            </w:pPr>
            <w:r>
              <w:rPr>
                <w:rFonts w:ascii="Calibri" w:cs="Calibri" w:eastAsia="Calibri" w:hAnsi="Calibri"/>
                <w:sz w:val="18"/>
                <w:szCs w:val="18"/>
                <w:color w:val="auto"/>
              </w:rPr>
              <w:t>Exhibit No.</w:t>
            </w:r>
          </w:p>
        </w:tc>
        <w:tc>
          <w:tcPr>
            <w:tcW w:w="10080" w:type="dxa"/>
            <w:vAlign w:val="bottom"/>
          </w:tcPr>
          <w:p>
            <w:pPr>
              <w:ind w:left="380"/>
              <w:spacing w:after="0"/>
              <w:rPr>
                <w:sz w:val="20"/>
                <w:szCs w:val="20"/>
                <w:color w:val="auto"/>
              </w:rPr>
            </w:pPr>
            <w:r>
              <w:rPr>
                <w:rFonts w:ascii="Calibri" w:cs="Calibri" w:eastAsia="Calibri" w:hAnsi="Calibri"/>
                <w:sz w:val="18"/>
                <w:szCs w:val="18"/>
                <w:color w:val="auto"/>
              </w:rPr>
              <w:t>Descripton</w:t>
            </w:r>
          </w:p>
        </w:tc>
      </w:tr>
      <w:tr>
        <w:trPr>
          <w:trHeight w:val="30"/>
        </w:trPr>
        <w:tc>
          <w:tcPr>
            <w:tcW w:w="1160" w:type="dxa"/>
            <w:vAlign w:val="bottom"/>
            <w:tcBorders>
              <w:bottom w:val="single" w:sz="8" w:color="auto"/>
            </w:tcBorders>
          </w:tcPr>
          <w:p>
            <w:pPr>
              <w:spacing w:after="0"/>
              <w:rPr>
                <w:sz w:val="2"/>
                <w:szCs w:val="2"/>
                <w:color w:val="auto"/>
              </w:rPr>
            </w:pPr>
          </w:p>
        </w:tc>
        <w:tc>
          <w:tcPr>
            <w:tcW w:w="10080" w:type="dxa"/>
            <w:vAlign w:val="bottom"/>
            <w:tcBorders>
              <w:bottom w:val="single" w:sz="8" w:color="auto"/>
            </w:tcBorders>
          </w:tcPr>
          <w:p>
            <w:pPr>
              <w:spacing w:after="0"/>
              <w:rPr>
                <w:sz w:val="2"/>
                <w:szCs w:val="2"/>
                <w:color w:val="auto"/>
              </w:rPr>
            </w:pPr>
          </w:p>
        </w:tc>
      </w:tr>
      <w:tr>
        <w:trPr>
          <w:trHeight w:val="215"/>
        </w:trPr>
        <w:tc>
          <w:tcPr>
            <w:tcW w:w="1160" w:type="dxa"/>
            <w:vAlign w:val="bottom"/>
          </w:tcPr>
          <w:p>
            <w:pPr>
              <w:spacing w:after="0" w:line="215" w:lineRule="exact"/>
              <w:rPr>
                <w:sz w:val="20"/>
                <w:szCs w:val="20"/>
                <w:color w:val="auto"/>
              </w:rPr>
            </w:pPr>
            <w:r>
              <w:rPr>
                <w:rFonts w:ascii="Calibri" w:cs="Calibri" w:eastAsia="Calibri" w:hAnsi="Calibri"/>
                <w:sz w:val="18"/>
                <w:szCs w:val="18"/>
                <w:color w:val="auto"/>
              </w:rPr>
              <w:t>Exhibit 3</w:t>
            </w:r>
          </w:p>
        </w:tc>
        <w:tc>
          <w:tcPr>
            <w:tcW w:w="10080" w:type="dxa"/>
            <w:vAlign w:val="bottom"/>
          </w:tcPr>
          <w:p>
            <w:pPr>
              <w:ind w:left="380"/>
              <w:spacing w:after="0" w:line="215" w:lineRule="exact"/>
              <w:rPr>
                <w:sz w:val="20"/>
                <w:szCs w:val="20"/>
                <w:color w:val="auto"/>
              </w:rPr>
            </w:pPr>
            <w:r>
              <w:rPr>
                <w:rFonts w:ascii="Calibri" w:cs="Calibri" w:eastAsia="Calibri" w:hAnsi="Calibri"/>
                <w:sz w:val="18"/>
                <w:szCs w:val="18"/>
                <w:color w:val="auto"/>
              </w:rPr>
              <w:t>Joint Filing Agreement, dated October 15, 2024, among BCTG Holdings, Boxer Capital, MVA Investors, Mr. Davis and BCM.</w:t>
            </w:r>
          </w:p>
        </w:tc>
      </w:tr>
      <w:tr>
        <w:trPr>
          <w:trHeight w:val="1264"/>
        </w:trPr>
        <w:tc>
          <w:tcPr>
            <w:tcW w:w="116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9" w:name="page10"/>
    <w:bookmarkEnd w:id="9"/>
    <w:p>
      <w:pPr>
        <w:jc w:val="center"/>
        <w:ind w:right="-219"/>
        <w:spacing w:after="0"/>
        <w:rPr>
          <w:sz w:val="20"/>
          <w:szCs w:val="20"/>
          <w:color w:val="auto"/>
        </w:rPr>
      </w:pPr>
      <w:r>
        <w:rPr>
          <w:rFonts w:ascii="Calibri" w:cs="Calibri" w:eastAsia="Calibri" w:hAnsi="Calibri"/>
          <w:sz w:val="18"/>
          <w:szCs w:val="18"/>
          <w:b w:val="1"/>
          <w:bCs w:val="1"/>
          <w:color w:val="auto"/>
        </w:rPr>
        <w:t>SIGNATURES</w:t>
      </w:r>
    </w:p>
    <w:p>
      <w:pPr>
        <w:spacing w:after="0" w:line="204" w:lineRule="exact"/>
        <w:rPr>
          <w:sz w:val="20"/>
          <w:szCs w:val="20"/>
          <w:color w:val="auto"/>
        </w:rPr>
      </w:pPr>
    </w:p>
    <w:p>
      <w:pPr>
        <w:ind w:left="660"/>
        <w:spacing w:after="0"/>
        <w:rPr>
          <w:sz w:val="20"/>
          <w:szCs w:val="20"/>
          <w:color w:val="auto"/>
        </w:rPr>
      </w:pPr>
      <w:r>
        <w:rPr>
          <w:rFonts w:ascii="Calibri" w:cs="Calibri" w:eastAsia="Calibri" w:hAnsi="Calibri"/>
          <w:sz w:val="17"/>
          <w:szCs w:val="17"/>
          <w:color w:val="auto"/>
        </w:rPr>
        <w:t>Afer reasonable inquiry and to the best of my knowledge and belief, I certfy that the informaton set forth in this statement is true, complete and</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correct.</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color w:val="auto"/>
        </w:rPr>
        <w:t>Dated: October 15, 2024</w:t>
      </w:r>
    </w:p>
    <w:p>
      <w:pPr>
        <w:spacing w:after="0" w:line="212" w:lineRule="exact"/>
        <w:rPr>
          <w:sz w:val="20"/>
          <w:szCs w:val="20"/>
          <w:color w:val="auto"/>
        </w:rPr>
      </w:pPr>
    </w:p>
    <w:p>
      <w:pPr>
        <w:ind w:left="5620"/>
        <w:spacing w:after="0"/>
        <w:rPr>
          <w:sz w:val="20"/>
          <w:szCs w:val="20"/>
          <w:color w:val="auto"/>
        </w:rPr>
      </w:pPr>
      <w:r>
        <w:rPr>
          <w:rFonts w:ascii="Calibri" w:cs="Calibri" w:eastAsia="Calibri" w:hAnsi="Calibri"/>
          <w:sz w:val="18"/>
          <w:szCs w:val="18"/>
          <w:b w:val="1"/>
          <w:bCs w:val="1"/>
          <w:color w:val="auto"/>
        </w:rPr>
        <w:t>BCTG HOLDINGS, LLC</w:t>
      </w:r>
    </w:p>
    <w:p>
      <w:pPr>
        <w:spacing w:after="0" w:line="212" w:lineRule="exact"/>
        <w:rPr>
          <w:sz w:val="20"/>
          <w:szCs w:val="20"/>
          <w:color w:val="auto"/>
        </w:rPr>
      </w:pPr>
    </w:p>
    <w:p>
      <w:pPr>
        <w:ind w:left="5620"/>
        <w:spacing w:after="0"/>
        <w:rPr>
          <w:sz w:val="20"/>
          <w:szCs w:val="20"/>
          <w:color w:val="auto"/>
        </w:rPr>
      </w:pPr>
      <w:r>
        <w:rPr>
          <w:rFonts w:ascii="Calibri" w:cs="Calibri" w:eastAsia="Calibri" w:hAnsi="Calibri"/>
          <w:sz w:val="18"/>
          <w:szCs w:val="18"/>
          <w:color w:val="auto"/>
        </w:rPr>
        <w:t>By: /s/ Aaron I. Davis</w:t>
      </w:r>
    </w:p>
    <w:p>
      <w:pPr>
        <w:spacing w:after="0" w:line="10" w:lineRule="exact"/>
        <w:rPr>
          <w:sz w:val="20"/>
          <w:szCs w:val="20"/>
          <w:color w:val="auto"/>
        </w:rPr>
      </w:pPr>
    </w:p>
    <w:p>
      <w:pPr>
        <w:ind w:left="5940"/>
        <w:spacing w:after="0"/>
        <w:rPr>
          <w:sz w:val="20"/>
          <w:szCs w:val="20"/>
          <w:color w:val="auto"/>
        </w:rPr>
      </w:pPr>
      <w:r>
        <w:rPr>
          <w:rFonts w:ascii="Calibri" w:cs="Calibri" w:eastAsia="Calibri" w:hAnsi="Calibri"/>
          <w:sz w:val="18"/>
          <w:szCs w:val="18"/>
          <w:color w:val="auto"/>
        </w:rPr>
        <w:t>Name: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-130175</wp:posOffset>
            </wp:positionV>
            <wp:extent cx="2134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left="5940"/>
        <w:spacing w:after="0" w:line="235" w:lineRule="auto"/>
        <w:tabs>
          <w:tab w:leader="none" w:pos="6480" w:val="left"/>
        </w:tabs>
        <w:rPr>
          <w:sz w:val="20"/>
          <w:szCs w:val="20"/>
          <w:color w:val="auto"/>
        </w:rPr>
      </w:pPr>
      <w:r>
        <w:rPr>
          <w:rFonts w:ascii="Calibri" w:cs="Calibri" w:eastAsia="Calibri" w:hAnsi="Calibri"/>
          <w:sz w:val="18"/>
          <w:szCs w:val="18"/>
          <w:color w:val="auto"/>
        </w:rPr>
        <w:t>Title:</w:t>
        <w:tab/>
        <w:t>Manager</w:t>
      </w: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Calibri" w:cs="Calibri" w:eastAsia="Calibri" w:hAnsi="Calibri"/>
          <w:sz w:val="18"/>
          <w:szCs w:val="18"/>
          <w:b w:val="1"/>
          <w:bCs w:val="1"/>
          <w:color w:val="auto"/>
        </w:rPr>
        <w:t>BOXER CAPITAL, LLC</w:t>
      </w:r>
    </w:p>
    <w:p>
      <w:pPr>
        <w:spacing w:after="0" w:line="205" w:lineRule="exact"/>
        <w:rPr>
          <w:sz w:val="20"/>
          <w:szCs w:val="20"/>
          <w:color w:val="auto"/>
        </w:rPr>
      </w:pPr>
    </w:p>
    <w:p>
      <w:pPr>
        <w:ind w:left="5620"/>
        <w:spacing w:after="0"/>
        <w:rPr>
          <w:sz w:val="20"/>
          <w:szCs w:val="20"/>
          <w:color w:val="auto"/>
        </w:rPr>
      </w:pPr>
      <w:r>
        <w:rPr>
          <w:rFonts w:ascii="Calibri" w:cs="Calibri" w:eastAsia="Calibri" w:hAnsi="Calibri"/>
          <w:sz w:val="20"/>
          <w:szCs w:val="20"/>
          <w:color w:val="auto"/>
        </w:rPr>
        <w:t>By: Boxer Asset Management Inc.</w:t>
      </w:r>
    </w:p>
    <w:p>
      <w:pPr>
        <w:ind w:left="5620"/>
        <w:spacing w:after="0" w:line="238" w:lineRule="auto"/>
        <w:rPr>
          <w:sz w:val="20"/>
          <w:szCs w:val="20"/>
          <w:color w:val="auto"/>
        </w:rPr>
      </w:pPr>
      <w:r>
        <w:rPr>
          <w:rFonts w:ascii="Calibri" w:cs="Calibri" w:eastAsia="Calibri" w:hAnsi="Calibri"/>
          <w:sz w:val="20"/>
          <w:szCs w:val="20"/>
          <w:color w:val="auto"/>
        </w:rPr>
        <w:t>Its: Manager</w:t>
      </w:r>
    </w:p>
    <w:p>
      <w:pPr>
        <w:spacing w:after="0" w:line="223" w:lineRule="exact"/>
        <w:rPr>
          <w:sz w:val="20"/>
          <w:szCs w:val="20"/>
          <w:color w:val="auto"/>
        </w:rPr>
      </w:pPr>
    </w:p>
    <w:p>
      <w:pPr>
        <w:ind w:left="5620"/>
        <w:spacing w:after="0"/>
        <w:rPr>
          <w:sz w:val="20"/>
          <w:szCs w:val="20"/>
          <w:color w:val="auto"/>
        </w:rPr>
      </w:pPr>
      <w:r>
        <w:rPr>
          <w:rFonts w:ascii="Calibri" w:cs="Calibri" w:eastAsia="Calibri" w:hAnsi="Calibri"/>
          <w:sz w:val="18"/>
          <w:szCs w:val="18"/>
          <w:color w:val="auto"/>
        </w:rPr>
        <w:t>By: /s/ Paul Higgs</w:t>
      </w:r>
    </w:p>
    <w:p>
      <w:pPr>
        <w:spacing w:after="0" w:line="10" w:lineRule="exact"/>
        <w:rPr>
          <w:sz w:val="20"/>
          <w:szCs w:val="20"/>
          <w:color w:val="auto"/>
        </w:rPr>
      </w:pPr>
    </w:p>
    <w:p>
      <w:pPr>
        <w:ind w:left="5940"/>
        <w:spacing w:after="0"/>
        <w:rPr>
          <w:sz w:val="20"/>
          <w:szCs w:val="20"/>
          <w:color w:val="auto"/>
        </w:rPr>
      </w:pPr>
      <w:r>
        <w:rPr>
          <w:rFonts w:ascii="Calibri" w:cs="Calibri" w:eastAsia="Calibri" w:hAnsi="Calibri"/>
          <w:sz w:val="18"/>
          <w:szCs w:val="18"/>
          <w:color w:val="auto"/>
        </w:rPr>
        <w:t>Name: Paul Higgs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-130175</wp:posOffset>
            </wp:positionV>
            <wp:extent cx="21342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left="5940"/>
        <w:spacing w:after="0" w:line="235" w:lineRule="auto"/>
        <w:tabs>
          <w:tab w:leader="none" w:pos="6480" w:val="left"/>
        </w:tabs>
        <w:rPr>
          <w:sz w:val="20"/>
          <w:szCs w:val="20"/>
          <w:color w:val="auto"/>
        </w:rPr>
      </w:pPr>
      <w:r>
        <w:rPr>
          <w:rFonts w:ascii="Calibri" w:cs="Calibri" w:eastAsia="Calibri" w:hAnsi="Calibri"/>
          <w:sz w:val="18"/>
          <w:szCs w:val="18"/>
          <w:color w:val="auto"/>
        </w:rPr>
        <w:t>Title:</w:t>
        <w:tab/>
        <w:t>Director</w:t>
      </w:r>
    </w:p>
    <w:p>
      <w:pPr>
        <w:spacing w:after="0" w:line="200" w:lineRule="exact"/>
        <w:rPr>
          <w:sz w:val="20"/>
          <w:szCs w:val="20"/>
          <w:color w:val="auto"/>
        </w:rPr>
      </w:pPr>
    </w:p>
    <w:p>
      <w:pPr>
        <w:spacing w:after="0" w:line="229" w:lineRule="exact"/>
        <w:rPr>
          <w:sz w:val="20"/>
          <w:szCs w:val="20"/>
          <w:color w:val="auto"/>
        </w:rPr>
      </w:pPr>
    </w:p>
    <w:p>
      <w:pPr>
        <w:ind w:left="5620"/>
        <w:spacing w:after="0"/>
        <w:rPr>
          <w:sz w:val="20"/>
          <w:szCs w:val="20"/>
          <w:color w:val="auto"/>
        </w:rPr>
      </w:pPr>
      <w:r>
        <w:rPr>
          <w:rFonts w:ascii="Calibri" w:cs="Calibri" w:eastAsia="Calibri" w:hAnsi="Calibri"/>
          <w:sz w:val="18"/>
          <w:szCs w:val="18"/>
          <w:b w:val="1"/>
          <w:bCs w:val="1"/>
          <w:color w:val="auto"/>
        </w:rPr>
        <w:t>MVA INVESTORS, LLC</w:t>
      </w:r>
    </w:p>
    <w:p>
      <w:pPr>
        <w:spacing w:after="0" w:line="212" w:lineRule="exact"/>
        <w:rPr>
          <w:sz w:val="20"/>
          <w:szCs w:val="20"/>
          <w:color w:val="auto"/>
        </w:rPr>
      </w:pPr>
    </w:p>
    <w:p>
      <w:pPr>
        <w:ind w:left="5620"/>
        <w:spacing w:after="0"/>
        <w:rPr>
          <w:sz w:val="20"/>
          <w:szCs w:val="20"/>
          <w:color w:val="auto"/>
        </w:rPr>
      </w:pPr>
      <w:r>
        <w:rPr>
          <w:rFonts w:ascii="Calibri" w:cs="Calibri" w:eastAsia="Calibri" w:hAnsi="Calibri"/>
          <w:sz w:val="18"/>
          <w:szCs w:val="18"/>
          <w:color w:val="auto"/>
        </w:rPr>
        <w:t>By: /s/ Aaron I. Davis</w:t>
      </w:r>
    </w:p>
    <w:p>
      <w:pPr>
        <w:spacing w:after="0" w:line="10" w:lineRule="exact"/>
        <w:rPr>
          <w:sz w:val="20"/>
          <w:szCs w:val="20"/>
          <w:color w:val="auto"/>
        </w:rPr>
      </w:pPr>
    </w:p>
    <w:p>
      <w:pPr>
        <w:ind w:left="5940"/>
        <w:spacing w:after="0"/>
        <w:rPr>
          <w:sz w:val="20"/>
          <w:szCs w:val="20"/>
          <w:color w:val="auto"/>
        </w:rPr>
      </w:pPr>
      <w:r>
        <w:rPr>
          <w:rFonts w:ascii="Calibri" w:cs="Calibri" w:eastAsia="Calibri" w:hAnsi="Calibri"/>
          <w:sz w:val="18"/>
          <w:szCs w:val="18"/>
          <w:color w:val="auto"/>
        </w:rPr>
        <w:t>Name: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-130175</wp:posOffset>
            </wp:positionV>
            <wp:extent cx="21342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left="5940"/>
        <w:spacing w:after="0" w:line="235" w:lineRule="auto"/>
        <w:tabs>
          <w:tab w:leader="none" w:pos="6480" w:val="left"/>
        </w:tabs>
        <w:rPr>
          <w:sz w:val="20"/>
          <w:szCs w:val="20"/>
          <w:color w:val="auto"/>
        </w:rPr>
      </w:pPr>
      <w:r>
        <w:rPr>
          <w:rFonts w:ascii="Calibri" w:cs="Calibri" w:eastAsia="Calibri" w:hAnsi="Calibri"/>
          <w:sz w:val="18"/>
          <w:szCs w:val="18"/>
          <w:color w:val="auto"/>
        </w:rPr>
        <w:t>Title:</w:t>
        <w:tab/>
        <w:t>Authorized Signatory</w:t>
      </w: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Calibri" w:cs="Calibri" w:eastAsia="Calibri" w:hAnsi="Calibri"/>
          <w:sz w:val="18"/>
          <w:szCs w:val="18"/>
          <w:b w:val="1"/>
          <w:bCs w:val="1"/>
          <w:color w:val="auto"/>
        </w:rPr>
        <w:t>AARON I. DAVIS</w:t>
      </w:r>
    </w:p>
    <w:p>
      <w:pPr>
        <w:spacing w:after="0" w:line="212" w:lineRule="exact"/>
        <w:rPr>
          <w:sz w:val="20"/>
          <w:szCs w:val="20"/>
          <w:color w:val="auto"/>
        </w:rPr>
      </w:pPr>
    </w:p>
    <w:p>
      <w:pPr>
        <w:ind w:left="5620"/>
        <w:spacing w:after="0"/>
        <w:rPr>
          <w:sz w:val="20"/>
          <w:szCs w:val="20"/>
          <w:color w:val="auto"/>
        </w:rPr>
      </w:pPr>
      <w:r>
        <w:rPr>
          <w:rFonts w:ascii="Calibri" w:cs="Calibri" w:eastAsia="Calibri" w:hAnsi="Calibri"/>
          <w:sz w:val="18"/>
          <w:szCs w:val="18"/>
          <w:color w:val="auto"/>
        </w:rPr>
        <w:t>/s/ Aaron I. Davis</w:t>
      </w:r>
    </w:p>
    <w:p>
      <w:pPr>
        <w:spacing w:after="0" w:line="10" w:lineRule="exact"/>
        <w:rPr>
          <w:sz w:val="20"/>
          <w:szCs w:val="20"/>
          <w:color w:val="auto"/>
        </w:rPr>
      </w:pPr>
    </w:p>
    <w:p>
      <w:pPr>
        <w:ind w:left="5620"/>
        <w:spacing w:after="0"/>
        <w:rPr>
          <w:sz w:val="20"/>
          <w:szCs w:val="20"/>
          <w:color w:val="auto"/>
        </w:rPr>
      </w:pPr>
      <w:r>
        <w:rPr>
          <w:rFonts w:ascii="Calibri" w:cs="Calibri" w:eastAsia="Calibri" w:hAnsi="Calibri"/>
          <w:sz w:val="18"/>
          <w:szCs w:val="18"/>
          <w:color w:val="auto"/>
        </w:rPr>
        <w:t>Aaron I. Davis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23571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20"/>
        <w:spacing w:after="0"/>
        <w:rPr>
          <w:sz w:val="20"/>
          <w:szCs w:val="20"/>
          <w:color w:val="auto"/>
        </w:rPr>
      </w:pPr>
      <w:r>
        <w:rPr>
          <w:rFonts w:ascii="Calibri" w:cs="Calibri" w:eastAsia="Calibri" w:hAnsi="Calibri"/>
          <w:sz w:val="18"/>
          <w:szCs w:val="18"/>
          <w:b w:val="1"/>
          <w:bCs w:val="1"/>
          <w:color w:val="auto"/>
        </w:rPr>
        <w:t>BOXER CAPITAL MANAGEMENT, LLC</w:t>
      </w:r>
    </w:p>
    <w:p>
      <w:pPr>
        <w:spacing w:after="0" w:line="212" w:lineRule="exact"/>
        <w:rPr>
          <w:sz w:val="20"/>
          <w:szCs w:val="20"/>
          <w:color w:val="auto"/>
        </w:rPr>
      </w:pPr>
    </w:p>
    <w:p>
      <w:pPr>
        <w:ind w:left="5620"/>
        <w:spacing w:after="0"/>
        <w:rPr>
          <w:sz w:val="20"/>
          <w:szCs w:val="20"/>
          <w:color w:val="auto"/>
        </w:rPr>
      </w:pPr>
      <w:r>
        <w:rPr>
          <w:rFonts w:ascii="Calibri" w:cs="Calibri" w:eastAsia="Calibri" w:hAnsi="Calibri"/>
          <w:sz w:val="18"/>
          <w:szCs w:val="18"/>
          <w:color w:val="auto"/>
        </w:rPr>
        <w:t>By: /s/ Aaron I. Davis</w:t>
      </w:r>
    </w:p>
    <w:p>
      <w:pPr>
        <w:spacing w:after="0" w:line="10" w:lineRule="exact"/>
        <w:rPr>
          <w:sz w:val="20"/>
          <w:szCs w:val="20"/>
          <w:color w:val="auto"/>
        </w:rPr>
      </w:pPr>
    </w:p>
    <w:p>
      <w:pPr>
        <w:ind w:left="5940"/>
        <w:spacing w:after="0"/>
        <w:rPr>
          <w:sz w:val="20"/>
          <w:szCs w:val="20"/>
          <w:color w:val="auto"/>
        </w:rPr>
      </w:pPr>
      <w:r>
        <w:rPr>
          <w:rFonts w:ascii="Calibri" w:cs="Calibri" w:eastAsia="Calibri" w:hAnsi="Calibri"/>
          <w:sz w:val="18"/>
          <w:szCs w:val="18"/>
          <w:color w:val="auto"/>
        </w:rPr>
        <w:t>Name: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-130175</wp:posOffset>
            </wp:positionV>
            <wp:extent cx="21342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left="5940"/>
        <w:spacing w:after="0" w:line="235" w:lineRule="auto"/>
        <w:tabs>
          <w:tab w:leader="none" w:pos="6480" w:val="left"/>
        </w:tabs>
        <w:rPr>
          <w:sz w:val="20"/>
          <w:szCs w:val="20"/>
          <w:color w:val="auto"/>
        </w:rPr>
      </w:pPr>
      <w:r>
        <w:rPr>
          <w:rFonts w:ascii="Calibri" w:cs="Calibri" w:eastAsia="Calibri" w:hAnsi="Calibri"/>
          <w:sz w:val="18"/>
          <w:szCs w:val="18"/>
          <w:color w:val="auto"/>
        </w:rPr>
        <w:t>Title:</w:t>
        <w:tab/>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328" w:right="539" w:bottom="1440" w:gutter="0" w:footer="0" w:header="0"/>
        </w:sectPr>
      </w:pPr>
    </w:p>
    <w:bookmarkStart w:id="10" w:name="page11"/>
    <w:bookmarkEnd w:id="10"/>
    <w:p>
      <w:pPr>
        <w:jc w:val="center"/>
        <w:spacing w:after="0"/>
        <w:rPr>
          <w:sz w:val="20"/>
          <w:szCs w:val="20"/>
          <w:color w:val="auto"/>
        </w:rPr>
      </w:pPr>
      <w:r>
        <w:rPr>
          <w:rFonts w:ascii="Calibri" w:cs="Calibri" w:eastAsia="Calibri" w:hAnsi="Calibri"/>
          <w:sz w:val="18"/>
          <w:szCs w:val="18"/>
          <w:b w:val="1"/>
          <w:bCs w:val="1"/>
          <w:color w:val="auto"/>
        </w:rPr>
        <w:t>JOINT FILING AGREEMENT</w:t>
      </w:r>
    </w:p>
    <w:p>
      <w:pPr>
        <w:jc w:val="center"/>
        <w:spacing w:after="0" w:line="235" w:lineRule="auto"/>
        <w:rPr>
          <w:sz w:val="20"/>
          <w:szCs w:val="20"/>
          <w:color w:val="auto"/>
        </w:rPr>
      </w:pPr>
      <w:r>
        <w:rPr>
          <w:rFonts w:ascii="Calibri" w:cs="Calibri" w:eastAsia="Calibri" w:hAnsi="Calibri"/>
          <w:sz w:val="18"/>
          <w:szCs w:val="18"/>
          <w:b w:val="1"/>
          <w:bCs w:val="1"/>
          <w:color w:val="auto"/>
        </w:rPr>
        <w:t>PURSUANT TO RULE 13d-1(k)</w:t>
      </w:r>
    </w:p>
    <w:p>
      <w:pPr>
        <w:spacing w:after="0" w:line="218" w:lineRule="exact"/>
        <w:rPr>
          <w:sz w:val="20"/>
          <w:szCs w:val="20"/>
          <w:color w:val="auto"/>
        </w:rPr>
      </w:pPr>
    </w:p>
    <w:p>
      <w:pPr>
        <w:jc w:val="both"/>
        <w:ind w:firstLine="696"/>
        <w:spacing w:after="0" w:line="235" w:lineRule="auto"/>
        <w:rPr>
          <w:sz w:val="20"/>
          <w:szCs w:val="20"/>
          <w:color w:val="auto"/>
        </w:rPr>
      </w:pPr>
      <w:r>
        <w:rPr>
          <w:rFonts w:ascii="Calibri" w:cs="Calibri" w:eastAsia="Calibri" w:hAnsi="Calibri"/>
          <w:sz w:val="18"/>
          <w:szCs w:val="18"/>
          <w:color w:val="auto"/>
        </w:rPr>
        <w:t>In accordance with Rule 13d-1(k)(1) under the Securites Exchange Act of 1934, as amended, the persons named below agree to the joint fling on behalf of each of them of a Statement on Schedule 13D and any amendments to it with respect to Common Stock, $0.001 par value per share, of Tango Therapeutcs, Inc. and further agree that this Joint Filing Agreement be included as an Exhibit to those joint flings. Each of the undersigned agrees to be responsible for the tmely fling of the Schedule 13D and any amendments thereto, and for the completeness and accuracy of the informaton concerning itself contained therein. This agreement may be executed in any number of counterparts, all of which taken together shall consttute one and the same instrument.</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color w:val="auto"/>
        </w:rPr>
        <w:t>Dated: October 15, 2024.</w:t>
      </w:r>
    </w:p>
    <w:p>
      <w:pPr>
        <w:spacing w:after="0" w:line="199" w:lineRule="exact"/>
        <w:rPr>
          <w:sz w:val="20"/>
          <w:szCs w:val="20"/>
          <w:color w:val="auto"/>
        </w:rPr>
      </w:pPr>
    </w:p>
    <w:p>
      <w:pPr>
        <w:ind w:left="5620"/>
        <w:spacing w:after="0"/>
        <w:rPr>
          <w:sz w:val="20"/>
          <w:szCs w:val="20"/>
          <w:color w:val="auto"/>
        </w:rPr>
      </w:pPr>
      <w:r>
        <w:rPr>
          <w:rFonts w:ascii="Calibri" w:cs="Calibri" w:eastAsia="Calibri" w:hAnsi="Calibri"/>
          <w:sz w:val="18"/>
          <w:szCs w:val="18"/>
          <w:b w:val="1"/>
          <w:bCs w:val="1"/>
          <w:color w:val="auto"/>
        </w:rPr>
        <w:t>BCTG HOLDINGS, LLC</w:t>
      </w:r>
    </w:p>
    <w:p>
      <w:pPr>
        <w:spacing w:after="0" w:line="212" w:lineRule="exact"/>
        <w:rPr>
          <w:sz w:val="20"/>
          <w:szCs w:val="20"/>
          <w:color w:val="auto"/>
        </w:rPr>
      </w:pPr>
    </w:p>
    <w:p>
      <w:pPr>
        <w:ind w:left="5620"/>
        <w:spacing w:after="0"/>
        <w:rPr>
          <w:sz w:val="20"/>
          <w:szCs w:val="20"/>
          <w:color w:val="auto"/>
        </w:rPr>
      </w:pPr>
      <w:r>
        <w:rPr>
          <w:rFonts w:ascii="Calibri" w:cs="Calibri" w:eastAsia="Calibri" w:hAnsi="Calibri"/>
          <w:sz w:val="18"/>
          <w:szCs w:val="18"/>
          <w:color w:val="auto"/>
        </w:rPr>
        <w:t>By: /s/ Aaron I. Davis</w:t>
      </w:r>
    </w:p>
    <w:p>
      <w:pPr>
        <w:spacing w:after="0" w:line="10" w:lineRule="exact"/>
        <w:rPr>
          <w:sz w:val="20"/>
          <w:szCs w:val="20"/>
          <w:color w:val="auto"/>
        </w:rPr>
      </w:pPr>
    </w:p>
    <w:p>
      <w:pPr>
        <w:ind w:left="5940"/>
        <w:spacing w:after="0"/>
        <w:rPr>
          <w:sz w:val="20"/>
          <w:szCs w:val="20"/>
          <w:color w:val="auto"/>
        </w:rPr>
      </w:pPr>
      <w:r>
        <w:rPr>
          <w:rFonts w:ascii="Calibri" w:cs="Calibri" w:eastAsia="Calibri" w:hAnsi="Calibri"/>
          <w:sz w:val="18"/>
          <w:szCs w:val="18"/>
          <w:color w:val="auto"/>
        </w:rPr>
        <w:t>Name: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-130175</wp:posOffset>
            </wp:positionV>
            <wp:extent cx="21342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left="5940"/>
        <w:spacing w:after="0" w:line="235" w:lineRule="auto"/>
        <w:tabs>
          <w:tab w:leader="none" w:pos="6480" w:val="left"/>
        </w:tabs>
        <w:rPr>
          <w:sz w:val="20"/>
          <w:szCs w:val="20"/>
          <w:color w:val="auto"/>
        </w:rPr>
      </w:pPr>
      <w:r>
        <w:rPr>
          <w:rFonts w:ascii="Calibri" w:cs="Calibri" w:eastAsia="Calibri" w:hAnsi="Calibri"/>
          <w:sz w:val="18"/>
          <w:szCs w:val="18"/>
          <w:color w:val="auto"/>
        </w:rPr>
        <w:t>Title:</w:t>
        <w:tab/>
        <w:t>Manager</w:t>
      </w: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Calibri" w:cs="Calibri" w:eastAsia="Calibri" w:hAnsi="Calibri"/>
          <w:sz w:val="18"/>
          <w:szCs w:val="18"/>
          <w:b w:val="1"/>
          <w:bCs w:val="1"/>
          <w:color w:val="auto"/>
        </w:rPr>
        <w:t>BOXER CAPITAL, LLC</w:t>
      </w:r>
    </w:p>
    <w:p>
      <w:pPr>
        <w:spacing w:after="0" w:line="205" w:lineRule="exact"/>
        <w:rPr>
          <w:sz w:val="20"/>
          <w:szCs w:val="20"/>
          <w:color w:val="auto"/>
        </w:rPr>
      </w:pPr>
    </w:p>
    <w:p>
      <w:pPr>
        <w:ind w:left="5620"/>
        <w:spacing w:after="0"/>
        <w:rPr>
          <w:sz w:val="20"/>
          <w:szCs w:val="20"/>
          <w:color w:val="auto"/>
        </w:rPr>
      </w:pPr>
      <w:r>
        <w:rPr>
          <w:rFonts w:ascii="Calibri" w:cs="Calibri" w:eastAsia="Calibri" w:hAnsi="Calibri"/>
          <w:sz w:val="20"/>
          <w:szCs w:val="20"/>
          <w:color w:val="auto"/>
        </w:rPr>
        <w:t>By: Boxer Asset Management Inc.</w:t>
      </w:r>
    </w:p>
    <w:p>
      <w:pPr>
        <w:ind w:left="5620"/>
        <w:spacing w:after="0" w:line="238" w:lineRule="auto"/>
        <w:rPr>
          <w:sz w:val="20"/>
          <w:szCs w:val="20"/>
          <w:color w:val="auto"/>
        </w:rPr>
      </w:pPr>
      <w:r>
        <w:rPr>
          <w:rFonts w:ascii="Calibri" w:cs="Calibri" w:eastAsia="Calibri" w:hAnsi="Calibri"/>
          <w:sz w:val="20"/>
          <w:szCs w:val="20"/>
          <w:color w:val="auto"/>
        </w:rPr>
        <w:t>Its: Manager</w:t>
      </w:r>
    </w:p>
    <w:p>
      <w:pPr>
        <w:spacing w:after="0" w:line="223" w:lineRule="exact"/>
        <w:rPr>
          <w:sz w:val="20"/>
          <w:szCs w:val="20"/>
          <w:color w:val="auto"/>
        </w:rPr>
      </w:pPr>
    </w:p>
    <w:p>
      <w:pPr>
        <w:ind w:left="5620"/>
        <w:spacing w:after="0"/>
        <w:rPr>
          <w:sz w:val="20"/>
          <w:szCs w:val="20"/>
          <w:color w:val="auto"/>
        </w:rPr>
      </w:pPr>
      <w:r>
        <w:rPr>
          <w:rFonts w:ascii="Calibri" w:cs="Calibri" w:eastAsia="Calibri" w:hAnsi="Calibri"/>
          <w:sz w:val="18"/>
          <w:szCs w:val="18"/>
          <w:color w:val="auto"/>
        </w:rPr>
        <w:t>By: /s/ Paul Higgs</w:t>
      </w:r>
    </w:p>
    <w:p>
      <w:pPr>
        <w:spacing w:after="0" w:line="10" w:lineRule="exact"/>
        <w:rPr>
          <w:sz w:val="20"/>
          <w:szCs w:val="20"/>
          <w:color w:val="auto"/>
        </w:rPr>
      </w:pPr>
    </w:p>
    <w:p>
      <w:pPr>
        <w:ind w:left="5940"/>
        <w:spacing w:after="0"/>
        <w:rPr>
          <w:sz w:val="20"/>
          <w:szCs w:val="20"/>
          <w:color w:val="auto"/>
        </w:rPr>
      </w:pPr>
      <w:r>
        <w:rPr>
          <w:rFonts w:ascii="Calibri" w:cs="Calibri" w:eastAsia="Calibri" w:hAnsi="Calibri"/>
          <w:sz w:val="18"/>
          <w:szCs w:val="18"/>
          <w:color w:val="auto"/>
        </w:rPr>
        <w:t>Name: Paul Higgs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-130175</wp:posOffset>
            </wp:positionV>
            <wp:extent cx="21342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left="5940"/>
        <w:spacing w:after="0" w:line="235" w:lineRule="auto"/>
        <w:tabs>
          <w:tab w:leader="none" w:pos="6480" w:val="left"/>
        </w:tabs>
        <w:rPr>
          <w:sz w:val="20"/>
          <w:szCs w:val="20"/>
          <w:color w:val="auto"/>
        </w:rPr>
      </w:pPr>
      <w:r>
        <w:rPr>
          <w:rFonts w:ascii="Calibri" w:cs="Calibri" w:eastAsia="Calibri" w:hAnsi="Calibri"/>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Calibri" w:cs="Calibri" w:eastAsia="Calibri" w:hAnsi="Calibri"/>
          <w:sz w:val="18"/>
          <w:szCs w:val="18"/>
          <w:b w:val="1"/>
          <w:bCs w:val="1"/>
          <w:color w:val="auto"/>
        </w:rPr>
        <w:t>MVA INVESTORS, LLC</w:t>
      </w:r>
    </w:p>
    <w:p>
      <w:pPr>
        <w:spacing w:after="0" w:line="212" w:lineRule="exact"/>
        <w:rPr>
          <w:sz w:val="20"/>
          <w:szCs w:val="20"/>
          <w:color w:val="auto"/>
        </w:rPr>
      </w:pPr>
    </w:p>
    <w:p>
      <w:pPr>
        <w:ind w:left="5620"/>
        <w:spacing w:after="0"/>
        <w:rPr>
          <w:sz w:val="20"/>
          <w:szCs w:val="20"/>
          <w:color w:val="auto"/>
        </w:rPr>
      </w:pPr>
      <w:r>
        <w:rPr>
          <w:rFonts w:ascii="Calibri" w:cs="Calibri" w:eastAsia="Calibri" w:hAnsi="Calibri"/>
          <w:sz w:val="18"/>
          <w:szCs w:val="18"/>
          <w:color w:val="auto"/>
        </w:rPr>
        <w:t>By: /s/ Aaron I. Davis</w:t>
      </w:r>
    </w:p>
    <w:p>
      <w:pPr>
        <w:spacing w:after="0" w:line="10" w:lineRule="exact"/>
        <w:rPr>
          <w:sz w:val="20"/>
          <w:szCs w:val="20"/>
          <w:color w:val="auto"/>
        </w:rPr>
      </w:pPr>
    </w:p>
    <w:p>
      <w:pPr>
        <w:ind w:left="5940"/>
        <w:spacing w:after="0"/>
        <w:rPr>
          <w:sz w:val="20"/>
          <w:szCs w:val="20"/>
          <w:color w:val="auto"/>
        </w:rPr>
      </w:pPr>
      <w:r>
        <w:rPr>
          <w:rFonts w:ascii="Calibri" w:cs="Calibri" w:eastAsia="Calibri" w:hAnsi="Calibri"/>
          <w:sz w:val="18"/>
          <w:szCs w:val="18"/>
          <w:color w:val="auto"/>
        </w:rPr>
        <w:t>Name: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-130175</wp:posOffset>
            </wp:positionV>
            <wp:extent cx="2134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left="5940"/>
        <w:spacing w:after="0" w:line="235" w:lineRule="auto"/>
        <w:tabs>
          <w:tab w:leader="none" w:pos="6480" w:val="left"/>
        </w:tabs>
        <w:rPr>
          <w:sz w:val="20"/>
          <w:szCs w:val="20"/>
          <w:color w:val="auto"/>
        </w:rPr>
      </w:pPr>
      <w:r>
        <w:rPr>
          <w:rFonts w:ascii="Calibri" w:cs="Calibri" w:eastAsia="Calibri" w:hAnsi="Calibri"/>
          <w:sz w:val="18"/>
          <w:szCs w:val="18"/>
          <w:color w:val="auto"/>
        </w:rPr>
        <w:t>Title:</w:t>
        <w:tab/>
        <w:t>Authorized Signatory</w:t>
      </w: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Calibri" w:cs="Calibri" w:eastAsia="Calibri" w:hAnsi="Calibri"/>
          <w:sz w:val="18"/>
          <w:szCs w:val="18"/>
          <w:b w:val="1"/>
          <w:bCs w:val="1"/>
          <w:color w:val="auto"/>
        </w:rPr>
        <w:t>AARON I. DAVIS</w:t>
      </w:r>
    </w:p>
    <w:p>
      <w:pPr>
        <w:spacing w:after="0" w:line="212" w:lineRule="exact"/>
        <w:rPr>
          <w:sz w:val="20"/>
          <w:szCs w:val="20"/>
          <w:color w:val="auto"/>
        </w:rPr>
      </w:pPr>
    </w:p>
    <w:p>
      <w:pPr>
        <w:ind w:left="5620"/>
        <w:spacing w:after="0"/>
        <w:rPr>
          <w:sz w:val="20"/>
          <w:szCs w:val="20"/>
          <w:color w:val="auto"/>
        </w:rPr>
      </w:pPr>
      <w:r>
        <w:rPr>
          <w:rFonts w:ascii="Calibri" w:cs="Calibri" w:eastAsia="Calibri" w:hAnsi="Calibri"/>
          <w:sz w:val="18"/>
          <w:szCs w:val="18"/>
          <w:color w:val="auto"/>
        </w:rPr>
        <w:t>/s/ Aaron I. Davis</w:t>
      </w:r>
    </w:p>
    <w:p>
      <w:pPr>
        <w:spacing w:after="0" w:line="10" w:lineRule="exact"/>
        <w:rPr>
          <w:sz w:val="20"/>
          <w:szCs w:val="20"/>
          <w:color w:val="auto"/>
        </w:rPr>
      </w:pPr>
    </w:p>
    <w:p>
      <w:pPr>
        <w:ind w:left="5620"/>
        <w:spacing w:after="0"/>
        <w:rPr>
          <w:sz w:val="20"/>
          <w:szCs w:val="20"/>
          <w:color w:val="auto"/>
        </w:rPr>
      </w:pPr>
      <w:r>
        <w:rPr>
          <w:rFonts w:ascii="Calibri" w:cs="Calibri" w:eastAsia="Calibri" w:hAnsi="Calibri"/>
          <w:sz w:val="18"/>
          <w:szCs w:val="18"/>
          <w:color w:val="auto"/>
        </w:rPr>
        <w:t>Aaron I. Davis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23571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20"/>
        <w:spacing w:after="0"/>
        <w:rPr>
          <w:sz w:val="20"/>
          <w:szCs w:val="20"/>
          <w:color w:val="auto"/>
        </w:rPr>
      </w:pPr>
      <w:r>
        <w:rPr>
          <w:rFonts w:ascii="Calibri" w:cs="Calibri" w:eastAsia="Calibri" w:hAnsi="Calibri"/>
          <w:sz w:val="18"/>
          <w:szCs w:val="18"/>
          <w:b w:val="1"/>
          <w:bCs w:val="1"/>
          <w:color w:val="auto"/>
        </w:rPr>
        <w:t>BOXER CAPITAL MANAGEMENT, LLC</w:t>
      </w:r>
    </w:p>
    <w:p>
      <w:pPr>
        <w:spacing w:after="0" w:line="212" w:lineRule="exact"/>
        <w:rPr>
          <w:sz w:val="20"/>
          <w:szCs w:val="20"/>
          <w:color w:val="auto"/>
        </w:rPr>
      </w:pPr>
    </w:p>
    <w:p>
      <w:pPr>
        <w:ind w:left="5620"/>
        <w:spacing w:after="0"/>
        <w:rPr>
          <w:sz w:val="20"/>
          <w:szCs w:val="20"/>
          <w:color w:val="auto"/>
        </w:rPr>
      </w:pPr>
      <w:r>
        <w:rPr>
          <w:rFonts w:ascii="Calibri" w:cs="Calibri" w:eastAsia="Calibri" w:hAnsi="Calibri"/>
          <w:sz w:val="18"/>
          <w:szCs w:val="18"/>
          <w:color w:val="auto"/>
        </w:rPr>
        <w:t>By: /s/ Aaron I. Davis</w:t>
      </w:r>
    </w:p>
    <w:p>
      <w:pPr>
        <w:spacing w:after="0" w:line="10" w:lineRule="exact"/>
        <w:rPr>
          <w:sz w:val="20"/>
          <w:szCs w:val="20"/>
          <w:color w:val="auto"/>
        </w:rPr>
      </w:pPr>
    </w:p>
    <w:p>
      <w:pPr>
        <w:ind w:left="5940"/>
        <w:spacing w:after="0"/>
        <w:rPr>
          <w:sz w:val="20"/>
          <w:szCs w:val="20"/>
          <w:color w:val="auto"/>
        </w:rPr>
      </w:pPr>
      <w:r>
        <w:rPr>
          <w:rFonts w:ascii="Calibri" w:cs="Calibri" w:eastAsia="Calibri" w:hAnsi="Calibri"/>
          <w:sz w:val="18"/>
          <w:szCs w:val="18"/>
          <w:color w:val="auto"/>
        </w:rPr>
        <w:t>Name: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-130175</wp:posOffset>
            </wp:positionV>
            <wp:extent cx="21342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left="5940"/>
        <w:spacing w:after="0" w:line="235" w:lineRule="auto"/>
        <w:tabs>
          <w:tab w:leader="none" w:pos="6480" w:val="left"/>
        </w:tabs>
        <w:rPr>
          <w:sz w:val="20"/>
          <w:szCs w:val="20"/>
          <w:color w:val="auto"/>
        </w:rPr>
      </w:pPr>
      <w:r>
        <w:rPr>
          <w:rFonts w:ascii="Calibri" w:cs="Calibri" w:eastAsia="Calibri" w:hAnsi="Calibri"/>
          <w:sz w:val="18"/>
          <w:szCs w:val="18"/>
          <w:color w:val="auto"/>
        </w:rPr>
        <w:t>Title:</w:t>
        <w:tab/>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538480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1" w:name="page12"/>
    <w:bookmarkEnd w:id="11"/>
    <w:p>
      <w:pPr>
        <w:jc w:val="center"/>
        <w:spacing w:after="0"/>
        <w:rPr>
          <w:sz w:val="20"/>
          <w:szCs w:val="20"/>
          <w:color w:val="auto"/>
        </w:rPr>
      </w:pPr>
      <w:r>
        <w:rPr>
          <w:rFonts w:ascii="Calibri" w:cs="Calibri" w:eastAsia="Calibri" w:hAnsi="Calibri"/>
          <w:sz w:val="18"/>
          <w:szCs w:val="18"/>
          <w:b w:val="1"/>
          <w:bCs w:val="1"/>
          <w:color w:val="auto"/>
        </w:rPr>
        <w:t>SCHEDULE A</w:t>
      </w:r>
    </w:p>
    <w:p>
      <w:pPr>
        <w:jc w:val="center"/>
        <w:spacing w:after="0" w:line="235" w:lineRule="auto"/>
        <w:rPr>
          <w:sz w:val="20"/>
          <w:szCs w:val="20"/>
          <w:color w:val="auto"/>
        </w:rPr>
      </w:pPr>
      <w:r>
        <w:rPr>
          <w:rFonts w:ascii="Calibri" w:cs="Calibri" w:eastAsia="Calibri" w:hAnsi="Calibri"/>
          <w:sz w:val="18"/>
          <w:szCs w:val="18"/>
          <w:b w:val="1"/>
          <w:bCs w:val="1"/>
          <w:color w:val="auto"/>
        </w:rPr>
        <w:t>ADDITIONAL INFORMATION CONCERNING THE REPORTING PERSONS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BCTG HOLDINGS, LLC</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managers of BCTG Holdings, LLC are set forth below. The individuals’ business addresses are 12860 El Camino Real, Suite 300, San Diego, CA 92130. Except as otherwise stated, the present principal occupaton or employment set forth below opposite the name refers to employment with BCTG Holdings, LLC.</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60" w:type="dxa"/>
            <w:vAlign w:val="bottom"/>
          </w:tcPr>
          <w:p>
            <w:pPr>
              <w:spacing w:after="0"/>
              <w:rPr>
                <w:sz w:val="20"/>
                <w:szCs w:val="20"/>
                <w:color w:val="auto"/>
              </w:rPr>
            </w:pPr>
            <w:r>
              <w:rPr>
                <w:rFonts w:ascii="Calibri" w:cs="Calibri" w:eastAsia="Calibri" w:hAnsi="Calibri"/>
                <w:sz w:val="18"/>
                <w:szCs w:val="18"/>
                <w:b w:val="1"/>
                <w:bCs w:val="1"/>
                <w:color w:val="auto"/>
              </w:rPr>
              <w:t>Name</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820" w:type="dxa"/>
            <w:vAlign w:val="bottom"/>
          </w:tcPr>
          <w:p>
            <w:pPr>
              <w:ind w:left="640"/>
              <w:spacing w:after="0"/>
              <w:rPr>
                <w:sz w:val="20"/>
                <w:szCs w:val="20"/>
                <w:color w:val="auto"/>
              </w:rPr>
            </w:pPr>
            <w:r>
              <w:rPr>
                <w:rFonts w:ascii="Calibri" w:cs="Calibri" w:eastAsia="Calibri" w:hAnsi="Calibri"/>
                <w:sz w:val="18"/>
                <w:szCs w:val="18"/>
                <w:b w:val="1"/>
                <w:bCs w:val="1"/>
                <w:color w:val="auto"/>
              </w:rPr>
              <w:t>Present Principal Occupaton or Employment</w:t>
            </w:r>
          </w:p>
        </w:tc>
        <w:tc>
          <w:tcPr>
            <w:tcW w:w="120" w:type="dxa"/>
            <w:vAlign w:val="bottom"/>
          </w:tcPr>
          <w:p>
            <w:pPr>
              <w:spacing w:after="0"/>
              <w:rPr>
                <w:sz w:val="19"/>
                <w:szCs w:val="19"/>
                <w:color w:val="auto"/>
              </w:rPr>
            </w:pPr>
          </w:p>
        </w:tc>
        <w:tc>
          <w:tcPr>
            <w:tcW w:w="1560" w:type="dxa"/>
            <w:vAlign w:val="bottom"/>
          </w:tcPr>
          <w:p>
            <w:pPr>
              <w:ind w:left="380"/>
              <w:spacing w:after="0"/>
              <w:rPr>
                <w:sz w:val="20"/>
                <w:szCs w:val="20"/>
                <w:color w:val="auto"/>
              </w:rPr>
            </w:pPr>
            <w:r>
              <w:rPr>
                <w:rFonts w:ascii="Calibri" w:cs="Calibri" w:eastAsia="Calibri" w:hAnsi="Calibri"/>
                <w:sz w:val="18"/>
                <w:szCs w:val="18"/>
                <w:b w:val="1"/>
                <w:bCs w:val="1"/>
                <w:color w:val="auto"/>
              </w:rPr>
              <w:t>Citzenship</w:t>
            </w:r>
          </w:p>
        </w:tc>
      </w:tr>
      <w:tr>
        <w:trPr>
          <w:trHeight w:val="30"/>
        </w:trPr>
        <w:tc>
          <w:tcPr>
            <w:tcW w:w="2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4"/>
        </w:trPr>
        <w:tc>
          <w:tcPr>
            <w:tcW w:w="2260" w:type="dxa"/>
            <w:vAlign w:val="bottom"/>
          </w:tcPr>
          <w:p>
            <w:pPr>
              <w:spacing w:after="0" w:line="194" w:lineRule="exact"/>
              <w:rPr>
                <w:sz w:val="20"/>
                <w:szCs w:val="20"/>
                <w:color w:val="auto"/>
              </w:rPr>
            </w:pPr>
            <w:r>
              <w:rPr>
                <w:rFonts w:ascii="Calibri" w:cs="Calibri" w:eastAsia="Calibri" w:hAnsi="Calibri"/>
                <w:sz w:val="18"/>
                <w:szCs w:val="18"/>
                <w:color w:val="auto"/>
              </w:rPr>
              <w:t>Aaron I. Davis</w:t>
            </w:r>
          </w:p>
        </w:tc>
        <w:tc>
          <w:tcPr>
            <w:tcW w:w="200" w:type="dxa"/>
            <w:vAlign w:val="bottom"/>
          </w:tcPr>
          <w:p>
            <w:pPr>
              <w:spacing w:after="0"/>
              <w:rPr>
                <w:sz w:val="16"/>
                <w:szCs w:val="16"/>
                <w:color w:val="auto"/>
              </w:rPr>
            </w:pPr>
          </w:p>
        </w:tc>
        <w:tc>
          <w:tcPr>
            <w:tcW w:w="1280" w:type="dxa"/>
            <w:vAlign w:val="bottom"/>
          </w:tcPr>
          <w:p>
            <w:pPr>
              <w:spacing w:after="0" w:line="194" w:lineRule="exact"/>
              <w:rPr>
                <w:sz w:val="20"/>
                <w:szCs w:val="20"/>
                <w:color w:val="auto"/>
              </w:rPr>
            </w:pPr>
            <w:r>
              <w:rPr>
                <w:rFonts w:ascii="Calibri" w:cs="Calibri" w:eastAsia="Calibri" w:hAnsi="Calibri"/>
                <w:sz w:val="18"/>
                <w:szCs w:val="18"/>
                <w:color w:val="auto"/>
              </w:rPr>
              <w:t>Manager</w:t>
            </w:r>
          </w:p>
        </w:tc>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line="194" w:lineRule="exact"/>
              <w:rPr>
                <w:sz w:val="20"/>
                <w:szCs w:val="20"/>
                <w:color w:val="auto"/>
              </w:rPr>
            </w:pPr>
            <w:r>
              <w:rPr>
                <w:rFonts w:ascii="Calibri" w:cs="Calibri" w:eastAsia="Calibri" w:hAnsi="Calibri"/>
                <w:sz w:val="18"/>
                <w:szCs w:val="18"/>
                <w:color w:val="auto"/>
              </w:rPr>
              <w:t>United States</w:t>
            </w:r>
          </w:p>
        </w:tc>
      </w:tr>
      <w:tr>
        <w:trPr>
          <w:trHeight w:val="215"/>
        </w:trPr>
        <w:tc>
          <w:tcPr>
            <w:tcW w:w="2260" w:type="dxa"/>
            <w:vAlign w:val="bottom"/>
          </w:tcPr>
          <w:p>
            <w:pPr>
              <w:spacing w:after="0" w:line="215" w:lineRule="exact"/>
              <w:rPr>
                <w:sz w:val="20"/>
                <w:szCs w:val="20"/>
                <w:color w:val="auto"/>
              </w:rPr>
            </w:pPr>
            <w:r>
              <w:rPr>
                <w:rFonts w:ascii="Calibri" w:cs="Calibri" w:eastAsia="Calibri" w:hAnsi="Calibri"/>
                <w:sz w:val="18"/>
                <w:szCs w:val="18"/>
                <w:color w:val="auto"/>
              </w:rPr>
              <w:t>Christopher Fuglesang</w:t>
            </w:r>
          </w:p>
        </w:tc>
        <w:tc>
          <w:tcPr>
            <w:tcW w:w="200" w:type="dxa"/>
            <w:vAlign w:val="bottom"/>
          </w:tcPr>
          <w:p>
            <w:pPr>
              <w:spacing w:after="0"/>
              <w:rPr>
                <w:sz w:val="18"/>
                <w:szCs w:val="18"/>
                <w:color w:val="auto"/>
              </w:rPr>
            </w:pPr>
          </w:p>
        </w:tc>
        <w:tc>
          <w:tcPr>
            <w:tcW w:w="1280" w:type="dxa"/>
            <w:vAlign w:val="bottom"/>
          </w:tcPr>
          <w:p>
            <w:pPr>
              <w:spacing w:after="0" w:line="215" w:lineRule="exact"/>
              <w:rPr>
                <w:sz w:val="20"/>
                <w:szCs w:val="20"/>
                <w:color w:val="auto"/>
              </w:rPr>
            </w:pPr>
            <w:r>
              <w:rPr>
                <w:rFonts w:ascii="Calibri" w:cs="Calibri" w:eastAsia="Calibri" w:hAnsi="Calibri"/>
                <w:sz w:val="18"/>
                <w:szCs w:val="18"/>
                <w:color w:val="auto"/>
              </w:rPr>
              <w:t>Manager</w:t>
            </w: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line="215" w:lineRule="exact"/>
              <w:rPr>
                <w:sz w:val="20"/>
                <w:szCs w:val="20"/>
                <w:color w:val="auto"/>
              </w:rPr>
            </w:pPr>
            <w:r>
              <w:rPr>
                <w:rFonts w:ascii="Calibri" w:cs="Calibri" w:eastAsia="Calibri" w:hAnsi="Calibri"/>
                <w:sz w:val="18"/>
                <w:szCs w:val="18"/>
                <w:color w:val="auto"/>
              </w:rPr>
              <w:t>United States</w:t>
            </w:r>
          </w:p>
        </w:tc>
      </w:tr>
      <w:tr>
        <w:trPr>
          <w:trHeight w:val="216"/>
        </w:trPr>
        <w:tc>
          <w:tcPr>
            <w:tcW w:w="2260" w:type="dxa"/>
            <w:vAlign w:val="bottom"/>
          </w:tcPr>
          <w:p>
            <w:pPr>
              <w:spacing w:after="0" w:line="216" w:lineRule="exact"/>
              <w:rPr>
                <w:sz w:val="20"/>
                <w:szCs w:val="20"/>
                <w:color w:val="auto"/>
              </w:rPr>
            </w:pPr>
            <w:r>
              <w:rPr>
                <w:rFonts w:ascii="Calibri" w:cs="Calibri" w:eastAsia="Calibri" w:hAnsi="Calibri"/>
                <w:sz w:val="18"/>
                <w:szCs w:val="18"/>
                <w:color w:val="auto"/>
              </w:rPr>
              <w:t>Andrew Ellis</w:t>
            </w:r>
          </w:p>
        </w:tc>
        <w:tc>
          <w:tcPr>
            <w:tcW w:w="200" w:type="dxa"/>
            <w:vAlign w:val="bottom"/>
          </w:tcPr>
          <w:p>
            <w:pPr>
              <w:spacing w:after="0"/>
              <w:rPr>
                <w:sz w:val="18"/>
                <w:szCs w:val="18"/>
                <w:color w:val="auto"/>
              </w:rPr>
            </w:pPr>
          </w:p>
        </w:tc>
        <w:tc>
          <w:tcPr>
            <w:tcW w:w="1280" w:type="dxa"/>
            <w:vAlign w:val="bottom"/>
          </w:tcPr>
          <w:p>
            <w:pPr>
              <w:spacing w:after="0" w:line="216" w:lineRule="exact"/>
              <w:rPr>
                <w:sz w:val="20"/>
                <w:szCs w:val="20"/>
                <w:color w:val="auto"/>
              </w:rPr>
            </w:pPr>
            <w:r>
              <w:rPr>
                <w:rFonts w:ascii="Calibri" w:cs="Calibri" w:eastAsia="Calibri" w:hAnsi="Calibri"/>
                <w:sz w:val="18"/>
                <w:szCs w:val="18"/>
                <w:color w:val="auto"/>
              </w:rPr>
              <w:t>Manager</w:t>
            </w: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line="216" w:lineRule="exact"/>
              <w:rPr>
                <w:sz w:val="20"/>
                <w:szCs w:val="20"/>
                <w:color w:val="auto"/>
              </w:rPr>
            </w:pPr>
            <w:r>
              <w:rPr>
                <w:rFonts w:ascii="Calibri" w:cs="Calibri" w:eastAsia="Calibri" w:hAnsi="Calibri"/>
                <w:sz w:val="18"/>
                <w:szCs w:val="18"/>
                <w:color w:val="auto"/>
              </w:rPr>
              <w:t>United States</w:t>
            </w:r>
          </w:p>
        </w:tc>
      </w:tr>
    </w:tbl>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BOXER CAPITAL, LLC</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executve ofcers and managers of Boxer Capital, LLC are set forth below. The individuals’ business addresses are 12860 El Camino Real, Suite 300, San Diego, CA 92130. Except as otherwise stated, the present principal occupaton or employment set forth below opposite the name refers to employment with Boxer Capital, LLC.</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80" w:type="dxa"/>
            <w:vAlign w:val="bottom"/>
          </w:tcPr>
          <w:p>
            <w:pPr>
              <w:spacing w:after="0"/>
              <w:rPr>
                <w:sz w:val="20"/>
                <w:szCs w:val="20"/>
                <w:color w:val="auto"/>
              </w:rPr>
            </w:pPr>
            <w:r>
              <w:rPr>
                <w:rFonts w:ascii="Calibri" w:cs="Calibri" w:eastAsia="Calibri" w:hAnsi="Calibri"/>
                <w:sz w:val="18"/>
                <w:szCs w:val="18"/>
                <w:b w:val="1"/>
                <w:bCs w:val="1"/>
                <w:color w:val="auto"/>
              </w:rPr>
              <w:t>Name</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720" w:type="dxa"/>
            <w:vAlign w:val="bottom"/>
          </w:tcPr>
          <w:p>
            <w:pPr>
              <w:ind w:left="600"/>
              <w:spacing w:after="0"/>
              <w:rPr>
                <w:sz w:val="20"/>
                <w:szCs w:val="20"/>
                <w:color w:val="auto"/>
              </w:rPr>
            </w:pPr>
            <w:r>
              <w:rPr>
                <w:rFonts w:ascii="Calibri" w:cs="Calibri" w:eastAsia="Calibri" w:hAnsi="Calibri"/>
                <w:sz w:val="18"/>
                <w:szCs w:val="18"/>
                <w:b w:val="1"/>
                <w:bCs w:val="1"/>
                <w:color w:val="auto"/>
              </w:rPr>
              <w:t>Present Principal Occupaton or Employment</w:t>
            </w:r>
          </w:p>
        </w:tc>
        <w:tc>
          <w:tcPr>
            <w:tcW w:w="80" w:type="dxa"/>
            <w:vAlign w:val="bottom"/>
          </w:tcPr>
          <w:p>
            <w:pPr>
              <w:spacing w:after="0"/>
              <w:rPr>
                <w:sz w:val="19"/>
                <w:szCs w:val="19"/>
                <w:color w:val="auto"/>
              </w:rPr>
            </w:pPr>
          </w:p>
        </w:tc>
        <w:tc>
          <w:tcPr>
            <w:tcW w:w="1560" w:type="dxa"/>
            <w:vAlign w:val="bottom"/>
          </w:tcPr>
          <w:p>
            <w:pPr>
              <w:ind w:left="380"/>
              <w:spacing w:after="0"/>
              <w:rPr>
                <w:sz w:val="20"/>
                <w:szCs w:val="20"/>
                <w:color w:val="auto"/>
              </w:rPr>
            </w:pPr>
            <w:r>
              <w:rPr>
                <w:rFonts w:ascii="Calibri" w:cs="Calibri" w:eastAsia="Calibri" w:hAnsi="Calibri"/>
                <w:sz w:val="18"/>
                <w:szCs w:val="18"/>
                <w:b w:val="1"/>
                <w:bCs w:val="1"/>
                <w:color w:val="auto"/>
              </w:rPr>
              <w:t>Citzenship</w:t>
            </w:r>
          </w:p>
        </w:tc>
      </w:tr>
      <w:tr>
        <w:trPr>
          <w:trHeight w:val="30"/>
        </w:trPr>
        <w:tc>
          <w:tcPr>
            <w:tcW w:w="2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5"/>
        </w:trPr>
        <w:tc>
          <w:tcPr>
            <w:tcW w:w="2480" w:type="dxa"/>
            <w:vAlign w:val="bottom"/>
          </w:tcPr>
          <w:p>
            <w:pPr>
              <w:spacing w:after="0" w:line="215" w:lineRule="exact"/>
              <w:rPr>
                <w:sz w:val="20"/>
                <w:szCs w:val="20"/>
                <w:color w:val="auto"/>
              </w:rPr>
            </w:pPr>
            <w:r>
              <w:rPr>
                <w:rFonts w:ascii="Calibri" w:cs="Calibri" w:eastAsia="Calibri" w:hAnsi="Calibri"/>
                <w:sz w:val="18"/>
                <w:szCs w:val="18"/>
                <w:color w:val="auto"/>
              </w:rPr>
              <w:t>Boxer Asset Management Inc.</w:t>
            </w:r>
          </w:p>
        </w:tc>
        <w:tc>
          <w:tcPr>
            <w:tcW w:w="160" w:type="dxa"/>
            <w:vAlign w:val="bottom"/>
          </w:tcPr>
          <w:p>
            <w:pPr>
              <w:spacing w:after="0"/>
              <w:rPr>
                <w:sz w:val="18"/>
                <w:szCs w:val="18"/>
                <w:color w:val="auto"/>
              </w:rPr>
            </w:pPr>
          </w:p>
        </w:tc>
        <w:tc>
          <w:tcPr>
            <w:tcW w:w="1240" w:type="dxa"/>
            <w:vAlign w:val="bottom"/>
          </w:tcPr>
          <w:p>
            <w:pPr>
              <w:spacing w:after="0" w:line="215" w:lineRule="exact"/>
              <w:rPr>
                <w:sz w:val="20"/>
                <w:szCs w:val="20"/>
                <w:color w:val="auto"/>
              </w:rPr>
            </w:pPr>
            <w:r>
              <w:rPr>
                <w:rFonts w:ascii="Calibri" w:cs="Calibri" w:eastAsia="Calibri" w:hAnsi="Calibri"/>
                <w:sz w:val="18"/>
                <w:szCs w:val="18"/>
                <w:color w:val="auto"/>
              </w:rPr>
              <w:t>Manager</w:t>
            </w: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line="215" w:lineRule="exact"/>
              <w:rPr>
                <w:sz w:val="20"/>
                <w:szCs w:val="20"/>
                <w:color w:val="auto"/>
              </w:rPr>
            </w:pPr>
            <w:r>
              <w:rPr>
                <w:rFonts w:ascii="Calibri" w:cs="Calibri" w:eastAsia="Calibri" w:hAnsi="Calibri"/>
                <w:sz w:val="18"/>
                <w:szCs w:val="18"/>
                <w:color w:val="auto"/>
              </w:rPr>
              <w:t>Bahamas</w:t>
            </w:r>
          </w:p>
        </w:tc>
      </w:tr>
    </w:tbl>
    <w:p>
      <w:pPr>
        <w:spacing w:after="0" w:line="19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MVA INVESTORS, LLC</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executve ofcers and directors of MVA Investors, LLC are set forth below. The individuals’ business addresses are 12860 El Camino Real, Suite 300, San Diego, CA 92130. Except as otherwise stated, the present principal occupaton or employment set forth below opposite the name refers to employment with MVA Investors, LLC.</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60" w:type="dxa"/>
            <w:vAlign w:val="bottom"/>
          </w:tcPr>
          <w:p>
            <w:pPr>
              <w:spacing w:after="0"/>
              <w:rPr>
                <w:sz w:val="20"/>
                <w:szCs w:val="20"/>
                <w:color w:val="auto"/>
              </w:rPr>
            </w:pPr>
            <w:r>
              <w:rPr>
                <w:rFonts w:ascii="Calibri" w:cs="Calibri" w:eastAsia="Calibri" w:hAnsi="Calibri"/>
                <w:sz w:val="18"/>
                <w:szCs w:val="18"/>
                <w:b w:val="1"/>
                <w:bCs w:val="1"/>
                <w:color w:val="auto"/>
              </w:rPr>
              <w:t>Name</w:t>
            </w:r>
          </w:p>
        </w:tc>
        <w:tc>
          <w:tcPr>
            <w:tcW w:w="120" w:type="dxa"/>
            <w:vAlign w:val="bottom"/>
          </w:tcPr>
          <w:p>
            <w:pPr>
              <w:spacing w:after="0"/>
              <w:rPr>
                <w:sz w:val="19"/>
                <w:szCs w:val="19"/>
                <w:color w:val="auto"/>
              </w:rPr>
            </w:pPr>
          </w:p>
        </w:tc>
        <w:tc>
          <w:tcPr>
            <w:tcW w:w="7180" w:type="dxa"/>
            <w:vAlign w:val="bottom"/>
          </w:tcPr>
          <w:p>
            <w:pPr>
              <w:ind w:left="1960"/>
              <w:spacing w:after="0"/>
              <w:rPr>
                <w:sz w:val="20"/>
                <w:szCs w:val="20"/>
                <w:color w:val="auto"/>
              </w:rPr>
            </w:pPr>
            <w:r>
              <w:rPr>
                <w:rFonts w:ascii="Calibri" w:cs="Calibri" w:eastAsia="Calibri" w:hAnsi="Calibri"/>
                <w:sz w:val="18"/>
                <w:szCs w:val="18"/>
                <w:b w:val="1"/>
                <w:bCs w:val="1"/>
                <w:color w:val="auto"/>
              </w:rPr>
              <w:t>Present Principal Occupaton or Employment</w:t>
            </w:r>
          </w:p>
        </w:tc>
        <w:tc>
          <w:tcPr>
            <w:tcW w:w="120" w:type="dxa"/>
            <w:vAlign w:val="bottom"/>
          </w:tcPr>
          <w:p>
            <w:pPr>
              <w:spacing w:after="0"/>
              <w:rPr>
                <w:sz w:val="19"/>
                <w:szCs w:val="19"/>
                <w:color w:val="auto"/>
              </w:rPr>
            </w:pPr>
          </w:p>
        </w:tc>
        <w:tc>
          <w:tcPr>
            <w:tcW w:w="1560" w:type="dxa"/>
            <w:vAlign w:val="bottom"/>
          </w:tcPr>
          <w:p>
            <w:pPr>
              <w:ind w:left="380"/>
              <w:spacing w:after="0"/>
              <w:rPr>
                <w:sz w:val="20"/>
                <w:szCs w:val="20"/>
                <w:color w:val="auto"/>
              </w:rPr>
            </w:pPr>
            <w:r>
              <w:rPr>
                <w:rFonts w:ascii="Calibri" w:cs="Calibri" w:eastAsia="Calibri" w:hAnsi="Calibri"/>
                <w:sz w:val="18"/>
                <w:szCs w:val="18"/>
                <w:b w:val="1"/>
                <w:bCs w:val="1"/>
                <w:color w:val="auto"/>
              </w:rPr>
              <w:t>Citzenship</w:t>
            </w:r>
          </w:p>
        </w:tc>
      </w:tr>
      <w:tr>
        <w:trPr>
          <w:trHeight w:val="30"/>
        </w:trPr>
        <w:tc>
          <w:tcPr>
            <w:tcW w:w="2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4"/>
        </w:trPr>
        <w:tc>
          <w:tcPr>
            <w:tcW w:w="2260" w:type="dxa"/>
            <w:vAlign w:val="bottom"/>
          </w:tcPr>
          <w:p>
            <w:pPr>
              <w:spacing w:after="0" w:line="194" w:lineRule="exact"/>
              <w:rPr>
                <w:sz w:val="20"/>
                <w:szCs w:val="20"/>
                <w:color w:val="auto"/>
              </w:rPr>
            </w:pPr>
            <w:r>
              <w:rPr>
                <w:rFonts w:ascii="Calibri" w:cs="Calibri" w:eastAsia="Calibri" w:hAnsi="Calibri"/>
                <w:sz w:val="18"/>
                <w:szCs w:val="18"/>
                <w:color w:val="auto"/>
              </w:rPr>
              <w:t>Aaron I. Davis</w:t>
            </w:r>
          </w:p>
        </w:tc>
        <w:tc>
          <w:tcPr>
            <w:tcW w:w="120" w:type="dxa"/>
            <w:vAlign w:val="bottom"/>
          </w:tcPr>
          <w:p>
            <w:pPr>
              <w:spacing w:after="0"/>
              <w:rPr>
                <w:sz w:val="16"/>
                <w:szCs w:val="16"/>
                <w:color w:val="auto"/>
              </w:rPr>
            </w:pPr>
          </w:p>
        </w:tc>
        <w:tc>
          <w:tcPr>
            <w:tcW w:w="7180" w:type="dxa"/>
            <w:vAlign w:val="bottom"/>
          </w:tcPr>
          <w:p>
            <w:pPr>
              <w:spacing w:after="0" w:line="194" w:lineRule="exact"/>
              <w:rPr>
                <w:sz w:val="20"/>
                <w:szCs w:val="20"/>
                <w:color w:val="auto"/>
              </w:rPr>
            </w:pPr>
            <w:r>
              <w:rPr>
                <w:rFonts w:ascii="Calibri" w:cs="Calibri" w:eastAsia="Calibri" w:hAnsi="Calibri"/>
                <w:sz w:val="18"/>
                <w:szCs w:val="18"/>
                <w:color w:val="auto"/>
              </w:rPr>
              <w:t>Manager, Chief Executve Ofcer</w:t>
            </w:r>
          </w:p>
        </w:tc>
        <w:tc>
          <w:tcPr>
            <w:tcW w:w="120" w:type="dxa"/>
            <w:vAlign w:val="bottom"/>
          </w:tcPr>
          <w:p>
            <w:pPr>
              <w:spacing w:after="0"/>
              <w:rPr>
                <w:sz w:val="16"/>
                <w:szCs w:val="16"/>
                <w:color w:val="auto"/>
              </w:rPr>
            </w:pPr>
          </w:p>
        </w:tc>
        <w:tc>
          <w:tcPr>
            <w:tcW w:w="1560" w:type="dxa"/>
            <w:vAlign w:val="bottom"/>
          </w:tcPr>
          <w:p>
            <w:pPr>
              <w:spacing w:after="0" w:line="194" w:lineRule="exact"/>
              <w:rPr>
                <w:sz w:val="20"/>
                <w:szCs w:val="20"/>
                <w:color w:val="auto"/>
              </w:rPr>
            </w:pPr>
            <w:r>
              <w:rPr>
                <w:rFonts w:ascii="Calibri" w:cs="Calibri" w:eastAsia="Calibri" w:hAnsi="Calibri"/>
                <w:sz w:val="18"/>
                <w:szCs w:val="18"/>
                <w:color w:val="auto"/>
              </w:rPr>
              <w:t>United States</w:t>
            </w:r>
          </w:p>
        </w:tc>
      </w:tr>
      <w:tr>
        <w:trPr>
          <w:trHeight w:val="215"/>
        </w:trPr>
        <w:tc>
          <w:tcPr>
            <w:tcW w:w="2260" w:type="dxa"/>
            <w:vAlign w:val="bottom"/>
          </w:tcPr>
          <w:p>
            <w:pPr>
              <w:spacing w:after="0" w:line="215" w:lineRule="exact"/>
              <w:rPr>
                <w:sz w:val="20"/>
                <w:szCs w:val="20"/>
                <w:color w:val="auto"/>
              </w:rPr>
            </w:pPr>
            <w:r>
              <w:rPr>
                <w:rFonts w:ascii="Calibri" w:cs="Calibri" w:eastAsia="Calibri" w:hAnsi="Calibri"/>
                <w:sz w:val="18"/>
                <w:szCs w:val="18"/>
                <w:color w:val="auto"/>
              </w:rPr>
              <w:t>Christopher Fuglesang</w:t>
            </w:r>
          </w:p>
        </w:tc>
        <w:tc>
          <w:tcPr>
            <w:tcW w:w="120" w:type="dxa"/>
            <w:vAlign w:val="bottom"/>
          </w:tcPr>
          <w:p>
            <w:pPr>
              <w:spacing w:after="0"/>
              <w:rPr>
                <w:sz w:val="18"/>
                <w:szCs w:val="18"/>
                <w:color w:val="auto"/>
              </w:rPr>
            </w:pPr>
          </w:p>
        </w:tc>
        <w:tc>
          <w:tcPr>
            <w:tcW w:w="7180" w:type="dxa"/>
            <w:vAlign w:val="bottom"/>
          </w:tcPr>
          <w:p>
            <w:pPr>
              <w:spacing w:after="0" w:line="215" w:lineRule="exact"/>
              <w:rPr>
                <w:sz w:val="20"/>
                <w:szCs w:val="20"/>
                <w:color w:val="auto"/>
              </w:rPr>
            </w:pPr>
            <w:r>
              <w:rPr>
                <w:rFonts w:ascii="Calibri" w:cs="Calibri" w:eastAsia="Calibri" w:hAnsi="Calibri"/>
                <w:sz w:val="18"/>
                <w:szCs w:val="18"/>
                <w:color w:val="auto"/>
              </w:rPr>
              <w:t>Member, President</w:t>
            </w:r>
          </w:p>
        </w:tc>
        <w:tc>
          <w:tcPr>
            <w:tcW w:w="120" w:type="dxa"/>
            <w:vAlign w:val="bottom"/>
          </w:tcPr>
          <w:p>
            <w:pPr>
              <w:spacing w:after="0"/>
              <w:rPr>
                <w:sz w:val="18"/>
                <w:szCs w:val="18"/>
                <w:color w:val="auto"/>
              </w:rPr>
            </w:pPr>
          </w:p>
        </w:tc>
        <w:tc>
          <w:tcPr>
            <w:tcW w:w="1560" w:type="dxa"/>
            <w:vAlign w:val="bottom"/>
          </w:tcPr>
          <w:p>
            <w:pPr>
              <w:spacing w:after="0" w:line="215" w:lineRule="exact"/>
              <w:rPr>
                <w:sz w:val="20"/>
                <w:szCs w:val="20"/>
                <w:color w:val="auto"/>
              </w:rPr>
            </w:pPr>
            <w:r>
              <w:rPr>
                <w:rFonts w:ascii="Calibri" w:cs="Calibri" w:eastAsia="Calibri" w:hAnsi="Calibri"/>
                <w:sz w:val="18"/>
                <w:szCs w:val="18"/>
                <w:color w:val="auto"/>
              </w:rPr>
              <w:t>United States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BOXER CAPITAL MANAGEMENT, LLC</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executve ofcers and directors of Boxer Capital Management, LLC are set forth below. Each individual’s business address is 12860 El Camino Real, Suite 300, San Diego, CA 92130. Except as otherwise stated, the present principal occupaton or employment set forth below opposite the name of each person refers to employment with Boxer Capital Management, LLC. Boxer Holdings, LP, a Delaware limited partnership, is the sole member of Boxer Capital Management, LLC. Boxer Holdings GP, LLC, a Delaware limited liability company, is the general partner of Boxer Holdings, LP. Mr. Davis is the Manager of, and together with his immediate family owns all of the interests in, Boxer Holdings GP, LLC.</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60" w:type="dxa"/>
            <w:vAlign w:val="bottom"/>
          </w:tcPr>
          <w:p>
            <w:pPr>
              <w:spacing w:after="0"/>
              <w:rPr>
                <w:sz w:val="20"/>
                <w:szCs w:val="20"/>
                <w:color w:val="auto"/>
              </w:rPr>
            </w:pPr>
            <w:r>
              <w:rPr>
                <w:rFonts w:ascii="Calibri" w:cs="Calibri" w:eastAsia="Calibri" w:hAnsi="Calibri"/>
                <w:sz w:val="18"/>
                <w:szCs w:val="18"/>
                <w:b w:val="1"/>
                <w:bCs w:val="1"/>
                <w:color w:val="auto"/>
              </w:rPr>
              <w:t>Name</w:t>
            </w:r>
          </w:p>
        </w:tc>
        <w:tc>
          <w:tcPr>
            <w:tcW w:w="1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Calibri" w:cs="Calibri" w:eastAsia="Calibri" w:hAnsi="Calibri"/>
                <w:sz w:val="18"/>
                <w:szCs w:val="18"/>
                <w:b w:val="1"/>
                <w:bCs w:val="1"/>
                <w:color w:val="auto"/>
              </w:rPr>
              <w:t>Present Principal Occupaton or Employment</w:t>
            </w:r>
          </w:p>
        </w:tc>
        <w:tc>
          <w:tcPr>
            <w:tcW w:w="1580" w:type="dxa"/>
            <w:vAlign w:val="bottom"/>
            <w:gridSpan w:val="2"/>
          </w:tcPr>
          <w:p>
            <w:pPr>
              <w:ind w:left="100"/>
              <w:spacing w:after="0"/>
              <w:rPr>
                <w:sz w:val="20"/>
                <w:szCs w:val="20"/>
                <w:color w:val="auto"/>
              </w:rPr>
            </w:pPr>
            <w:r>
              <w:rPr>
                <w:rFonts w:ascii="Calibri" w:cs="Calibri" w:eastAsia="Calibri" w:hAnsi="Calibri"/>
                <w:sz w:val="18"/>
                <w:szCs w:val="18"/>
                <w:b w:val="1"/>
                <w:bCs w:val="1"/>
                <w:color w:val="auto"/>
              </w:rPr>
              <w:t>Citzenship</w:t>
            </w:r>
          </w:p>
        </w:tc>
      </w:tr>
      <w:tr>
        <w:trPr>
          <w:trHeight w:val="30"/>
        </w:trPr>
        <w:tc>
          <w:tcPr>
            <w:tcW w:w="2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4"/>
        </w:trPr>
        <w:tc>
          <w:tcPr>
            <w:tcW w:w="2460" w:type="dxa"/>
            <w:vAlign w:val="bottom"/>
          </w:tcPr>
          <w:p>
            <w:pPr>
              <w:spacing w:after="0" w:line="194" w:lineRule="exact"/>
              <w:rPr>
                <w:sz w:val="20"/>
                <w:szCs w:val="20"/>
                <w:color w:val="auto"/>
              </w:rPr>
            </w:pPr>
            <w:r>
              <w:rPr>
                <w:rFonts w:ascii="Calibri" w:cs="Calibri" w:eastAsia="Calibri" w:hAnsi="Calibri"/>
                <w:sz w:val="18"/>
                <w:szCs w:val="18"/>
                <w:color w:val="auto"/>
              </w:rPr>
              <w:t>Aaron I. Davis</w:t>
            </w:r>
          </w:p>
        </w:tc>
        <w:tc>
          <w:tcPr>
            <w:tcW w:w="120" w:type="dxa"/>
            <w:vAlign w:val="bottom"/>
          </w:tcPr>
          <w:p>
            <w:pPr>
              <w:spacing w:after="0"/>
              <w:rPr>
                <w:sz w:val="16"/>
                <w:szCs w:val="16"/>
                <w:color w:val="auto"/>
              </w:rPr>
            </w:pPr>
          </w:p>
        </w:tc>
        <w:tc>
          <w:tcPr>
            <w:tcW w:w="7080" w:type="dxa"/>
            <w:vAlign w:val="bottom"/>
          </w:tcPr>
          <w:p>
            <w:pPr>
              <w:spacing w:after="0" w:line="194" w:lineRule="exact"/>
              <w:rPr>
                <w:sz w:val="20"/>
                <w:szCs w:val="20"/>
                <w:color w:val="auto"/>
              </w:rPr>
            </w:pPr>
            <w:r>
              <w:rPr>
                <w:rFonts w:ascii="Calibri" w:cs="Calibri" w:eastAsia="Calibri" w:hAnsi="Calibri"/>
                <w:sz w:val="18"/>
                <w:szCs w:val="18"/>
                <w:color w:val="auto"/>
              </w:rPr>
              <w:t>Chief Executve Ofcer; Chief Investment Ofcer; Manager</w:t>
            </w:r>
          </w:p>
        </w:tc>
        <w:tc>
          <w:tcPr>
            <w:tcW w:w="100" w:type="dxa"/>
            <w:vAlign w:val="bottom"/>
          </w:tcPr>
          <w:p>
            <w:pPr>
              <w:spacing w:after="0"/>
              <w:rPr>
                <w:sz w:val="16"/>
                <w:szCs w:val="16"/>
                <w:color w:val="auto"/>
              </w:rPr>
            </w:pPr>
          </w:p>
        </w:tc>
        <w:tc>
          <w:tcPr>
            <w:tcW w:w="1480" w:type="dxa"/>
            <w:vAlign w:val="bottom"/>
          </w:tcPr>
          <w:p>
            <w:pPr>
              <w:spacing w:after="0" w:line="194" w:lineRule="exact"/>
              <w:rPr>
                <w:sz w:val="20"/>
                <w:szCs w:val="20"/>
                <w:color w:val="auto"/>
              </w:rPr>
            </w:pPr>
            <w:r>
              <w:rPr>
                <w:rFonts w:ascii="Calibri" w:cs="Calibri" w:eastAsia="Calibri" w:hAnsi="Calibri"/>
                <w:sz w:val="18"/>
                <w:szCs w:val="18"/>
                <w:color w:val="auto"/>
              </w:rPr>
              <w:t>United States</w:t>
            </w:r>
          </w:p>
        </w:tc>
      </w:tr>
      <w:tr>
        <w:trPr>
          <w:trHeight w:val="216"/>
        </w:trPr>
        <w:tc>
          <w:tcPr>
            <w:tcW w:w="2460" w:type="dxa"/>
            <w:vAlign w:val="bottom"/>
          </w:tcPr>
          <w:p>
            <w:pPr>
              <w:spacing w:after="0" w:line="215" w:lineRule="exact"/>
              <w:rPr>
                <w:sz w:val="20"/>
                <w:szCs w:val="20"/>
                <w:color w:val="auto"/>
              </w:rPr>
            </w:pPr>
            <w:r>
              <w:rPr>
                <w:rFonts w:ascii="Calibri" w:cs="Calibri" w:eastAsia="Calibri" w:hAnsi="Calibri"/>
                <w:sz w:val="18"/>
                <w:szCs w:val="18"/>
                <w:color w:val="auto"/>
              </w:rPr>
              <w:t>Christopher Fuglesang</w:t>
            </w:r>
          </w:p>
        </w:tc>
        <w:tc>
          <w:tcPr>
            <w:tcW w:w="120" w:type="dxa"/>
            <w:vAlign w:val="bottom"/>
          </w:tcPr>
          <w:p>
            <w:pPr>
              <w:spacing w:after="0"/>
              <w:rPr>
                <w:sz w:val="18"/>
                <w:szCs w:val="18"/>
                <w:color w:val="auto"/>
              </w:rPr>
            </w:pPr>
          </w:p>
        </w:tc>
        <w:tc>
          <w:tcPr>
            <w:tcW w:w="7080" w:type="dxa"/>
            <w:vAlign w:val="bottom"/>
          </w:tcPr>
          <w:p>
            <w:pPr>
              <w:spacing w:after="0" w:line="215" w:lineRule="exact"/>
              <w:rPr>
                <w:sz w:val="20"/>
                <w:szCs w:val="20"/>
                <w:color w:val="auto"/>
              </w:rPr>
            </w:pPr>
            <w:r>
              <w:rPr>
                <w:rFonts w:ascii="Calibri" w:cs="Calibri" w:eastAsia="Calibri" w:hAnsi="Calibri"/>
                <w:sz w:val="18"/>
                <w:szCs w:val="18"/>
                <w:color w:val="auto"/>
              </w:rPr>
              <w:t>Senior Managing Director</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5"/>
        </w:trPr>
        <w:tc>
          <w:tcPr>
            <w:tcW w:w="2460" w:type="dxa"/>
            <w:vAlign w:val="bottom"/>
          </w:tcPr>
          <w:p>
            <w:pPr>
              <w:spacing w:after="0" w:line="215" w:lineRule="exact"/>
              <w:rPr>
                <w:sz w:val="20"/>
                <w:szCs w:val="20"/>
                <w:color w:val="auto"/>
              </w:rPr>
            </w:pPr>
            <w:r>
              <w:rPr>
                <w:rFonts w:ascii="Calibri" w:cs="Calibri" w:eastAsia="Calibri" w:hAnsi="Calibri"/>
                <w:sz w:val="18"/>
                <w:szCs w:val="18"/>
                <w:color w:val="auto"/>
              </w:rPr>
              <w:t>Michael Beauchamp</w:t>
            </w:r>
          </w:p>
        </w:tc>
        <w:tc>
          <w:tcPr>
            <w:tcW w:w="120" w:type="dxa"/>
            <w:vAlign w:val="bottom"/>
          </w:tcPr>
          <w:p>
            <w:pPr>
              <w:spacing w:after="0"/>
              <w:rPr>
                <w:sz w:val="18"/>
                <w:szCs w:val="18"/>
                <w:color w:val="auto"/>
              </w:rPr>
            </w:pPr>
          </w:p>
        </w:tc>
        <w:tc>
          <w:tcPr>
            <w:tcW w:w="7080" w:type="dxa"/>
            <w:vAlign w:val="bottom"/>
          </w:tcPr>
          <w:p>
            <w:pPr>
              <w:spacing w:after="0" w:line="215" w:lineRule="exact"/>
              <w:rPr>
                <w:sz w:val="20"/>
                <w:szCs w:val="20"/>
                <w:color w:val="auto"/>
              </w:rPr>
            </w:pPr>
            <w:r>
              <w:rPr>
                <w:rFonts w:ascii="Calibri" w:cs="Calibri" w:eastAsia="Calibri" w:hAnsi="Calibri"/>
                <w:sz w:val="18"/>
                <w:szCs w:val="18"/>
                <w:color w:val="auto"/>
              </w:rPr>
              <w:t>Vice President of Finance</w:t>
            </w:r>
          </w:p>
        </w:tc>
        <w:tc>
          <w:tcPr>
            <w:tcW w:w="1580" w:type="dxa"/>
            <w:vAlign w:val="bottom"/>
            <w:gridSpan w:val="2"/>
          </w:tcPr>
          <w:p>
            <w:pPr>
              <w:ind w:left="100"/>
              <w:spacing w:after="0" w:line="215" w:lineRule="exact"/>
              <w:rPr>
                <w:sz w:val="20"/>
                <w:szCs w:val="20"/>
                <w:color w:val="auto"/>
              </w:rPr>
            </w:pPr>
            <w:r>
              <w:rPr>
                <w:rFonts w:ascii="Calibri" w:cs="Calibri" w:eastAsia="Calibri" w:hAnsi="Calibri"/>
                <w:sz w:val="18"/>
                <w:szCs w:val="18"/>
                <w:color w:val="auto"/>
              </w:rPr>
              <w:t>United States</w:t>
            </w:r>
          </w:p>
        </w:tc>
      </w:tr>
    </w:tbl>
    <w:p>
      <w:pPr>
        <w:spacing w:after="0" w:line="1" w:lineRule="exact"/>
        <w:rPr>
          <w:sz w:val="20"/>
          <w:szCs w:val="20"/>
          <w:color w:val="auto"/>
        </w:rPr>
      </w:pPr>
    </w:p>
    <w:sectPr>
      <w:pgSz w:w="11900" w:h="16838" w:orient="portrait"/>
      <w:cols w:equalWidth="0" w:num="1">
        <w:col w:w="11240"/>
      </w:cols>
      <w:pgMar w:left="320" w:top="7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2"/>
    </w:lvl>
    <w:lvl w:ilvl="1">
      <w:lvlJc w:val="left"/>
      <w:lvlText w:val="(%2)"/>
      <w:numFmt w:val="lowerLetter"/>
      <w:start w:val="9"/>
    </w:lvl>
  </w:abstractNum>
  <w:abstractNum w:abstractNumId="3">
    <w:nsid w:val="3D1B58BA"/>
    <w:multiLevelType w:val="hybridMultilevel"/>
    <w:lvl w:ilvl="0">
      <w:lvlJc w:val="left"/>
      <w:lvlText w:val="(%1)"/>
      <w:numFmt w:val="lowerRoman"/>
      <w:start w:val="2"/>
    </w:lvl>
  </w:abstractNum>
  <w:abstractNum w:abstractNumId="4">
    <w:nsid w:val="507ED7AB"/>
    <w:multiLevelType w:val="hybridMultilevel"/>
    <w:lvl w:ilvl="0">
      <w:lvlJc w:val="left"/>
      <w:lvlText w:val="(%1)"/>
      <w:numFmt w:val="lowerRoman"/>
      <w:start w:val="3"/>
    </w:lvl>
  </w:abstractNum>
  <w:abstractNum w:abstractNumId="5">
    <w:nsid w:val="2EB141F2"/>
    <w:multiLevelType w:val="hybridMultilevel"/>
    <w:lvl w:ilvl="0">
      <w:lvlJc w:val="left"/>
      <w:lvlText w:val="(%1)"/>
      <w:numFmt w:val="lowerRoman"/>
      <w:start w:val="4"/>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2024-10-15T20:47:31Z</dcterms:created>
  <dcterms:modified xsi:type="dcterms:W3CDTF">2024-10-15T20:47:31Z</dcterms:modified>
</cp:coreProperties>
</file>