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7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EcoR1 Capital, LLC</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Tango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TNGX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11/06/2024</w:t>
            </w:r>
          </w:p>
        </w:tc>
        <w:tc>
          <w:tcPr>
            <w:tcW w:w="1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44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47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94103</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11/06/2024</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1,494,558</w:t>
            </w:r>
            <w:r>
              <w:rPr>
                <w:rFonts w:ascii="Times New Roman" w:cs="Times New Roman" w:eastAsia="Times New Roman" w:hAnsi="Times New Roman"/>
                <w:sz w:val="22"/>
                <w:szCs w:val="22"/>
                <w:color w:val="008000"/>
                <w:w w:val="96"/>
                <w:vertAlign w:val="superscript"/>
              </w:rPr>
              <w:t>(2)</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3.2759</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11,836,178</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11/07/2024</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62,318</w:t>
            </w:r>
            <w:r>
              <w:rPr>
                <w:rFonts w:ascii="Times New Roman" w:cs="Times New Roman" w:eastAsia="Times New Roman" w:hAnsi="Times New Roman"/>
                <w:sz w:val="22"/>
                <w:szCs w:val="22"/>
                <w:color w:val="008000"/>
                <w:w w:val="97"/>
                <w:vertAlign w:val="superscript"/>
              </w:rPr>
              <w:t>(4)</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3.2914</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11,773,860</w:t>
            </w:r>
            <w:r>
              <w:rPr>
                <w:rFonts w:ascii="Times New Roman" w:cs="Times New Roman" w:eastAsia="Times New Roman" w:hAnsi="Times New Roman"/>
                <w:sz w:val="22"/>
                <w:szCs w:val="22"/>
                <w:color w:val="008000"/>
                <w:vertAlign w:val="superscript"/>
              </w:rPr>
              <w:t>(5)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11/07/2024</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1,143,124</w:t>
            </w:r>
            <w:r>
              <w:rPr>
                <w:rFonts w:ascii="Times New Roman" w:cs="Times New Roman" w:eastAsia="Times New Roman" w:hAnsi="Times New Roman"/>
                <w:sz w:val="22"/>
                <w:szCs w:val="22"/>
                <w:color w:val="008000"/>
                <w:w w:val="96"/>
                <w:vertAlign w:val="superscript"/>
              </w:rPr>
              <w:t>(6)</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2.9171</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10,630,736</w:t>
            </w:r>
            <w:r>
              <w:rPr>
                <w:rFonts w:ascii="Times New Roman" w:cs="Times New Roman" w:eastAsia="Times New Roman" w:hAnsi="Times New Roman"/>
                <w:sz w:val="22"/>
                <w:szCs w:val="22"/>
                <w:color w:val="008000"/>
                <w:vertAlign w:val="superscript"/>
              </w:rPr>
              <w:t>(7)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filers are EcoR1 Capital, LLC ("EcoR1"), Oleg Nodelman and EcoR1 Capital Fund Qualified, L.P. ("Qualified Fund"). EcoR1 is the investment adviser and general partner of private funds, including Qualified Fund (collectively, the "Funds"). Mr. Nodelman is the manager and controlling owner of EcoR1. EcoR1 is filing this Form 4 for itself, Qualified Fund and Mr. Nodelman.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may be deemed to indirectly beneficially own them as the investment adviser to the Funds. Mr. Nodelman may be deemed to indirectly beneficially own them as the control person of EcoR1. The filers disclaim ownership of such securities except to the extent of their respective pecuniary interests therein.</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sold 1,406,529 of the shares sold in this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11,156,852 shares of Issuer's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sold 58,647 of the shares sold in this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11,098,205 shares of Issuer's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sold 1,075,794 of the shares sold in this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10,022,411 shares of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Oleg Nodelman, Manager</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11/08/2024</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EcoR1 Capital, LLC</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114"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2024-11-08T18:34:21Z</dcterms:created>
  <dcterms:modified xsi:type="dcterms:W3CDTF">2024-11-08T18:34:21Z</dcterms:modified>
</cp:coreProperties>
</file>