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8" w:lineRule="exact"/>
        <w:rPr>
          <w:sz w:val="24"/>
          <w:szCs w:val="24"/>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24" w:lineRule="exact"/>
        <w:rPr>
          <w:sz w:val="24"/>
          <w:szCs w:val="24"/>
          <w:color w:val="auto"/>
        </w:rPr>
      </w:pPr>
    </w:p>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Registration Statement No. 333-291684</w:t>
      </w:r>
    </w:p>
    <w:p>
      <w:pPr>
        <w:spacing w:after="0" w:line="102" w:lineRule="exact"/>
        <w:rPr>
          <w:sz w:val="24"/>
          <w:szCs w:val="24"/>
          <w:color w:val="auto"/>
        </w:rPr>
      </w:pPr>
    </w:p>
    <w:p>
      <w:pPr>
        <w:ind w:left="1360"/>
        <w:spacing w:after="0"/>
        <w:rPr>
          <w:sz w:val="20"/>
          <w:szCs w:val="20"/>
          <w:color w:val="auto"/>
        </w:rPr>
      </w:pPr>
      <w:r>
        <w:rPr>
          <w:rFonts w:ascii="Arial" w:cs="Arial" w:eastAsia="Arial" w:hAnsi="Arial"/>
          <w:sz w:val="17"/>
          <w:szCs w:val="17"/>
          <w:b w:val="1"/>
          <w:bCs w:val="1"/>
          <w:color w:val="auto"/>
        </w:rPr>
        <w:t>Prospectus supplement</w:t>
      </w:r>
    </w:p>
    <w:p>
      <w:pPr>
        <w:spacing w:after="0" w:line="10" w:lineRule="exact"/>
        <w:rPr>
          <w:sz w:val="24"/>
          <w:szCs w:val="24"/>
          <w:color w:val="auto"/>
        </w:rPr>
      </w:pPr>
    </w:p>
    <w:p>
      <w:pPr>
        <w:ind w:left="1360"/>
        <w:spacing w:after="0"/>
        <w:rPr>
          <w:sz w:val="20"/>
          <w:szCs w:val="20"/>
          <w:color w:val="auto"/>
        </w:rPr>
      </w:pPr>
      <w:r>
        <w:rPr>
          <w:rFonts w:ascii="Arial" w:cs="Arial" w:eastAsia="Arial" w:hAnsi="Arial"/>
          <w:sz w:val="17"/>
          <w:szCs w:val="17"/>
          <w:b w:val="1"/>
          <w:bCs w:val="1"/>
          <w:color w:val="auto"/>
        </w:rPr>
        <w:t>(to Prospectus dated November 21, 2025)</w:t>
      </w:r>
    </w:p>
    <w:p>
      <w:pPr>
        <w:spacing w:after="0" w:line="95" w:lineRule="exact"/>
        <w:rPr>
          <w:sz w:val="24"/>
          <w:szCs w:val="24"/>
          <w:color w:val="auto"/>
        </w:rPr>
      </w:pPr>
    </w:p>
    <w:p>
      <w:pPr>
        <w:ind w:left="1360" w:right="399"/>
        <w:spacing w:after="0" w:line="389" w:lineRule="auto"/>
        <w:rPr>
          <w:sz w:val="20"/>
          <w:szCs w:val="20"/>
          <w:color w:val="auto"/>
        </w:rPr>
      </w:pPr>
      <w:r>
        <w:rPr>
          <w:rFonts w:ascii="Arial" w:cs="Arial" w:eastAsia="Arial" w:hAnsi="Arial"/>
          <w:sz w:val="25"/>
          <w:szCs w:val="25"/>
          <w:b w:val="1"/>
          <w:bCs w:val="1"/>
          <w:i w:val="1"/>
          <w:iCs w:val="1"/>
          <w:color w:val="auto"/>
        </w:rPr>
        <w:t>18,166,667 Shares of Common Stock Pre-Funded Warrants to Purchase 1,833,395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862965</wp:posOffset>
            </wp:positionH>
            <wp:positionV relativeFrom="paragraph">
              <wp:posOffset>-59055</wp:posOffset>
            </wp:positionV>
            <wp:extent cx="1767205" cy="527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7205" cy="5270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1360" w:right="339"/>
        <w:spacing w:after="0" w:line="241" w:lineRule="auto"/>
        <w:rPr>
          <w:sz w:val="20"/>
          <w:szCs w:val="20"/>
          <w:color w:val="auto"/>
        </w:rPr>
      </w:pPr>
      <w:r>
        <w:rPr>
          <w:rFonts w:ascii="Arial" w:cs="Arial" w:eastAsia="Arial" w:hAnsi="Arial"/>
          <w:sz w:val="14"/>
          <w:szCs w:val="14"/>
          <w:color w:val="auto"/>
        </w:rPr>
        <w:t>We are offering 18,166,667 shares of our common stock, par value $0.001 per share, or the common stock, and, in lieu of common stock to certain purchasers that so choose, pre-funded warrants, or pre-funded warrants, to purchase up to 1,833,395 shares of common stock pursuant to this prospectus supplement and the accompanying prospectus. The purchase price of each pre-funded warrant equals the price per share at which the shares of common stock are being sold in this offering, minus $0.001, and the exercise price of each pre-funded warrant equals $0.001 per share. This prospectus supplement also relates to the offering of the shares of common stock issuable upon exercise of such pre-funded warrants, or the warrant shares.</w:t>
      </w:r>
    </w:p>
    <w:p>
      <w:pPr>
        <w:spacing w:after="0" w:line="91" w:lineRule="exact"/>
        <w:rPr>
          <w:sz w:val="24"/>
          <w:szCs w:val="24"/>
          <w:color w:val="auto"/>
        </w:rPr>
      </w:pPr>
    </w:p>
    <w:p>
      <w:pPr>
        <w:jc w:val="both"/>
        <w:ind w:left="1360" w:right="379"/>
        <w:spacing w:after="0" w:line="246" w:lineRule="auto"/>
        <w:rPr>
          <w:sz w:val="20"/>
          <w:szCs w:val="20"/>
          <w:color w:val="auto"/>
        </w:rPr>
      </w:pPr>
      <w:r>
        <w:rPr>
          <w:rFonts w:ascii="Arial" w:cs="Arial" w:eastAsia="Arial" w:hAnsi="Arial"/>
          <w:sz w:val="14"/>
          <w:szCs w:val="14"/>
          <w:color w:val="auto"/>
        </w:rPr>
        <w:t>Our common stock is listed on The Nasdaq Global Market, or Nasdaq, under the symbol “TNGX”. The last sale price as reported on The Nasdaq Global Market on June 9, 2026, was $31.56 per share. There is no established trading market for the pre-funded warrants, and we do not expect a market to develop. In addition, we do not intend to apply for a listing of pre-funded warrants on Nasdaq or any other national securities exchange or any other nationally recognized trading system.</w:t>
      </w:r>
    </w:p>
    <w:p>
      <w:pPr>
        <w:spacing w:after="0" w:line="75" w:lineRule="exact"/>
        <w:rPr>
          <w:sz w:val="24"/>
          <w:szCs w:val="24"/>
          <w:color w:val="auto"/>
        </w:rPr>
      </w:pPr>
    </w:p>
    <w:p>
      <w:pPr>
        <w:ind w:left="1360" w:right="259"/>
        <w:spacing w:after="0" w:line="258" w:lineRule="auto"/>
        <w:rPr>
          <w:sz w:val="20"/>
          <w:szCs w:val="20"/>
          <w:color w:val="auto"/>
        </w:rPr>
      </w:pPr>
      <w:r>
        <w:rPr>
          <w:rFonts w:ascii="Arial" w:cs="Arial" w:eastAsia="Arial" w:hAnsi="Arial"/>
          <w:sz w:val="14"/>
          <w:szCs w:val="14"/>
          <w:b w:val="1"/>
          <w:bCs w:val="1"/>
          <w:color w:val="auto"/>
        </w:rPr>
        <w:t>Investing in our common stock involves risks. See “</w:t>
      </w:r>
      <w:r>
        <w:rPr>
          <w:rFonts w:ascii="Arial" w:cs="Arial" w:eastAsia="Arial" w:hAnsi="Arial"/>
          <w:sz w:val="14"/>
          <w:szCs w:val="14"/>
          <w:b w:val="1"/>
          <w:bCs w:val="1"/>
          <w:u w:val="single" w:color="auto"/>
          <w:color w:val="0000EE"/>
        </w:rPr>
        <w:t>Risk Factors</w:t>
      </w:r>
      <w:r>
        <w:rPr>
          <w:rFonts w:ascii="Arial" w:cs="Arial" w:eastAsia="Arial" w:hAnsi="Arial"/>
          <w:sz w:val="14"/>
          <w:szCs w:val="14"/>
          <w:b w:val="1"/>
          <w:bCs w:val="1"/>
          <w:color w:val="auto"/>
        </w:rPr>
        <w:t>” on page S-8 of this prospectus supplement, and under similar headings in other documents filed after the date hereof and incorporated by reference into this prospectus supplement and the accompanying prospectus.</w:t>
      </w:r>
    </w:p>
    <w:p>
      <w:pPr>
        <w:spacing w:after="0" w:line="69" w:lineRule="exact"/>
        <w:rPr>
          <w:sz w:val="24"/>
          <w:szCs w:val="24"/>
          <w:color w:val="auto"/>
        </w:rPr>
      </w:pPr>
    </w:p>
    <w:p>
      <w:pPr>
        <w:ind w:left="1360" w:right="279"/>
        <w:spacing w:after="0" w:line="258" w:lineRule="auto"/>
        <w:rPr>
          <w:sz w:val="20"/>
          <w:szCs w:val="20"/>
          <w:color w:val="auto"/>
        </w:rPr>
      </w:pPr>
      <w:r>
        <w:rPr>
          <w:rFonts w:ascii="Arial" w:cs="Arial" w:eastAsia="Arial" w:hAnsi="Arial"/>
          <w:sz w:val="14"/>
          <w:szCs w:val="14"/>
          <w:b w:val="1"/>
          <w:bCs w:val="1"/>
          <w:color w:val="auto"/>
        </w:rPr>
        <w:t>Neither the Securities and Exchange Commission,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862965</wp:posOffset>
            </wp:positionH>
            <wp:positionV relativeFrom="paragraph">
              <wp:posOffset>53340</wp:posOffset>
            </wp:positionV>
            <wp:extent cx="544195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41950" cy="13335"/>
                    </a:xfrm>
                    <a:prstGeom prst="rect">
                      <a:avLst/>
                    </a:prstGeom>
                    <a:noFill/>
                  </pic:spPr>
                </pic:pic>
              </a:graphicData>
            </a:graphic>
          </wp:anchor>
        </w:drawing>
      </w:r>
    </w:p>
    <w:p>
      <w:pPr>
        <w:spacing w:after="0" w:line="103" w:lineRule="exact"/>
        <w:rPr>
          <w:sz w:val="24"/>
          <w:szCs w:val="24"/>
          <w:color w:val="auto"/>
        </w:rPr>
      </w:pPr>
    </w:p>
    <w:tbl>
      <w:tblPr>
        <w:tblLayout w:type="fixed"/>
        <w:tblInd w:w="13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40" w:type="dxa"/>
            <w:vAlign w:val="bottom"/>
            <w:gridSpan w:val="2"/>
          </w:tcPr>
          <w:p>
            <w:pPr>
              <w:ind w:left="300"/>
              <w:spacing w:after="0"/>
              <w:rPr>
                <w:sz w:val="20"/>
                <w:szCs w:val="20"/>
                <w:color w:val="auto"/>
              </w:rPr>
            </w:pPr>
            <w:r>
              <w:rPr>
                <w:rFonts w:ascii="Arial" w:cs="Arial" w:eastAsia="Arial" w:hAnsi="Arial"/>
                <w:sz w:val="13"/>
                <w:szCs w:val="13"/>
                <w:b w:val="1"/>
                <w:bCs w:val="1"/>
                <w:color w:val="auto"/>
              </w:rPr>
              <w:t>Per Pre-Funded</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2"/>
          </w:tcPr>
          <w:p>
            <w:pPr>
              <w:ind w:left="1040"/>
              <w:spacing w:after="0"/>
              <w:rPr>
                <w:sz w:val="20"/>
                <w:szCs w:val="20"/>
                <w:color w:val="auto"/>
              </w:rPr>
            </w:pPr>
            <w:r>
              <w:rPr>
                <w:rFonts w:ascii="Arial" w:cs="Arial" w:eastAsia="Arial" w:hAnsi="Arial"/>
                <w:sz w:val="13"/>
                <w:szCs w:val="13"/>
                <w:b w:val="1"/>
                <w:bCs w:val="1"/>
                <w:color w:val="auto"/>
              </w:rPr>
              <w:t>Per share</w:t>
            </w:r>
          </w:p>
        </w:tc>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w w:val="97"/>
              </w:rPr>
              <w:t>Warrant</w:t>
            </w:r>
          </w:p>
        </w:tc>
        <w:tc>
          <w:tcPr>
            <w:tcW w:w="7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3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36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Offering price</w:t>
            </w:r>
          </w:p>
        </w:tc>
        <w:tc>
          <w:tcPr>
            <w:tcW w:w="1200" w:type="dxa"/>
            <w:vAlign w:val="bottom"/>
            <w:shd w:val="clear" w:color="auto" w:fill="CCEEFF"/>
          </w:tcPr>
          <w:p>
            <w:pPr>
              <w:ind w:left="1040"/>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30"/>
              <w:spacing w:after="0" w:line="157" w:lineRule="exact"/>
              <w:rPr>
                <w:sz w:val="20"/>
                <w:szCs w:val="20"/>
                <w:color w:val="auto"/>
              </w:rPr>
            </w:pPr>
            <w:r>
              <w:rPr>
                <w:rFonts w:ascii="Arial" w:cs="Arial" w:eastAsia="Arial" w:hAnsi="Arial"/>
                <w:sz w:val="14"/>
                <w:szCs w:val="14"/>
                <w:color w:val="auto"/>
              </w:rPr>
              <w:t>30.00</w:t>
            </w:r>
          </w:p>
        </w:tc>
        <w:tc>
          <w:tcPr>
            <w:tcW w:w="80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30"/>
              <w:spacing w:after="0" w:line="157" w:lineRule="exact"/>
              <w:rPr>
                <w:sz w:val="20"/>
                <w:szCs w:val="20"/>
                <w:color w:val="auto"/>
              </w:rPr>
            </w:pPr>
            <w:r>
              <w:rPr>
                <w:rFonts w:ascii="Arial" w:cs="Arial" w:eastAsia="Arial" w:hAnsi="Arial"/>
                <w:sz w:val="14"/>
                <w:szCs w:val="14"/>
                <w:color w:val="auto"/>
                <w:w w:val="97"/>
              </w:rPr>
              <w:t>29.999</w:t>
            </w:r>
          </w:p>
        </w:tc>
        <w:tc>
          <w:tcPr>
            <w:tcW w:w="38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8"/>
              </w:rPr>
              <w:t>600,000,026.61</w:t>
            </w:r>
          </w:p>
        </w:tc>
        <w:tc>
          <w:tcPr>
            <w:tcW w:w="0" w:type="dxa"/>
            <w:vAlign w:val="bottom"/>
          </w:tcPr>
          <w:p>
            <w:pPr>
              <w:spacing w:after="0"/>
              <w:rPr>
                <w:sz w:val="1"/>
                <w:szCs w:val="1"/>
                <w:color w:val="auto"/>
              </w:rPr>
            </w:pPr>
          </w:p>
        </w:tc>
      </w:tr>
      <w:tr>
        <w:trPr>
          <w:trHeight w:val="368"/>
        </w:trPr>
        <w:tc>
          <w:tcPr>
            <w:tcW w:w="3700" w:type="dxa"/>
            <w:vAlign w:val="bottom"/>
            <w:gridSpan w:val="2"/>
          </w:tcPr>
          <w:p>
            <w:pPr>
              <w:spacing w:after="0"/>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1"/>
                <w:szCs w:val="21"/>
                <w:color w:val="auto"/>
                <w:vertAlign w:val="superscript"/>
              </w:rPr>
              <w:t>(1)</w:t>
            </w:r>
          </w:p>
        </w:tc>
        <w:tc>
          <w:tcPr>
            <w:tcW w:w="1200" w:type="dxa"/>
            <w:vAlign w:val="bottom"/>
          </w:tcPr>
          <w:p>
            <w:pPr>
              <w:ind w:left="10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30"/>
              <w:spacing w:after="0"/>
              <w:rPr>
                <w:sz w:val="20"/>
                <w:szCs w:val="20"/>
                <w:color w:val="auto"/>
              </w:rPr>
            </w:pPr>
            <w:r>
              <w:rPr>
                <w:rFonts w:ascii="Arial" w:cs="Arial" w:eastAsia="Arial" w:hAnsi="Arial"/>
                <w:sz w:val="14"/>
                <w:szCs w:val="14"/>
                <w:color w:val="auto"/>
              </w:rPr>
              <w:t>1.65</w:t>
            </w:r>
          </w:p>
        </w:tc>
        <w:tc>
          <w:tcPr>
            <w:tcW w:w="800" w:type="dxa"/>
            <w:vAlign w:val="bottom"/>
          </w:tcPr>
          <w:p>
            <w:pPr>
              <w:ind w:left="3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30"/>
              <w:spacing w:after="0"/>
              <w:rPr>
                <w:sz w:val="20"/>
                <w:szCs w:val="20"/>
                <w:color w:val="auto"/>
              </w:rPr>
            </w:pPr>
            <w:r>
              <w:rPr>
                <w:rFonts w:ascii="Arial" w:cs="Arial" w:eastAsia="Arial" w:hAnsi="Arial"/>
                <w:sz w:val="14"/>
                <w:szCs w:val="14"/>
                <w:color w:val="auto"/>
              </w:rPr>
              <w:t>1.650</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33,000,102.30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80" w:type="dxa"/>
            <w:vAlign w:val="bottom"/>
            <w:tcBorders>
              <w:bottom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Proceeds, before expenses, to us</w:t>
            </w:r>
          </w:p>
        </w:tc>
        <w:tc>
          <w:tcPr>
            <w:tcW w:w="1200" w:type="dxa"/>
            <w:vAlign w:val="bottom"/>
            <w:tcBorders>
              <w:bottom w:val="single" w:sz="8" w:color="auto"/>
            </w:tcBorders>
            <w:shd w:val="clear" w:color="auto" w:fill="CCEEFF"/>
          </w:tcPr>
          <w:p>
            <w:pPr>
              <w:ind w:left="1040"/>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30"/>
              <w:spacing w:after="0" w:line="157" w:lineRule="exact"/>
              <w:rPr>
                <w:sz w:val="20"/>
                <w:szCs w:val="20"/>
                <w:color w:val="auto"/>
              </w:rPr>
            </w:pPr>
            <w:r>
              <w:rPr>
                <w:rFonts w:ascii="Arial" w:cs="Arial" w:eastAsia="Arial" w:hAnsi="Arial"/>
                <w:sz w:val="14"/>
                <w:szCs w:val="14"/>
                <w:color w:val="auto"/>
              </w:rPr>
              <w:t>28.35</w:t>
            </w:r>
          </w:p>
        </w:tc>
        <w:tc>
          <w:tcPr>
            <w:tcW w:w="800" w:type="dxa"/>
            <w:vAlign w:val="bottom"/>
            <w:tcBorders>
              <w:bottom w:val="single" w:sz="8" w:color="auto"/>
            </w:tcBorders>
            <w:shd w:val="clear" w:color="auto" w:fill="CCEEFF"/>
          </w:tcPr>
          <w:p>
            <w:pPr>
              <w:ind w:left="300"/>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30"/>
              <w:spacing w:after="0" w:line="157" w:lineRule="exact"/>
              <w:rPr>
                <w:sz w:val="20"/>
                <w:szCs w:val="20"/>
                <w:color w:val="auto"/>
              </w:rPr>
            </w:pPr>
            <w:r>
              <w:rPr>
                <w:rFonts w:ascii="Arial" w:cs="Arial" w:eastAsia="Arial" w:hAnsi="Arial"/>
                <w:sz w:val="14"/>
                <w:szCs w:val="14"/>
                <w:color w:val="auto"/>
                <w:w w:val="97"/>
              </w:rPr>
              <w:t>28.349</w:t>
            </w:r>
          </w:p>
        </w:tc>
        <w:tc>
          <w:tcPr>
            <w:tcW w:w="380" w:type="dxa"/>
            <w:vAlign w:val="bottom"/>
            <w:tcBorders>
              <w:bottom w:val="single" w:sz="8" w:color="auto"/>
            </w:tcBorders>
            <w:shd w:val="clear" w:color="auto" w:fill="CCEEFF"/>
          </w:tcPr>
          <w:p>
            <w:pPr>
              <w:ind w:left="300"/>
              <w:spacing w:after="0" w:line="157"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w w:val="98"/>
              </w:rPr>
              <w:t>566,999,924.31</w:t>
            </w:r>
          </w:p>
        </w:tc>
        <w:tc>
          <w:tcPr>
            <w:tcW w:w="0" w:type="dxa"/>
            <w:vAlign w:val="bottom"/>
          </w:tcPr>
          <w:p>
            <w:pPr>
              <w:spacing w:after="0"/>
              <w:rPr>
                <w:sz w:val="1"/>
                <w:szCs w:val="1"/>
                <w:color w:val="auto"/>
              </w:rPr>
            </w:pPr>
          </w:p>
        </w:tc>
      </w:tr>
    </w:tbl>
    <w:p>
      <w:pPr>
        <w:spacing w:after="0" w:line="60" w:lineRule="exact"/>
        <w:rPr>
          <w:sz w:val="24"/>
          <w:szCs w:val="24"/>
          <w:color w:val="auto"/>
        </w:rPr>
      </w:pPr>
    </w:p>
    <w:p>
      <w:pPr>
        <w:ind w:left="1620" w:hanging="261"/>
        <w:spacing w:after="0"/>
        <w:tabs>
          <w:tab w:leader="none" w:pos="1620" w:val="left"/>
        </w:tabs>
        <w:numPr>
          <w:ilvl w:val="0"/>
          <w:numId w:val="1"/>
        </w:numPr>
        <w:rPr>
          <w:rFonts w:ascii="Arial" w:cs="Arial" w:eastAsia="Arial" w:hAnsi="Arial"/>
          <w:sz w:val="16"/>
          <w:szCs w:val="16"/>
          <w:color w:val="auto"/>
          <w:vertAlign w:val="superscript"/>
        </w:rPr>
      </w:pPr>
      <w:r>
        <w:rPr>
          <w:rFonts w:ascii="Arial" w:cs="Arial" w:eastAsia="Arial" w:hAnsi="Arial"/>
          <w:sz w:val="11"/>
          <w:szCs w:val="11"/>
          <w:color w:val="auto"/>
        </w:rPr>
        <w:t>We refer you to “Underwriting” beginning on page S-32 of this prospectus supplement for additional information regarding underwriting compensation.</w:t>
      </w:r>
    </w:p>
    <w:p>
      <w:pPr>
        <w:spacing w:after="0" w:line="98" w:lineRule="exact"/>
        <w:rPr>
          <w:sz w:val="24"/>
          <w:szCs w:val="24"/>
          <w:color w:val="auto"/>
        </w:rPr>
      </w:pPr>
    </w:p>
    <w:p>
      <w:pPr>
        <w:ind w:left="1360" w:right="359"/>
        <w:spacing w:after="0" w:line="270" w:lineRule="auto"/>
        <w:rPr>
          <w:sz w:val="20"/>
          <w:szCs w:val="20"/>
          <w:color w:val="auto"/>
        </w:rPr>
      </w:pPr>
      <w:r>
        <w:rPr>
          <w:rFonts w:ascii="Arial" w:cs="Arial" w:eastAsia="Arial" w:hAnsi="Arial"/>
          <w:sz w:val="14"/>
          <w:szCs w:val="14"/>
          <w:color w:val="auto"/>
        </w:rPr>
        <w:t>The underwriters may also exercise their option to purchase up to an additional 3,000,009 shares of common stock from us, at the public offering price, less the underwriting discount, for 30 days after the date of this prospectus supplement.</w:t>
      </w:r>
    </w:p>
    <w:p>
      <w:pPr>
        <w:spacing w:after="0" w:line="58" w:lineRule="exact"/>
        <w:rPr>
          <w:sz w:val="24"/>
          <w:szCs w:val="24"/>
          <w:color w:val="auto"/>
        </w:rPr>
      </w:pPr>
    </w:p>
    <w:p>
      <w:pPr>
        <w:ind w:left="1360" w:right="379"/>
        <w:spacing w:after="0" w:line="270" w:lineRule="auto"/>
        <w:rPr>
          <w:sz w:val="20"/>
          <w:szCs w:val="20"/>
          <w:color w:val="auto"/>
        </w:rPr>
      </w:pPr>
      <w:r>
        <w:rPr>
          <w:rFonts w:ascii="Arial" w:cs="Arial" w:eastAsia="Arial" w:hAnsi="Arial"/>
          <w:sz w:val="14"/>
          <w:szCs w:val="14"/>
          <w:color w:val="auto"/>
        </w:rPr>
        <w:t>The underwriters expect to deliver the shares of common stock and pre-funded warrants offered pursuant to this prospectus supplement and accompanying prospectus on or about June 11, 2026.</w:t>
      </w:r>
    </w:p>
    <w:p>
      <w:pPr>
        <w:spacing w:after="0" w:line="58" w:lineRule="exact"/>
        <w:rPr>
          <w:sz w:val="24"/>
          <w:szCs w:val="24"/>
          <w:color w:val="auto"/>
        </w:rPr>
      </w:pPr>
    </w:p>
    <w:p>
      <w:pPr>
        <w:jc w:val="right"/>
        <w:ind w:right="239"/>
        <w:spacing w:after="0"/>
        <w:tabs>
          <w:tab w:leader="none" w:pos="5640" w:val="left"/>
          <w:tab w:leader="none" w:pos="2420" w:val="left"/>
          <w:tab w:leader="none" w:pos="520" w:val="left"/>
        </w:tabs>
        <w:rPr>
          <w:sz w:val="20"/>
          <w:szCs w:val="20"/>
          <w:color w:val="auto"/>
        </w:rPr>
      </w:pPr>
      <w:r>
        <w:rPr>
          <w:rFonts w:ascii="Arial" w:cs="Arial" w:eastAsia="Arial" w:hAnsi="Arial"/>
          <w:sz w:val="22"/>
          <w:szCs w:val="22"/>
          <w:b w:val="1"/>
          <w:bCs w:val="1"/>
          <w:color w:val="auto"/>
        </w:rPr>
        <w:t>J.P. Morgan</w:t>
      </w:r>
      <w:r>
        <w:rPr>
          <w:sz w:val="20"/>
          <w:szCs w:val="20"/>
          <w:color w:val="auto"/>
        </w:rPr>
        <w:tab/>
      </w:r>
      <w:r>
        <w:rPr>
          <w:rFonts w:ascii="Arial" w:cs="Arial" w:eastAsia="Arial" w:hAnsi="Arial"/>
          <w:sz w:val="22"/>
          <w:szCs w:val="22"/>
          <w:b w:val="1"/>
          <w:bCs w:val="1"/>
          <w:color w:val="auto"/>
        </w:rPr>
        <w:t>Leerink Partners</w:t>
      </w:r>
      <w:r>
        <w:rPr>
          <w:sz w:val="20"/>
          <w:szCs w:val="20"/>
          <w:color w:val="auto"/>
        </w:rPr>
        <w:tab/>
      </w:r>
      <w:r>
        <w:rPr>
          <w:rFonts w:ascii="Arial" w:cs="Arial" w:eastAsia="Arial" w:hAnsi="Arial"/>
          <w:sz w:val="22"/>
          <w:szCs w:val="22"/>
          <w:b w:val="1"/>
          <w:bCs w:val="1"/>
          <w:color w:val="auto"/>
        </w:rPr>
        <w:t>Cantor</w:t>
      </w:r>
      <w:r>
        <w:rPr>
          <w:sz w:val="20"/>
          <w:szCs w:val="20"/>
          <w:color w:val="auto"/>
        </w:rPr>
        <w:tab/>
      </w:r>
      <w:r>
        <w:rPr>
          <w:rFonts w:ascii="Arial" w:cs="Arial" w:eastAsia="Arial" w:hAnsi="Arial"/>
          <w:sz w:val="22"/>
          <w:szCs w:val="22"/>
          <w:b w:val="1"/>
          <w:bCs w:val="1"/>
          <w:color w:val="auto"/>
        </w:rPr>
        <w:t>Stifel</w:t>
      </w:r>
    </w:p>
    <w:p>
      <w:pPr>
        <w:spacing w:after="0" w:line="132" w:lineRule="exact"/>
        <w:rPr>
          <w:sz w:val="24"/>
          <w:szCs w:val="24"/>
          <w:color w:val="auto"/>
        </w:rPr>
      </w:pPr>
    </w:p>
    <w:p>
      <w:pPr>
        <w:ind w:left="1360"/>
        <w:spacing w:after="0"/>
        <w:rPr>
          <w:sz w:val="20"/>
          <w:szCs w:val="20"/>
          <w:color w:val="auto"/>
        </w:rPr>
      </w:pPr>
      <w:r>
        <w:rPr>
          <w:rFonts w:ascii="Arial" w:cs="Arial" w:eastAsia="Arial" w:hAnsi="Arial"/>
          <w:sz w:val="15"/>
          <w:szCs w:val="15"/>
          <w:b w:val="1"/>
          <w:bCs w:val="1"/>
          <w:color w:val="auto"/>
        </w:rPr>
        <w:t>Prospectus supplement dated June 9, 2026</w:t>
      </w:r>
    </w:p>
    <w:p>
      <w:pPr>
        <w:sectPr>
          <w:pgSz w:w="11900" w:h="16838" w:orient="portrait"/>
          <w:cols w:equalWidth="0" w:num="1">
            <w:col w:w="10159"/>
          </w:cols>
          <w:pgMar w:left="300" w:top="20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0"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Table of contents</w:t>
      </w:r>
    </w:p>
    <w:p>
      <w:pPr>
        <w:spacing w:after="0" w:line="119"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Prospectus supplement</w:t>
      </w:r>
    </w:p>
    <w:p>
      <w:pPr>
        <w:spacing w:after="0" w:line="242"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About this prospectus supplement</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Prospectus supplement summary</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The offering</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Risk factors</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Special note regarding forward-looking statements</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Use of proceeds</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Dividend policy</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Dilution</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Description of capital stock</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Description of pre-funded warrants</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3"/>
          <w:szCs w:val="13"/>
          <w:u w:val="single" w:color="auto"/>
          <w:color w:val="0000EE"/>
        </w:rPr>
        <w:t>Certain material U.S. federal income tax considerations</w:t>
      </w:r>
    </w:p>
    <w:p>
      <w:pPr>
        <w:spacing w:after="0" w:line="61"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Underwriting</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Legal matters</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Experts</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Where you can find more information</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Incorporation by reference</w:t>
      </w:r>
    </w:p>
    <w:p>
      <w:pPr>
        <w:spacing w:after="0" w:line="137"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Prospectus</w:t>
      </w:r>
    </w:p>
    <w:p>
      <w:pPr>
        <w:spacing w:after="0" w:line="115"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About this prospectus</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Risk factors</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Special note regarding forward-looking statements</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Our company</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Use of proceeds</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Securities that may be offered</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Description of capital stock</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Description of debt securities</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Description of warrants</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Description of units</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Plan of distribution</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Legal matters</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Experts</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Where you can find more information</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Incorporation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279"/>
        <w:spacing w:after="0"/>
        <w:rPr>
          <w:sz w:val="20"/>
          <w:szCs w:val="20"/>
          <w:color w:val="auto"/>
        </w:rPr>
      </w:pPr>
      <w:r>
        <w:rPr>
          <w:rFonts w:ascii="Arial" w:cs="Arial" w:eastAsia="Arial" w:hAnsi="Arial"/>
          <w:sz w:val="11"/>
          <w:szCs w:val="11"/>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-929640</wp:posOffset>
            </wp:positionV>
            <wp:extent cx="7201535" cy="33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jc w:val="right"/>
        <w:ind w:right="279"/>
        <w:spacing w:after="0"/>
        <w:rPr>
          <w:sz w:val="20"/>
          <w:szCs w:val="20"/>
          <w:color w:val="auto"/>
        </w:rPr>
      </w:pPr>
      <w:r>
        <w:rPr>
          <w:rFonts w:ascii="Arial" w:cs="Arial" w:eastAsia="Arial" w:hAnsi="Arial"/>
          <w:sz w:val="14"/>
          <w:szCs w:val="14"/>
          <w:color w:val="auto"/>
        </w:rPr>
        <w:t>S-1</w:t>
      </w:r>
    </w:p>
    <w:p>
      <w:pPr>
        <w:spacing w:after="0" w:line="35"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S-3</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S-6</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S-8</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S-12</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S-15</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S-16</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S-17</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S-19</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S-23</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S-25</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S-32</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S-48</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S-48</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S-48</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S-49</w:t>
      </w:r>
    </w:p>
    <w:p>
      <w:pPr>
        <w:spacing w:after="0" w:line="200" w:lineRule="exact"/>
        <w:rPr>
          <w:sz w:val="20"/>
          <w:szCs w:val="20"/>
          <w:color w:val="auto"/>
        </w:rPr>
      </w:pPr>
    </w:p>
    <w:p>
      <w:pPr>
        <w:spacing w:after="0" w:line="248"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1</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3</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4</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7</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9</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10</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11</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15</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22</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23</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26</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29</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29</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29</w:t>
      </w:r>
    </w:p>
    <w:p>
      <w:pPr>
        <w:spacing w:after="0" w:line="49" w:lineRule="exact"/>
        <w:rPr>
          <w:sz w:val="20"/>
          <w:szCs w:val="20"/>
          <w:color w:val="auto"/>
        </w:rPr>
      </w:pPr>
    </w:p>
    <w:p>
      <w:pPr>
        <w:jc w:val="right"/>
        <w:ind w:right="279"/>
        <w:spacing w:after="0"/>
        <w:rPr>
          <w:sz w:val="20"/>
          <w:szCs w:val="20"/>
          <w:color w:val="auto"/>
        </w:rPr>
      </w:pPr>
      <w:r>
        <w:rPr>
          <w:rFonts w:ascii="Arial" w:cs="Arial" w:eastAsia="Arial" w:hAnsi="Arial"/>
          <w:sz w:val="14"/>
          <w:szCs w:val="14"/>
          <w:color w:val="auto"/>
        </w:rPr>
        <w:t>30</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S-i</w:t>
      </w:r>
    </w:p>
    <w:p>
      <w:pPr>
        <w:sectPr>
          <w:pgSz w:w="11900" w:h="16838" w:orient="portrait"/>
          <w:cols w:equalWidth="0" w:num="2">
            <w:col w:w="4840" w:space="720"/>
            <w:col w:w="4599"/>
          </w:cols>
          <w:pgMar w:left="300" w:top="38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0"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About this prospectus supplement</w:t>
      </w:r>
    </w:p>
    <w:p>
      <w:pPr>
        <w:spacing w:after="0" w:line="125" w:lineRule="exact"/>
        <w:rPr>
          <w:sz w:val="20"/>
          <w:szCs w:val="20"/>
          <w:color w:val="auto"/>
        </w:rPr>
      </w:pPr>
    </w:p>
    <w:p>
      <w:pPr>
        <w:ind w:left="1360" w:right="339"/>
        <w:spacing w:after="0" w:line="239" w:lineRule="auto"/>
        <w:rPr>
          <w:sz w:val="20"/>
          <w:szCs w:val="20"/>
          <w:color w:val="auto"/>
        </w:rPr>
      </w:pPr>
      <w:r>
        <w:rPr>
          <w:rFonts w:ascii="Arial" w:cs="Arial" w:eastAsia="Arial" w:hAnsi="Arial"/>
          <w:sz w:val="14"/>
          <w:szCs w:val="14"/>
          <w:color w:val="auto"/>
        </w:rPr>
        <w:t>This document contains two parts. The first part is this prospectus supplement, which describes the specific terms of this offering of our common stock and pre-funded warrants and also supplements and updates information contained in the accompanying prospectus and the documents incorporated by reference into this prospectus supplement and the accompanying prospectus. The second part is the accompanying prospectus included in our automatic shelf registration statement on Form S-3 (File No. 333-291684) that we filed with the Securities and Exchange Commission, or the SEC, on November 21, 2025, as a “well-known seasoned issuer” as defined in Rule 405 of the Securities Act of 1933, as amended, or the Securities Act, along with the documents incorporated by reference, which provides more general information, some of which may not apply to this offering. Generally, when we refer to this prospectus, we are referring to both parts of this document combined.</w:t>
      </w:r>
    </w:p>
    <w:p>
      <w:pPr>
        <w:spacing w:after="0" w:line="93" w:lineRule="exact"/>
        <w:rPr>
          <w:sz w:val="20"/>
          <w:szCs w:val="20"/>
          <w:color w:val="auto"/>
        </w:rPr>
      </w:pPr>
    </w:p>
    <w:p>
      <w:pPr>
        <w:ind w:left="1360" w:right="339"/>
        <w:spacing w:after="0" w:line="241" w:lineRule="auto"/>
        <w:rPr>
          <w:sz w:val="20"/>
          <w:szCs w:val="20"/>
          <w:color w:val="auto"/>
        </w:rPr>
      </w:pPr>
      <w:r>
        <w:rPr>
          <w:rFonts w:ascii="Arial" w:cs="Arial" w:eastAsia="Arial" w:hAnsi="Arial"/>
          <w:sz w:val="14"/>
          <w:szCs w:val="14"/>
          <w:color w:val="auto"/>
        </w:rPr>
        <w:t>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contained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91" w:lineRule="exact"/>
        <w:rPr>
          <w:sz w:val="20"/>
          <w:szCs w:val="20"/>
          <w:color w:val="auto"/>
        </w:rPr>
      </w:pPr>
    </w:p>
    <w:p>
      <w:pPr>
        <w:ind w:left="1360" w:right="319"/>
        <w:spacing w:after="0" w:line="241" w:lineRule="auto"/>
        <w:rPr>
          <w:sz w:val="20"/>
          <w:szCs w:val="20"/>
          <w:color w:val="auto"/>
        </w:rPr>
      </w:pPr>
      <w:r>
        <w:rPr>
          <w:rFonts w:ascii="Arial" w:cs="Arial" w:eastAsia="Arial" w:hAnsi="Arial"/>
          <w:sz w:val="14"/>
          <w:szCs w:val="14"/>
          <w:color w:val="auto"/>
        </w:rPr>
        <w:t>This prospectus supplement and the accompanying prospectus are part of a “shelf” registration statement that we filed with the SEC. Under the shelf registration process, we may offer from time to time various securities, including our common stock. Such registration statement also includes exhibits that provide more detail on the matters discussed in this prospectus supplement and the accompanying prospectus. You should read this prospectus supplement, the accompanying prospectus, including the information incorporated by reference, the exhibits filed with the SEC, and any free writing prospectus that we have authorized for use in connection with this offering, in their entirety before making an investment decision.</w:t>
      </w:r>
    </w:p>
    <w:p>
      <w:pPr>
        <w:spacing w:after="0" w:line="80" w:lineRule="exact"/>
        <w:rPr>
          <w:sz w:val="20"/>
          <w:szCs w:val="20"/>
          <w:color w:val="auto"/>
        </w:rPr>
      </w:pPr>
    </w:p>
    <w:p>
      <w:pPr>
        <w:ind w:left="1360" w:right="259"/>
        <w:spacing w:after="0" w:line="239" w:lineRule="auto"/>
        <w:rPr>
          <w:sz w:val="20"/>
          <w:szCs w:val="20"/>
          <w:color w:val="auto"/>
        </w:rPr>
      </w:pPr>
      <w:r>
        <w:rPr>
          <w:rFonts w:ascii="Arial" w:cs="Arial" w:eastAsia="Arial" w:hAnsi="Arial"/>
          <w:sz w:val="14"/>
          <w:szCs w:val="14"/>
          <w:color w:val="auto"/>
        </w:rPr>
        <w:t>We are offering to sell, and seeking offers to buy, shares of our common stock and pre-funded warrants only in jurisdictions where offers and sales are permitted. For investors outside the United States, we have not done anything that would permit this offering or possession or distribution of this prospectus supplement, the accompanying prospectus and in any free writing prospectus that we have authorized for use in connection with this offering in any jurisdiction where action for that purpose is required, other than in the United States. Persons outside the United States who come into possession of this prospectus supplement, the accompanying prospectus and any free writing prospectus that we have authorized for use in connection with this offering must inform themselves about, and observe any restrictions relating to, the offering of the shares of common stock and pre-funded warrants and the distribution of this prospectus supplement, the accompanying prospectus and any free writing prospectus that we have authorized for use in connection with this offering outside the United States.</w:t>
      </w:r>
    </w:p>
    <w:p>
      <w:pPr>
        <w:spacing w:after="0" w:line="90" w:lineRule="exact"/>
        <w:rPr>
          <w:sz w:val="20"/>
          <w:szCs w:val="20"/>
          <w:color w:val="auto"/>
        </w:rPr>
      </w:pPr>
    </w:p>
    <w:p>
      <w:pPr>
        <w:ind w:left="1360" w:right="239"/>
        <w:spacing w:after="0" w:line="239" w:lineRule="auto"/>
        <w:rPr>
          <w:sz w:val="20"/>
          <w:szCs w:val="20"/>
          <w:color w:val="auto"/>
        </w:rPr>
      </w:pPr>
      <w:r>
        <w:rPr>
          <w:rFonts w:ascii="Arial" w:cs="Arial" w:eastAsia="Arial" w:hAnsi="Arial"/>
          <w:sz w:val="14"/>
          <w:szCs w:val="14"/>
          <w:color w:val="auto"/>
        </w:rPr>
        <w:t>You should rely only on the information contained or incorporated by reference in this prospectus supplement and the accompanying prospectus, along with the information contained in any free writing prospectus that we have authorized for use in connection with this offering. We have not, and the underwriters have not, authorized anyone to provide you with different or additional information. If anyone provides you with different or inconsistent information, you should not rely on it. We and the underwriters take no responsibility for, and can provide no assurance as to the reliability of, any other information that others may give you. You should assume that the information appearing in this prospectus supplement, the accompanying prospectus, the documents incorporated by reference in this prospectus supplement and the accompanying prospectus, and in any free writing prospectus that we have authorized for use in connection with this offering is accurate only as of the respective dates of those documents, unless we indicate otherwise. Our business, financial condition, results of operations and prospects may have changed since those dates.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S-1</w:t>
      </w:r>
    </w:p>
    <w:p>
      <w:pPr>
        <w:sectPr>
          <w:pgSz w:w="11900" w:h="16838" w:orient="portrait"/>
          <w:cols w:equalWidth="0" w:num="1">
            <w:col w:w="10159"/>
          </w:cols>
          <w:pgMar w:left="300" w:top="385"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41" w:lineRule="auto"/>
        <w:rPr>
          <w:sz w:val="20"/>
          <w:szCs w:val="20"/>
          <w:color w:val="auto"/>
        </w:rPr>
      </w:pPr>
      <w:r>
        <w:rPr>
          <w:rFonts w:ascii="Arial" w:cs="Arial" w:eastAsia="Arial" w:hAnsi="Arial"/>
          <w:sz w:val="14"/>
          <w:szCs w:val="14"/>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were accurate only as of the date when made; therefore, such representations, warranties and covenants should not be relied on as accurate representations of the current state of our affairs.</w:t>
      </w:r>
    </w:p>
    <w:p>
      <w:pPr>
        <w:spacing w:after="0" w:line="80" w:lineRule="exact"/>
        <w:rPr>
          <w:sz w:val="20"/>
          <w:szCs w:val="20"/>
          <w:color w:val="auto"/>
        </w:rPr>
      </w:pPr>
    </w:p>
    <w:p>
      <w:pPr>
        <w:ind w:left="1360" w:right="399"/>
        <w:spacing w:after="0" w:line="246" w:lineRule="auto"/>
        <w:rPr>
          <w:sz w:val="20"/>
          <w:szCs w:val="20"/>
          <w:color w:val="auto"/>
        </w:rPr>
      </w:pPr>
      <w:r>
        <w:rPr>
          <w:rFonts w:ascii="Arial" w:cs="Arial" w:eastAsia="Arial" w:hAnsi="Arial"/>
          <w:sz w:val="14"/>
          <w:szCs w:val="14"/>
          <w:color w:val="auto"/>
        </w:rPr>
        <w:t>Unless otherwise indicated or the context suggests otherwise, references in this prospectus supplement and the accompanying prospectus to “Tango Therapeutics,” “Tango,” the “company,” “we,” “us,” and “our,” and similar designations refer to Tango Therapeutics, Inc. and, where appropriate, our consolidated subsidiaries. When we refer to “you,” we mean the potential purchasers of our common stock and pre-funded warrants in this offering.</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S-2</w:t>
      </w:r>
    </w:p>
    <w:p>
      <w:pPr>
        <w:sectPr>
          <w:pgSz w:w="11900" w:h="16838" w:orient="portrait"/>
          <w:cols w:equalWidth="0" w:num="1">
            <w:col w:w="10159"/>
          </w:cols>
          <w:pgMar w:left="300" w:top="38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165735</wp:posOffset>
            </wp:positionV>
            <wp:extent cx="5448300" cy="43078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48300" cy="4307840"/>
                    </a:xfrm>
                    <a:prstGeom prst="rect">
                      <a:avLst/>
                    </a:prstGeom>
                    <a:noFill/>
                  </pic:spPr>
                </pic:pic>
              </a:graphicData>
            </a:graphic>
          </wp:anchor>
        </w:drawing>
      </w:r>
    </w:p>
    <w:p>
      <w:pPr>
        <w:spacing w:after="0" w:line="357"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Prospectus supplement summary</w:t>
      </w:r>
    </w:p>
    <w:p>
      <w:pPr>
        <w:spacing w:after="0" w:line="127" w:lineRule="exact"/>
        <w:rPr>
          <w:sz w:val="20"/>
          <w:szCs w:val="20"/>
          <w:color w:val="auto"/>
        </w:rPr>
      </w:pPr>
    </w:p>
    <w:p>
      <w:pPr>
        <w:ind w:left="1500" w:right="459"/>
        <w:spacing w:after="0" w:line="239" w:lineRule="auto"/>
        <w:rPr>
          <w:sz w:val="20"/>
          <w:szCs w:val="20"/>
          <w:color w:val="auto"/>
        </w:rPr>
      </w:pPr>
      <w:r>
        <w:rPr>
          <w:rFonts w:ascii="Arial" w:cs="Arial" w:eastAsia="Arial" w:hAnsi="Arial"/>
          <w:sz w:val="14"/>
          <w:szCs w:val="14"/>
          <w:i w:val="1"/>
          <w:iCs w:val="1"/>
          <w:color w:val="auto"/>
        </w:rPr>
        <w:t>This summary highlights certain information about us and this offering contained elsewhere in, or incorporated by reference into, this prospectus supplement and the accompanying prospectus. This summary is not complete and does not contain all of the information that you should consider before deciding whether to invest in our securities. For a more complete understanding of our company and this offering, we encourage you to read and consider carefully the more detailed information in this prospectus supplement and the accompanying prospectus, including our financial statements and related notes and the other information incorporated by reference into this prospectus supplement and the accompanying prospectus, and the information included in any free writing prospectus that we have authorized for use in connection with this offering, including the information referred to under the heading “Risk factors” in this prospectus supplement beginning on page S-8 and in the documents incorporated herein by reference.</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Company overview</w:t>
      </w:r>
    </w:p>
    <w:p>
      <w:pPr>
        <w:spacing w:after="0" w:line="105" w:lineRule="exact"/>
        <w:rPr>
          <w:sz w:val="20"/>
          <w:szCs w:val="20"/>
          <w:color w:val="auto"/>
        </w:rPr>
      </w:pPr>
    </w:p>
    <w:p>
      <w:pPr>
        <w:ind w:left="1500" w:right="399"/>
        <w:spacing w:after="0" w:line="241" w:lineRule="auto"/>
        <w:rPr>
          <w:sz w:val="20"/>
          <w:szCs w:val="20"/>
          <w:color w:val="auto"/>
        </w:rPr>
      </w:pPr>
      <w:r>
        <w:rPr>
          <w:rFonts w:ascii="Arial" w:cs="Arial" w:eastAsia="Arial" w:hAnsi="Arial"/>
          <w:sz w:val="14"/>
          <w:szCs w:val="14"/>
          <w:color w:val="auto"/>
        </w:rPr>
        <w:t>Tango Therapeutics was founded with a clear mission: to discover the next wave of targeted therapies in oncology by addressing the specific genetic alterations that drive cancer. We leverage our state-of-the-art target and drug discovery platforms to identify novel disease-relevant targets and develop medicines tailored to defined patient populations with high unmet medical need. Our novel small molecules are designed to be selectively active in cancer cells with specific genetic alterations, killing those cancer cells while sparing normal cells. We believe our approach will provide the ability to deliver deep, durable target inhibition with favorable tolerability and safety profiles, thus potentially maximizing clinical benefit.</w:t>
      </w:r>
    </w:p>
    <w:p>
      <w:pPr>
        <w:spacing w:after="0" w:line="91" w:lineRule="exact"/>
        <w:rPr>
          <w:sz w:val="20"/>
          <w:szCs w:val="20"/>
          <w:color w:val="auto"/>
        </w:rPr>
      </w:pPr>
    </w:p>
    <w:p>
      <w:pPr>
        <w:ind w:left="1500" w:right="659"/>
        <w:spacing w:after="0" w:line="246" w:lineRule="auto"/>
        <w:rPr>
          <w:sz w:val="20"/>
          <w:szCs w:val="20"/>
          <w:color w:val="auto"/>
        </w:rPr>
      </w:pPr>
      <w:r>
        <w:rPr>
          <w:rFonts w:ascii="Arial" w:cs="Arial" w:eastAsia="Arial" w:hAnsi="Arial"/>
          <w:sz w:val="14"/>
          <w:szCs w:val="14"/>
          <w:color w:val="auto"/>
        </w:rPr>
        <w:t>We are currently focused on clinical development of two Methylthioadenosine Phosphorylase-deleted, or MTAP-deleted, selective protein arginine methyltransferase 5, or PRMT5, inhibitors: vopimetostat (TNG462) for non-central nervous system, or non-CNS, cancers, both as a monotherapy and in combination with renin-angiotensin system, or RAS, inhibitors, and TNG456, our next-generation, brain-penetrant PRMT5 inhibitor, for CNS cancers, including glioblastoma, or GBM.</w:t>
      </w:r>
    </w:p>
    <w:p>
      <w:pPr>
        <w:spacing w:after="0" w:line="86" w:lineRule="exact"/>
        <w:rPr>
          <w:sz w:val="20"/>
          <w:szCs w:val="20"/>
          <w:color w:val="auto"/>
        </w:rPr>
      </w:pPr>
    </w:p>
    <w:p>
      <w:pPr>
        <w:ind w:left="1500" w:right="639"/>
        <w:spacing w:after="0" w:line="243" w:lineRule="auto"/>
        <w:rPr>
          <w:sz w:val="20"/>
          <w:szCs w:val="20"/>
          <w:color w:val="auto"/>
        </w:rPr>
      </w:pPr>
      <w:r>
        <w:rPr>
          <w:rFonts w:ascii="Arial" w:cs="Arial" w:eastAsia="Arial" w:hAnsi="Arial"/>
          <w:sz w:val="14"/>
          <w:szCs w:val="14"/>
          <w:color w:val="auto"/>
        </w:rPr>
        <w:t>We are focused on evaluating vopimetostat as a monotherapy and in combination with RAS inhibitors, given the overlap in patient populations, robust preclinical data supporting potential strong combination effect in clinical trials, and favorable clinical efficacy, durability, and safety profiles observed with each applicable drug individually. In June 2025, we treated the first patient in our combination clinical trial evaluating vopimetostat with the RAS(ON) multi-selective inhibitor, daraxonrasib, and RAS(ON) G12D-selective inhibitor, zoldonrasib (Revolution Medicines).</w:t>
      </w:r>
    </w:p>
    <w:p>
      <w:pPr>
        <w:spacing w:after="0" w:line="78" w:lineRule="exact"/>
        <w:rPr>
          <w:sz w:val="20"/>
          <w:szCs w:val="20"/>
          <w:color w:val="auto"/>
        </w:rPr>
      </w:pPr>
    </w:p>
    <w:p>
      <w:pPr>
        <w:ind w:left="1500" w:right="459"/>
        <w:spacing w:after="0" w:line="271" w:lineRule="auto"/>
        <w:rPr>
          <w:sz w:val="20"/>
          <w:szCs w:val="20"/>
          <w:color w:val="auto"/>
        </w:rPr>
      </w:pPr>
      <w:r>
        <w:rPr>
          <w:rFonts w:ascii="Arial" w:cs="Arial" w:eastAsia="Arial" w:hAnsi="Arial"/>
          <w:sz w:val="13"/>
          <w:szCs w:val="13"/>
          <w:color w:val="auto"/>
        </w:rPr>
        <w:t>Given the differentiated profile of vopimetostat enabling the potential for efficacious and tolerable RAS inhibitor combinations, in March 2026, we entered into a clinical trial collaboration and supply agreement with Erasca, Inc., or Erasca, to evaluate vopimetostat in combination with Erasca’s pan-RAS molecular glue, ERAS-0015. Under the terms of the agreement, Tango is the sponsor of the trial and Erasca is supplying ERAS-0015 at no cost. We plan to initiate this Phase 1/2 clinical trial in the second half of 2026.</w:t>
      </w:r>
    </w:p>
    <w:p>
      <w:pPr>
        <w:spacing w:after="0" w:line="70" w:lineRule="exact"/>
        <w:rPr>
          <w:sz w:val="20"/>
          <w:szCs w:val="20"/>
          <w:color w:val="auto"/>
        </w:rPr>
      </w:pPr>
    </w:p>
    <w:p>
      <w:pPr>
        <w:ind w:left="1500" w:right="519"/>
        <w:spacing w:after="0" w:line="252" w:lineRule="auto"/>
        <w:rPr>
          <w:sz w:val="20"/>
          <w:szCs w:val="20"/>
          <w:color w:val="auto"/>
        </w:rPr>
      </w:pPr>
      <w:r>
        <w:rPr>
          <w:rFonts w:ascii="Arial" w:cs="Arial" w:eastAsia="Arial" w:hAnsi="Arial"/>
          <w:sz w:val="14"/>
          <w:szCs w:val="14"/>
          <w:color w:val="auto"/>
        </w:rPr>
        <w:t>The Phase 1/2 clinical trial of vopimetostat monotherapy in patients with MTAP-deleted selective cancers is ongoing. Emerging data from the lung cancer cohort are consistent with expectations, and we anticipate providing a safety and efficacy update on the lung cancer cohort in the second half of 2026.</w:t>
      </w:r>
    </w:p>
    <w:p>
      <w:pPr>
        <w:spacing w:after="0" w:line="81" w:lineRule="exact"/>
        <w:rPr>
          <w:sz w:val="20"/>
          <w:szCs w:val="20"/>
          <w:color w:val="auto"/>
        </w:rPr>
      </w:pPr>
    </w:p>
    <w:p>
      <w:pPr>
        <w:ind w:left="1500" w:right="379"/>
        <w:spacing w:after="0" w:line="270" w:lineRule="auto"/>
        <w:rPr>
          <w:sz w:val="20"/>
          <w:szCs w:val="20"/>
          <w:color w:val="auto"/>
        </w:rPr>
      </w:pPr>
      <w:r>
        <w:rPr>
          <w:rFonts w:ascii="Arial" w:cs="Arial" w:eastAsia="Arial" w:hAnsi="Arial"/>
          <w:sz w:val="14"/>
          <w:szCs w:val="14"/>
          <w:color w:val="auto"/>
        </w:rPr>
        <w:t>TNG456 is a brain-penetrant PRMT5 inhibitor. In May 2025, the first patient was treated with TNG456 in the dose escalation portion of the Phase 1/2 clinical trial to evaluate the safety, pharmacokinetics,</w:t>
      </w:r>
    </w:p>
    <w:p>
      <w:pPr>
        <w:spacing w:after="0" w:line="205"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S-3</w:t>
      </w:r>
    </w:p>
    <w:p>
      <w:pPr>
        <w:sectPr>
          <w:pgSz w:w="11900" w:h="16838" w:orient="portrait"/>
          <w:cols w:equalWidth="0" w:num="1">
            <w:col w:w="10159"/>
          </w:cols>
          <w:pgMar w:left="300" w:top="38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165735</wp:posOffset>
            </wp:positionV>
            <wp:extent cx="5448300" cy="44011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48300" cy="4401185"/>
                    </a:xfrm>
                    <a:prstGeom prst="rect">
                      <a:avLst/>
                    </a:prstGeom>
                    <a:noFill/>
                  </pic:spPr>
                </pic:pic>
              </a:graphicData>
            </a:graphic>
          </wp:anchor>
        </w:drawing>
      </w:r>
    </w:p>
    <w:p>
      <w:pPr>
        <w:spacing w:after="0" w:line="367" w:lineRule="exact"/>
        <w:rPr>
          <w:sz w:val="20"/>
          <w:szCs w:val="20"/>
          <w:color w:val="auto"/>
        </w:rPr>
      </w:pPr>
    </w:p>
    <w:p>
      <w:pPr>
        <w:ind w:left="1500" w:right="599"/>
        <w:spacing w:after="0" w:line="270" w:lineRule="auto"/>
        <w:rPr>
          <w:sz w:val="20"/>
          <w:szCs w:val="20"/>
          <w:color w:val="auto"/>
        </w:rPr>
      </w:pPr>
      <w:r>
        <w:rPr>
          <w:rFonts w:ascii="Arial" w:cs="Arial" w:eastAsia="Arial" w:hAnsi="Arial"/>
          <w:sz w:val="14"/>
          <w:szCs w:val="14"/>
          <w:color w:val="auto"/>
        </w:rPr>
        <w:t>pharmacodynamics and antitumor activity of TNG456 as a monotherapy. The trial is currently enrolling patients with MTAP-deleted solid tumors, with a focus on GBM. We anticipate providing initial clinical data from this trial in the second half of 2026.</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Recent developments</w:t>
      </w:r>
    </w:p>
    <w:p>
      <w:pPr>
        <w:spacing w:after="0" w:line="115" w:lineRule="exact"/>
        <w:rPr>
          <w:sz w:val="20"/>
          <w:szCs w:val="20"/>
          <w:color w:val="auto"/>
        </w:rPr>
      </w:pPr>
    </w:p>
    <w:p>
      <w:pPr>
        <w:ind w:left="1500" w:right="519"/>
        <w:spacing w:after="0" w:line="252" w:lineRule="auto"/>
        <w:rPr>
          <w:sz w:val="20"/>
          <w:szCs w:val="20"/>
          <w:color w:val="auto"/>
        </w:rPr>
      </w:pPr>
      <w:r>
        <w:rPr>
          <w:rFonts w:ascii="Arial" w:cs="Arial" w:eastAsia="Arial" w:hAnsi="Arial"/>
          <w:sz w:val="14"/>
          <w:szCs w:val="14"/>
          <w:color w:val="auto"/>
        </w:rPr>
        <w:t>On June 8, 2026, we reported initial safety and efficacy data from our ongoing Phase 1/2 clinical trial of vopimetostat in combination with Revolution Medicines, Inc.’s RAS(ON) inhibitors in patients with MTAP-deleted and RAS-mutant metastatic pancreatic ductal adenocarcinoma, or PDAC.</w:t>
      </w:r>
    </w:p>
    <w:p>
      <w:pPr>
        <w:spacing w:after="0" w:line="71" w:lineRule="exact"/>
        <w:rPr>
          <w:sz w:val="20"/>
          <w:szCs w:val="20"/>
          <w:color w:val="auto"/>
        </w:rPr>
      </w:pPr>
    </w:p>
    <w:p>
      <w:pPr>
        <w:ind w:left="1500" w:right="379"/>
        <w:spacing w:after="0" w:line="243" w:lineRule="auto"/>
        <w:rPr>
          <w:sz w:val="20"/>
          <w:szCs w:val="20"/>
          <w:color w:val="auto"/>
        </w:rPr>
      </w:pPr>
      <w:r>
        <w:rPr>
          <w:rFonts w:ascii="Arial" w:cs="Arial" w:eastAsia="Arial" w:hAnsi="Arial"/>
          <w:sz w:val="14"/>
          <w:szCs w:val="14"/>
          <w:color w:val="auto"/>
        </w:rPr>
        <w:t>As of the cutoff date of May 28, 2026, 59 patients with previously treated MTAP-deleted and RAS-mutant PDAC or non-small cell lung cancer, or NSCLC, were treated with a vopimetostat-based combination with either daraxonrasib (n=20 PDAC; n=5 NSCLC) or zoldonrasib (n=34 PDAC). All patients had advanced disease, including 70% with liver metastases in the daraxonrasib PDAC arm and 77% with liver metastases in the zoldonrasib arm, and were generally heavily pre-treated, with more than half receiving the combinations as third-line treatment.</w:t>
      </w:r>
    </w:p>
    <w:p>
      <w:pPr>
        <w:spacing w:after="0" w:line="88" w:lineRule="exact"/>
        <w:rPr>
          <w:sz w:val="20"/>
          <w:szCs w:val="20"/>
          <w:color w:val="auto"/>
        </w:rPr>
      </w:pPr>
    </w:p>
    <w:p>
      <w:pPr>
        <w:ind w:left="1500" w:right="459"/>
        <w:spacing w:after="0" w:line="241" w:lineRule="auto"/>
        <w:rPr>
          <w:sz w:val="20"/>
          <w:szCs w:val="20"/>
          <w:color w:val="auto"/>
        </w:rPr>
      </w:pPr>
      <w:r>
        <w:rPr>
          <w:rFonts w:ascii="Arial" w:cs="Arial" w:eastAsia="Arial" w:hAnsi="Arial"/>
          <w:sz w:val="14"/>
          <w:szCs w:val="14"/>
          <w:color w:val="auto"/>
        </w:rPr>
        <w:t>In the vopimetostat plus daraxonrasib dose escalation arm, patients received either vopimetostat 200 mg or 250 mg once daily (QD) plus daraxonrasib 100 mg QD. As of the data cutoff date of May 28, 2026, 12 patients with PDAC and three patients with NSCLC were response evaluable with at least 14 weeks of follow up. In PDAC patients, we observed an objective response rate, or ORR, of 92% (11 of 12 patients, with nine of 11 responses confirmed as of the data cutoff date). In PDAC patients, we observed a 90% six-month progression free survival rate, and 100% disease control rate, or DCR. In NSCLC patients, we observed an ORR of 100%, with three of three responses (all responses confirmed).</w:t>
      </w:r>
    </w:p>
    <w:p>
      <w:pPr>
        <w:spacing w:after="0" w:line="91" w:lineRule="exact"/>
        <w:rPr>
          <w:sz w:val="20"/>
          <w:szCs w:val="20"/>
          <w:color w:val="auto"/>
        </w:rPr>
      </w:pPr>
    </w:p>
    <w:p>
      <w:pPr>
        <w:ind w:left="1500" w:right="599"/>
        <w:spacing w:after="0" w:line="243" w:lineRule="auto"/>
        <w:rPr>
          <w:sz w:val="20"/>
          <w:szCs w:val="20"/>
          <w:color w:val="auto"/>
        </w:rPr>
      </w:pPr>
      <w:r>
        <w:rPr>
          <w:rFonts w:ascii="Arial" w:cs="Arial" w:eastAsia="Arial" w:hAnsi="Arial"/>
          <w:sz w:val="14"/>
          <w:szCs w:val="14"/>
          <w:color w:val="auto"/>
        </w:rPr>
        <w:t>The vopimetostat plus daraxonrasib combination was generally well tolerated across dose levels. Most adverse events were grade one or two in severity, and grade three adverse events were observed and included thrombocytopenia, acneiform rash, stomatitis/mucositis and fatigue. There were no related grade four or five adverse events. There were no dose-limiting toxicities, or DLTs, at the vopimetostat 200mg/daraxonrasib 100 mg dose level, and three DLTs in two patients at the vopimetostat 250mg/daraxonrasib 100 mg dose level. There were no discontinuations due to adverse events.</w:t>
      </w:r>
    </w:p>
    <w:p>
      <w:pPr>
        <w:spacing w:after="0" w:line="78" w:lineRule="exact"/>
        <w:rPr>
          <w:sz w:val="20"/>
          <w:szCs w:val="20"/>
          <w:color w:val="auto"/>
        </w:rPr>
      </w:pPr>
    </w:p>
    <w:p>
      <w:pPr>
        <w:ind w:left="1500" w:right="699"/>
        <w:spacing w:after="0" w:line="281" w:lineRule="auto"/>
        <w:rPr>
          <w:sz w:val="20"/>
          <w:szCs w:val="20"/>
          <w:color w:val="auto"/>
        </w:rPr>
      </w:pPr>
      <w:r>
        <w:rPr>
          <w:rFonts w:ascii="Arial" w:cs="Arial" w:eastAsia="Arial" w:hAnsi="Arial"/>
          <w:sz w:val="13"/>
          <w:szCs w:val="13"/>
          <w:color w:val="auto"/>
        </w:rPr>
        <w:t>Based on these data, we intend to advance this combination approach into Phase 3 development for patients with MTAP-deleted pancreatic cancer. Subject to feedback from regulatory authorities, we plan to initiate a Phase 3 randomized-controlled trial in front-line pancreatic cancer and evaluate opportunities to advance the second line combination towards registration phase.</w:t>
      </w:r>
    </w:p>
    <w:p>
      <w:pPr>
        <w:spacing w:after="0" w:line="63" w:lineRule="exact"/>
        <w:rPr>
          <w:sz w:val="20"/>
          <w:szCs w:val="20"/>
          <w:color w:val="auto"/>
        </w:rPr>
      </w:pPr>
    </w:p>
    <w:p>
      <w:pPr>
        <w:ind w:left="1500" w:right="419"/>
        <w:spacing w:after="0" w:line="245" w:lineRule="auto"/>
        <w:rPr>
          <w:sz w:val="20"/>
          <w:szCs w:val="20"/>
          <w:color w:val="auto"/>
        </w:rPr>
      </w:pPr>
      <w:r>
        <w:rPr>
          <w:rFonts w:ascii="Arial" w:cs="Arial" w:eastAsia="Arial" w:hAnsi="Arial"/>
          <w:sz w:val="14"/>
          <w:szCs w:val="14"/>
          <w:color w:val="auto"/>
        </w:rPr>
        <w:t>On June 8, 2026, we also reported initial data from the vopimetostat plus zoldonrasib dose escalation arm in PDAC patients. Patients received vopimetostat 200 mg or 250 mg QD plus zoldonrasib 600 mg or 1200 mg QD. As of the data cutoff date of May 28, 2026,</w:t>
      </w:r>
    </w:p>
    <w:p>
      <w:pPr>
        <w:ind w:left="1500" w:right="399"/>
        <w:spacing w:after="0" w:line="239" w:lineRule="auto"/>
        <w:rPr>
          <w:sz w:val="20"/>
          <w:szCs w:val="20"/>
          <w:color w:val="auto"/>
        </w:rPr>
      </w:pPr>
      <w:r>
        <w:rPr>
          <w:rFonts w:ascii="Arial" w:cs="Arial" w:eastAsia="Arial" w:hAnsi="Arial"/>
          <w:sz w:val="14"/>
          <w:szCs w:val="14"/>
          <w:color w:val="auto"/>
        </w:rPr>
        <w:t>27 patients were response evaluable with at least 14 weeks of follow-up. We observed an ORR of 52%, a 74% six-month progression free survival rate, and 96% DCR in these patients. The vopimetostat plus zoldonrasib combination was generally well tolerated across dose levels. Most adverse events were grade one or two in severity, and there were no related grade four or five adverse events or DLTs. There were no discontinuations due to adverse events.</w:t>
      </w:r>
    </w:p>
    <w:p>
      <w:pPr>
        <w:spacing w:after="0" w:line="189"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Corporate history</w:t>
      </w:r>
    </w:p>
    <w:p>
      <w:pPr>
        <w:spacing w:after="0" w:line="115" w:lineRule="exact"/>
        <w:rPr>
          <w:sz w:val="20"/>
          <w:szCs w:val="20"/>
          <w:color w:val="auto"/>
        </w:rPr>
      </w:pPr>
    </w:p>
    <w:p>
      <w:pPr>
        <w:ind w:left="1500" w:right="519"/>
        <w:spacing w:after="0" w:line="270" w:lineRule="auto"/>
        <w:rPr>
          <w:sz w:val="20"/>
          <w:szCs w:val="20"/>
          <w:color w:val="auto"/>
        </w:rPr>
      </w:pPr>
      <w:r>
        <w:rPr>
          <w:rFonts w:ascii="Arial" w:cs="Arial" w:eastAsia="Arial" w:hAnsi="Arial"/>
          <w:sz w:val="14"/>
          <w:szCs w:val="14"/>
          <w:color w:val="auto"/>
        </w:rPr>
        <w:t>We were incorporated under the laws of the State of Delaware on May 21, 2020 under the name BCTG Acquisition Corp., or BCTG, and were incorporated in Delaware in May 2020 as a special purpose acquisition</w:t>
      </w:r>
    </w:p>
    <w:p>
      <w:pPr>
        <w:spacing w:after="0" w:line="205"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S-4</w:t>
      </w:r>
    </w:p>
    <w:p>
      <w:pPr>
        <w:sectPr>
          <w:pgSz w:w="11900" w:h="16838" w:orient="portrait"/>
          <w:cols w:equalWidth="0" w:num="1">
            <w:col w:w="10159"/>
          </w:cols>
          <w:pgMar w:left="300" w:top="38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165735</wp:posOffset>
            </wp:positionV>
            <wp:extent cx="5448300" cy="24872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48300" cy="2487295"/>
                    </a:xfrm>
                    <a:prstGeom prst="rect">
                      <a:avLst/>
                    </a:prstGeom>
                    <a:noFill/>
                  </pic:spPr>
                </pic:pic>
              </a:graphicData>
            </a:graphic>
          </wp:anchor>
        </w:drawing>
      </w:r>
    </w:p>
    <w:p>
      <w:pPr>
        <w:spacing w:after="0" w:line="367" w:lineRule="exact"/>
        <w:rPr>
          <w:sz w:val="20"/>
          <w:szCs w:val="20"/>
          <w:color w:val="auto"/>
        </w:rPr>
      </w:pPr>
    </w:p>
    <w:p>
      <w:pPr>
        <w:ind w:left="1500" w:right="439"/>
        <w:spacing w:after="0" w:line="239" w:lineRule="auto"/>
        <w:rPr>
          <w:sz w:val="20"/>
          <w:szCs w:val="20"/>
          <w:color w:val="auto"/>
        </w:rPr>
      </w:pPr>
      <w:r>
        <w:rPr>
          <w:rFonts w:ascii="Arial" w:cs="Arial" w:eastAsia="Arial" w:hAnsi="Arial"/>
          <w:sz w:val="14"/>
          <w:szCs w:val="14"/>
          <w:color w:val="auto"/>
        </w:rPr>
        <w:t xml:space="preserve">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 Our principal corporate office is located at 201 Brookline Avenue, Suite 901, Boston, MA 02215, and our telephone number is (857) 320-4900. Our website address is </w:t>
      </w:r>
      <w:r>
        <w:rPr>
          <w:rFonts w:ascii="Arial" w:cs="Arial" w:eastAsia="Arial" w:hAnsi="Arial"/>
          <w:sz w:val="14"/>
          <w:szCs w:val="14"/>
          <w:i w:val="1"/>
          <w:iCs w:val="1"/>
          <w:color w:val="auto"/>
        </w:rPr>
        <w:t>https://tangotx.com</w:t>
      </w:r>
      <w:r>
        <w:rPr>
          <w:rFonts w:ascii="Arial" w:cs="Arial" w:eastAsia="Arial" w:hAnsi="Arial"/>
          <w:sz w:val="14"/>
          <w:szCs w:val="14"/>
          <w:color w:val="auto"/>
        </w:rPr>
        <w:t>. We do not incorporate the information on or accessible through our website into this prospectus supplement or</w:t>
      </w:r>
      <w:r>
        <w:rPr>
          <w:rFonts w:ascii="Arial" w:cs="Arial" w:eastAsia="Arial" w:hAnsi="Arial"/>
          <w:sz w:val="14"/>
          <w:szCs w:val="14"/>
          <w:i w:val="1"/>
          <w:iCs w:val="1"/>
          <w:color w:val="auto"/>
        </w:rPr>
        <w:t xml:space="preserve"> </w:t>
      </w:r>
      <w:r>
        <w:rPr>
          <w:rFonts w:ascii="Arial" w:cs="Arial" w:eastAsia="Arial" w:hAnsi="Arial"/>
          <w:sz w:val="14"/>
          <w:szCs w:val="14"/>
          <w:color w:val="auto"/>
        </w:rPr>
        <w:t>the accompanying prospectus, and you should not consider any information on, or that can be accessed through, our website as part of this prospectus supplement or the accompanying prospectus.</w:t>
      </w:r>
    </w:p>
    <w:p>
      <w:pPr>
        <w:spacing w:after="0" w:line="83" w:lineRule="exact"/>
        <w:rPr>
          <w:sz w:val="20"/>
          <w:szCs w:val="20"/>
          <w:color w:val="auto"/>
        </w:rPr>
      </w:pPr>
    </w:p>
    <w:p>
      <w:pPr>
        <w:ind w:left="1500" w:right="419"/>
        <w:spacing w:after="0" w:line="220" w:lineRule="auto"/>
        <w:rPr>
          <w:sz w:val="20"/>
          <w:szCs w:val="20"/>
          <w:color w:val="auto"/>
        </w:rPr>
      </w:pPr>
      <w:r>
        <w:rPr>
          <w:rFonts w:ascii="Arial" w:cs="Arial" w:eastAsia="Arial" w:hAnsi="Arial"/>
          <w:sz w:val="14"/>
          <w:szCs w:val="14"/>
          <w:color w:val="auto"/>
        </w:rPr>
        <w:t xml:space="preserve">We own various U.S. federal trademark applications and unregistered trademarks, including our company name. All other trademarks or trade names referred to in this prospectus supplement are the property of their respective owners. Solely for convenience, the trademarks and trade names in this prospectus supplement are referred to without the </w:t>
      </w:r>
      <w:r>
        <w:rPr>
          <w:rFonts w:ascii="Arial" w:cs="Arial" w:eastAsia="Arial" w:hAnsi="Arial"/>
          <w:sz w:val="21"/>
          <w:szCs w:val="21"/>
          <w:color w:val="auto"/>
          <w:vertAlign w:val="superscript"/>
        </w:rPr>
        <w:t>®</w:t>
      </w:r>
      <w:r>
        <w:rPr>
          <w:rFonts w:ascii="Arial" w:cs="Arial" w:eastAsia="Arial" w:hAnsi="Arial"/>
          <w:sz w:val="14"/>
          <w:szCs w:val="14"/>
          <w:color w:val="auto"/>
        </w:rPr>
        <w:t xml:space="preserve"> and </w:t>
      </w:r>
      <w:r>
        <w:rPr>
          <w:rFonts w:ascii="Arial" w:cs="Arial" w:eastAsia="Arial" w:hAnsi="Arial"/>
          <w:sz w:val="21"/>
          <w:szCs w:val="21"/>
          <w:color w:val="auto"/>
          <w:vertAlign w:val="superscript"/>
        </w:rPr>
        <w:t>™</w:t>
      </w:r>
      <w:r>
        <w:rPr>
          <w:rFonts w:ascii="Arial" w:cs="Arial" w:eastAsia="Arial" w:hAnsi="Arial"/>
          <w:sz w:val="14"/>
          <w:szCs w:val="14"/>
          <w:color w:val="auto"/>
        </w:rPr>
        <w:t xml:space="preserve"> symbols, but such references should not be construed as any indicator that their respective owners will not assert, to the fullest extent under applicable law, their rights thereto.</w:t>
      </w:r>
    </w:p>
    <w:p>
      <w:pPr>
        <w:spacing w:after="0" w:line="201"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Implications of being a smaller reporting company</w:t>
      </w:r>
    </w:p>
    <w:p>
      <w:pPr>
        <w:spacing w:after="0" w:line="105" w:lineRule="exact"/>
        <w:rPr>
          <w:sz w:val="20"/>
          <w:szCs w:val="20"/>
          <w:color w:val="auto"/>
        </w:rPr>
      </w:pPr>
    </w:p>
    <w:p>
      <w:pPr>
        <w:ind w:left="1500" w:right="399"/>
        <w:spacing w:after="0" w:line="241" w:lineRule="auto"/>
        <w:rPr>
          <w:sz w:val="20"/>
          <w:szCs w:val="20"/>
          <w:color w:val="auto"/>
        </w:rPr>
      </w:pPr>
      <w:r>
        <w:rPr>
          <w:rFonts w:ascii="Arial" w:cs="Arial" w:eastAsia="Arial" w:hAnsi="Arial"/>
          <w:sz w:val="14"/>
          <w:szCs w:val="14"/>
          <w:color w:val="auto"/>
        </w:rPr>
        <w:t>We are a “smaller reporting company” as defined in the Securities Exchange Act of 1934, as amended, or the Exchange Act.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less than $100 million during the most recently completed fiscal year and our voting and non-voting common stock held by non-affiliates is more than $700 million measured on the last business day of our second fiscal quarter.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S-5</w:t>
      </w:r>
    </w:p>
    <w:p>
      <w:pPr>
        <w:sectPr>
          <w:pgSz w:w="11900" w:h="16838" w:orient="portrait"/>
          <w:cols w:equalWidth="0" w:num="1">
            <w:col w:w="10159"/>
          </w:cols>
          <w:pgMar w:left="300" w:top="385"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165735</wp:posOffset>
            </wp:positionV>
            <wp:extent cx="5448300" cy="3794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48300" cy="3794125"/>
                    </a:xfrm>
                    <a:prstGeom prst="rect">
                      <a:avLst/>
                    </a:prstGeom>
                    <a:noFill/>
                  </pic:spPr>
                </pic:pic>
              </a:graphicData>
            </a:graphic>
          </wp:anchor>
        </w:drawing>
      </w:r>
    </w:p>
    <w:p>
      <w:pPr>
        <w:spacing w:after="0" w:line="357"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The offering</w:t>
      </w:r>
    </w:p>
    <w:p>
      <w:pPr>
        <w:spacing w:after="0" w:line="136" w:lineRule="exact"/>
        <w:rPr>
          <w:sz w:val="20"/>
          <w:szCs w:val="20"/>
          <w:color w:val="auto"/>
        </w:rPr>
      </w:pPr>
    </w:p>
    <w:p>
      <w:pPr>
        <w:ind w:left="1500"/>
        <w:spacing w:after="0"/>
        <w:tabs>
          <w:tab w:leader="none" w:pos="3780" w:val="left"/>
        </w:tabs>
        <w:rPr>
          <w:sz w:val="20"/>
          <w:szCs w:val="20"/>
          <w:color w:val="auto"/>
        </w:rPr>
      </w:pPr>
      <w:r>
        <w:rPr>
          <w:rFonts w:ascii="Arial" w:cs="Arial" w:eastAsia="Arial" w:hAnsi="Arial"/>
          <w:sz w:val="14"/>
          <w:szCs w:val="14"/>
          <w:b w:val="1"/>
          <w:bCs w:val="1"/>
          <w:color w:val="auto"/>
        </w:rPr>
        <w:t>Common stock offered by us</w:t>
      </w:r>
      <w:r>
        <w:rPr>
          <w:sz w:val="20"/>
          <w:szCs w:val="20"/>
          <w:color w:val="auto"/>
        </w:rPr>
        <w:tab/>
      </w:r>
      <w:r>
        <w:rPr>
          <w:rFonts w:ascii="Arial" w:cs="Arial" w:eastAsia="Arial" w:hAnsi="Arial"/>
          <w:sz w:val="14"/>
          <w:szCs w:val="14"/>
          <w:color w:val="auto"/>
        </w:rPr>
        <w:t>18,166,667 shares of our common stock.</w:t>
      </w:r>
    </w:p>
    <w:p>
      <w:pPr>
        <w:spacing w:after="0" w:line="123" w:lineRule="exact"/>
        <w:rPr>
          <w:sz w:val="20"/>
          <w:szCs w:val="20"/>
          <w:color w:val="auto"/>
        </w:rPr>
      </w:pPr>
    </w:p>
    <w:p>
      <w:pPr>
        <w:ind w:left="3800" w:right="459" w:hanging="2310"/>
        <w:spacing w:after="0" w:line="239" w:lineRule="auto"/>
        <w:rPr>
          <w:sz w:val="20"/>
          <w:szCs w:val="20"/>
          <w:color w:val="auto"/>
        </w:rPr>
      </w:pPr>
      <w:r>
        <w:rPr>
          <w:rFonts w:ascii="Arial" w:cs="Arial" w:eastAsia="Arial" w:hAnsi="Arial"/>
          <w:sz w:val="14"/>
          <w:szCs w:val="14"/>
          <w:b w:val="1"/>
          <w:bCs w:val="1"/>
          <w:color w:val="auto"/>
        </w:rPr>
        <w:t xml:space="preserve">Pre-funded warrants offered by us </w:t>
      </w:r>
      <w:r>
        <w:rPr>
          <w:rFonts w:ascii="Arial" w:cs="Arial" w:eastAsia="Arial" w:hAnsi="Arial"/>
          <w:sz w:val="14"/>
          <w:szCs w:val="14"/>
          <w:color w:val="auto"/>
        </w:rPr>
        <w:t>We are also offering, in lieu of common stock to certain purchasers who so choose, pre-funded</w:t>
      </w:r>
      <w:r>
        <w:rPr>
          <w:rFonts w:ascii="Arial" w:cs="Arial" w:eastAsia="Arial" w:hAnsi="Arial"/>
          <w:sz w:val="14"/>
          <w:szCs w:val="14"/>
          <w:b w:val="1"/>
          <w:bCs w:val="1"/>
          <w:color w:val="auto"/>
        </w:rPr>
        <w:t xml:space="preserve"> </w:t>
      </w:r>
      <w:r>
        <w:rPr>
          <w:rFonts w:ascii="Arial" w:cs="Arial" w:eastAsia="Arial" w:hAnsi="Arial"/>
          <w:sz w:val="14"/>
          <w:szCs w:val="14"/>
          <w:color w:val="auto"/>
        </w:rPr>
        <w:t>warrants to purchase 1,833,395 shares of our common stock. The purchase price of each pre-funded warrant equals the price per share at which the shares of our common stock are being sold in this offering, minus $0.001 per share. The pre-funded warrants do not expire, and each pre-funded warrant will be exercisable at any time after the date of issuance of such pre-funded warrant, subject to an ownership limitation. See “Description of pre-funded warrants.” This prospectus supplement also relates to the offering of the shares of our common stock issuable upon exercise of the pre-funded warrants.</w:t>
      </w:r>
    </w:p>
    <w:p>
      <w:pPr>
        <w:spacing w:after="0" w:line="93" w:lineRule="exact"/>
        <w:rPr>
          <w:sz w:val="20"/>
          <w:szCs w:val="20"/>
          <w:color w:val="auto"/>
        </w:rPr>
      </w:pPr>
    </w:p>
    <w:p>
      <w:pPr>
        <w:ind w:left="3800" w:right="579"/>
        <w:spacing w:after="0" w:line="252" w:lineRule="auto"/>
        <w:rPr>
          <w:sz w:val="20"/>
          <w:szCs w:val="20"/>
          <w:color w:val="auto"/>
        </w:rPr>
      </w:pPr>
      <w:r>
        <w:rPr>
          <w:rFonts w:ascii="Arial" w:cs="Arial" w:eastAsia="Arial" w:hAnsi="Arial"/>
          <w:sz w:val="14"/>
          <w:szCs w:val="14"/>
          <w:color w:val="auto"/>
        </w:rPr>
        <w:t>The lock-up restrictions described in this prospectus supplement under “Underwriting” will not apply to the issuance of shares of our common stock upon the exercise of the pre-funded warrants during the 60-day period following the date of this prospectus supplement.</w:t>
      </w:r>
    </w:p>
    <w:p>
      <w:pPr>
        <w:spacing w:after="0" w:line="81"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 xml:space="preserve">Underwriters’ option to purchase  </w:t>
      </w:r>
      <w:r>
        <w:rPr>
          <w:rFonts w:ascii="Arial" w:cs="Arial" w:eastAsia="Arial" w:hAnsi="Arial"/>
          <w:sz w:val="14"/>
          <w:szCs w:val="14"/>
          <w:color w:val="auto"/>
        </w:rPr>
        <w:t>We have granted the underwriters an option, exercisable for 30 days from the date of this</w:t>
      </w:r>
    </w:p>
    <w:p>
      <w:pPr>
        <w:spacing w:after="0" w:line="11" w:lineRule="exact"/>
        <w:rPr>
          <w:sz w:val="20"/>
          <w:szCs w:val="20"/>
          <w:color w:val="auto"/>
        </w:rPr>
      </w:pPr>
    </w:p>
    <w:p>
      <w:pPr>
        <w:ind w:left="3800" w:right="459" w:hanging="2310"/>
        <w:spacing w:after="0" w:line="238" w:lineRule="auto"/>
        <w:tabs>
          <w:tab w:leader="none" w:pos="3780" w:val="left"/>
        </w:tabs>
        <w:rPr>
          <w:sz w:val="20"/>
          <w:szCs w:val="20"/>
          <w:color w:val="auto"/>
        </w:rPr>
      </w:pPr>
      <w:r>
        <w:rPr>
          <w:rFonts w:ascii="Arial" w:cs="Arial" w:eastAsia="Arial" w:hAnsi="Arial"/>
          <w:sz w:val="14"/>
          <w:szCs w:val="14"/>
          <w:b w:val="1"/>
          <w:bCs w:val="1"/>
          <w:color w:val="auto"/>
        </w:rPr>
        <w:t>additional shares</w:t>
      </w:r>
      <w:r>
        <w:rPr>
          <w:sz w:val="20"/>
          <w:szCs w:val="20"/>
          <w:color w:val="auto"/>
        </w:rPr>
        <w:tab/>
      </w:r>
      <w:r>
        <w:rPr>
          <w:rFonts w:ascii="Arial" w:cs="Arial" w:eastAsia="Arial" w:hAnsi="Arial"/>
          <w:sz w:val="14"/>
          <w:szCs w:val="14"/>
          <w:color w:val="auto"/>
        </w:rPr>
        <w:t>prospectus supplement, to purchase up to an additional 3,000,009 shares of our common stock at the public offering price, less underwriting discounts and commissions on the same terms as set forth in this prospectus. The number of shares subject to the underwriters’ option equals 15% of the total number of shares of common stock we are offering plus the shares of common stock underlying the pre-funded warrants.</w:t>
      </w:r>
    </w:p>
    <w:p>
      <w:pPr>
        <w:spacing w:after="0" w:line="91" w:lineRule="exact"/>
        <w:rPr>
          <w:sz w:val="20"/>
          <w:szCs w:val="20"/>
          <w:color w:val="auto"/>
        </w:rPr>
      </w:pPr>
    </w:p>
    <w:p>
      <w:pPr>
        <w:ind w:left="1500" w:right="379"/>
        <w:spacing w:after="0" w:line="245" w:lineRule="auto"/>
        <w:rPr>
          <w:sz w:val="20"/>
          <w:szCs w:val="20"/>
          <w:color w:val="auto"/>
        </w:rPr>
      </w:pPr>
      <w:r>
        <w:rPr>
          <w:rFonts w:ascii="Arial" w:cs="Arial" w:eastAsia="Arial" w:hAnsi="Arial"/>
          <w:sz w:val="14"/>
          <w:szCs w:val="14"/>
          <w:b w:val="1"/>
          <w:bCs w:val="1"/>
          <w:color w:val="auto"/>
        </w:rPr>
        <w:t xml:space="preserve">Common stock to be outstanding </w:t>
      </w:r>
      <w:r>
        <w:rPr>
          <w:rFonts w:ascii="Arial" w:cs="Arial" w:eastAsia="Arial" w:hAnsi="Arial"/>
          <w:sz w:val="14"/>
          <w:szCs w:val="14"/>
          <w:color w:val="auto"/>
        </w:rPr>
        <w:t>162,329,210 shares (or 165,329,219 shares if the underwriters exercise their option to purchase</w:t>
      </w:r>
      <w:r>
        <w:rPr>
          <w:rFonts w:ascii="Arial" w:cs="Arial" w:eastAsia="Arial" w:hAnsi="Arial"/>
          <w:sz w:val="14"/>
          <w:szCs w:val="14"/>
          <w:b w:val="1"/>
          <w:bCs w:val="1"/>
          <w:color w:val="auto"/>
        </w:rPr>
        <w:t xml:space="preserve"> immediately after this offering </w:t>
      </w:r>
      <w:r>
        <w:rPr>
          <w:rFonts w:ascii="Arial" w:cs="Arial" w:eastAsia="Arial" w:hAnsi="Arial"/>
          <w:sz w:val="14"/>
          <w:szCs w:val="14"/>
          <w:color w:val="auto"/>
        </w:rPr>
        <w:t>additional shares in full), in each case assuming no exercise of the pre-funded warrants included</w:t>
      </w:r>
    </w:p>
    <w:p>
      <w:pPr>
        <w:ind w:left="3800"/>
        <w:spacing w:after="0"/>
        <w:rPr>
          <w:sz w:val="20"/>
          <w:szCs w:val="20"/>
          <w:color w:val="auto"/>
        </w:rPr>
      </w:pPr>
      <w:r>
        <w:rPr>
          <w:rFonts w:ascii="Arial" w:cs="Arial" w:eastAsia="Arial" w:hAnsi="Arial"/>
          <w:sz w:val="14"/>
          <w:szCs w:val="14"/>
          <w:color w:val="auto"/>
        </w:rPr>
        <w:t>in this offering.</w:t>
      </w:r>
    </w:p>
    <w:p>
      <w:pPr>
        <w:spacing w:after="0" w:line="95"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840" w:type="dxa"/>
            <w:vAlign w:val="bottom"/>
          </w:tcPr>
          <w:p>
            <w:pPr>
              <w:ind w:left="140"/>
              <w:spacing w:after="0"/>
              <w:rPr>
                <w:sz w:val="20"/>
                <w:szCs w:val="20"/>
                <w:color w:val="auto"/>
              </w:rPr>
            </w:pPr>
            <w:r>
              <w:rPr>
                <w:rFonts w:ascii="Arial" w:cs="Arial" w:eastAsia="Arial" w:hAnsi="Arial"/>
                <w:sz w:val="14"/>
                <w:szCs w:val="14"/>
                <w:b w:val="1"/>
                <w:bCs w:val="1"/>
                <w:color w:val="auto"/>
              </w:rPr>
              <w:t>Use of proceeds</w:t>
            </w:r>
          </w:p>
        </w:tc>
        <w:tc>
          <w:tcPr>
            <w:tcW w:w="6740" w:type="dxa"/>
            <w:vAlign w:val="bottom"/>
          </w:tcPr>
          <w:p>
            <w:pPr>
              <w:ind w:left="600"/>
              <w:spacing w:after="0"/>
              <w:rPr>
                <w:sz w:val="20"/>
                <w:szCs w:val="20"/>
                <w:color w:val="auto"/>
              </w:rPr>
            </w:pPr>
            <w:r>
              <w:rPr>
                <w:rFonts w:ascii="Arial" w:cs="Arial" w:eastAsia="Arial" w:hAnsi="Arial"/>
                <w:sz w:val="14"/>
                <w:szCs w:val="14"/>
                <w:color w:val="auto"/>
              </w:rPr>
              <w:t>We estimate that the net proceeds to us from this offering, after deducting the underwriting</w:t>
            </w:r>
          </w:p>
        </w:tc>
      </w:tr>
      <w:tr>
        <w:trPr>
          <w:trHeight w:val="158"/>
        </w:trPr>
        <w:tc>
          <w:tcPr>
            <w:tcW w:w="1840" w:type="dxa"/>
            <w:vAlign w:val="bottom"/>
          </w:tcPr>
          <w:p>
            <w:pPr>
              <w:spacing w:after="0"/>
              <w:rPr>
                <w:sz w:val="13"/>
                <w:szCs w:val="13"/>
                <w:color w:val="auto"/>
              </w:rPr>
            </w:pPr>
          </w:p>
        </w:tc>
        <w:tc>
          <w:tcPr>
            <w:tcW w:w="6740" w:type="dxa"/>
            <w:vAlign w:val="bottom"/>
          </w:tcPr>
          <w:p>
            <w:pPr>
              <w:ind w:left="600"/>
              <w:spacing w:after="0" w:line="157" w:lineRule="exact"/>
              <w:rPr>
                <w:sz w:val="20"/>
                <w:szCs w:val="20"/>
                <w:color w:val="auto"/>
              </w:rPr>
            </w:pPr>
            <w:r>
              <w:rPr>
                <w:rFonts w:ascii="Arial" w:cs="Arial" w:eastAsia="Arial" w:hAnsi="Arial"/>
                <w:sz w:val="14"/>
                <w:szCs w:val="14"/>
                <w:color w:val="auto"/>
              </w:rPr>
              <w:t>discounts and commissions and estimated offering expenses payable by us, will be</w:t>
            </w:r>
          </w:p>
        </w:tc>
      </w:tr>
      <w:tr>
        <w:trPr>
          <w:trHeight w:val="158"/>
        </w:trPr>
        <w:tc>
          <w:tcPr>
            <w:tcW w:w="1840" w:type="dxa"/>
            <w:vAlign w:val="bottom"/>
          </w:tcPr>
          <w:p>
            <w:pPr>
              <w:spacing w:after="0"/>
              <w:rPr>
                <w:sz w:val="13"/>
                <w:szCs w:val="13"/>
                <w:color w:val="auto"/>
              </w:rPr>
            </w:pPr>
          </w:p>
        </w:tc>
        <w:tc>
          <w:tcPr>
            <w:tcW w:w="6740" w:type="dxa"/>
            <w:vAlign w:val="bottom"/>
          </w:tcPr>
          <w:p>
            <w:pPr>
              <w:ind w:left="600"/>
              <w:spacing w:after="0" w:line="157" w:lineRule="exact"/>
              <w:rPr>
                <w:sz w:val="20"/>
                <w:szCs w:val="20"/>
                <w:color w:val="auto"/>
              </w:rPr>
            </w:pPr>
            <w:r>
              <w:rPr>
                <w:rFonts w:ascii="Arial" w:cs="Arial" w:eastAsia="Arial" w:hAnsi="Arial"/>
                <w:sz w:val="14"/>
                <w:szCs w:val="14"/>
                <w:color w:val="auto"/>
              </w:rPr>
              <w:t>approximately $566.5 million, or $651.6 million if the underwriters exercise their option to</w:t>
            </w:r>
          </w:p>
        </w:tc>
      </w:tr>
      <w:tr>
        <w:trPr>
          <w:trHeight w:val="158"/>
        </w:trPr>
        <w:tc>
          <w:tcPr>
            <w:tcW w:w="1840" w:type="dxa"/>
            <w:vAlign w:val="bottom"/>
          </w:tcPr>
          <w:p>
            <w:pPr>
              <w:spacing w:after="0"/>
              <w:rPr>
                <w:sz w:val="13"/>
                <w:szCs w:val="13"/>
                <w:color w:val="auto"/>
              </w:rPr>
            </w:pPr>
          </w:p>
        </w:tc>
        <w:tc>
          <w:tcPr>
            <w:tcW w:w="6740" w:type="dxa"/>
            <w:vAlign w:val="bottom"/>
          </w:tcPr>
          <w:p>
            <w:pPr>
              <w:ind w:left="600"/>
              <w:spacing w:after="0" w:line="157" w:lineRule="exact"/>
              <w:rPr>
                <w:sz w:val="20"/>
                <w:szCs w:val="20"/>
                <w:color w:val="auto"/>
              </w:rPr>
            </w:pPr>
            <w:r>
              <w:rPr>
                <w:rFonts w:ascii="Arial" w:cs="Arial" w:eastAsia="Arial" w:hAnsi="Arial"/>
                <w:sz w:val="14"/>
                <w:szCs w:val="14"/>
                <w:color w:val="auto"/>
              </w:rPr>
              <w:t>purchase additional shares from us in full. This estimate excludes the proceeds, if any, from the</w:t>
            </w:r>
          </w:p>
        </w:tc>
      </w:tr>
      <w:tr>
        <w:trPr>
          <w:trHeight w:val="158"/>
        </w:trPr>
        <w:tc>
          <w:tcPr>
            <w:tcW w:w="1840" w:type="dxa"/>
            <w:vAlign w:val="bottom"/>
          </w:tcPr>
          <w:p>
            <w:pPr>
              <w:spacing w:after="0"/>
              <w:rPr>
                <w:sz w:val="13"/>
                <w:szCs w:val="13"/>
                <w:color w:val="auto"/>
              </w:rPr>
            </w:pPr>
          </w:p>
        </w:tc>
        <w:tc>
          <w:tcPr>
            <w:tcW w:w="6740" w:type="dxa"/>
            <w:vAlign w:val="bottom"/>
          </w:tcPr>
          <w:p>
            <w:pPr>
              <w:ind w:left="600"/>
              <w:spacing w:after="0" w:line="157" w:lineRule="exact"/>
              <w:rPr>
                <w:sz w:val="20"/>
                <w:szCs w:val="20"/>
                <w:color w:val="auto"/>
              </w:rPr>
            </w:pPr>
            <w:r>
              <w:rPr>
                <w:rFonts w:ascii="Arial" w:cs="Arial" w:eastAsia="Arial" w:hAnsi="Arial"/>
                <w:sz w:val="14"/>
                <w:szCs w:val="14"/>
                <w:color w:val="auto"/>
              </w:rPr>
              <w:t>exercise of the pre-funded warrants sold in this offering. We intend to use the net proceeds from</w:t>
            </w:r>
          </w:p>
        </w:tc>
      </w:tr>
      <w:tr>
        <w:trPr>
          <w:trHeight w:val="158"/>
        </w:trPr>
        <w:tc>
          <w:tcPr>
            <w:tcW w:w="1840" w:type="dxa"/>
            <w:vAlign w:val="bottom"/>
          </w:tcPr>
          <w:p>
            <w:pPr>
              <w:spacing w:after="0"/>
              <w:rPr>
                <w:sz w:val="13"/>
                <w:szCs w:val="13"/>
                <w:color w:val="auto"/>
              </w:rPr>
            </w:pPr>
          </w:p>
        </w:tc>
        <w:tc>
          <w:tcPr>
            <w:tcW w:w="6740" w:type="dxa"/>
            <w:vAlign w:val="bottom"/>
          </w:tcPr>
          <w:p>
            <w:pPr>
              <w:ind w:left="600"/>
              <w:spacing w:after="0" w:line="157" w:lineRule="exact"/>
              <w:rPr>
                <w:sz w:val="20"/>
                <w:szCs w:val="20"/>
                <w:color w:val="auto"/>
              </w:rPr>
            </w:pPr>
            <w:r>
              <w:rPr>
                <w:rFonts w:ascii="Arial" w:cs="Arial" w:eastAsia="Arial" w:hAnsi="Arial"/>
                <w:sz w:val="14"/>
                <w:szCs w:val="14"/>
                <w:color w:val="auto"/>
              </w:rPr>
              <w:t>this offering for general corporate purposes, including research and development expenses,</w:t>
            </w:r>
          </w:p>
        </w:tc>
      </w:tr>
      <w:tr>
        <w:trPr>
          <w:trHeight w:val="158"/>
        </w:trPr>
        <w:tc>
          <w:tcPr>
            <w:tcW w:w="1840" w:type="dxa"/>
            <w:vAlign w:val="bottom"/>
          </w:tcPr>
          <w:p>
            <w:pPr>
              <w:spacing w:after="0"/>
              <w:rPr>
                <w:sz w:val="13"/>
                <w:szCs w:val="13"/>
                <w:color w:val="auto"/>
              </w:rPr>
            </w:pPr>
          </w:p>
        </w:tc>
        <w:tc>
          <w:tcPr>
            <w:tcW w:w="6740" w:type="dxa"/>
            <w:vAlign w:val="bottom"/>
          </w:tcPr>
          <w:p>
            <w:pPr>
              <w:ind w:left="600"/>
              <w:spacing w:after="0" w:line="157" w:lineRule="exact"/>
              <w:rPr>
                <w:sz w:val="20"/>
                <w:szCs w:val="20"/>
                <w:color w:val="auto"/>
              </w:rPr>
            </w:pPr>
            <w:r>
              <w:rPr>
                <w:rFonts w:ascii="Arial" w:cs="Arial" w:eastAsia="Arial" w:hAnsi="Arial"/>
                <w:sz w:val="14"/>
                <w:szCs w:val="14"/>
                <w:color w:val="auto"/>
              </w:rPr>
              <w:t>expenses relating to our pivotal trial and preparation for the potential commercialization of one or</w:t>
            </w:r>
          </w:p>
        </w:tc>
      </w:tr>
      <w:tr>
        <w:trPr>
          <w:trHeight w:val="158"/>
        </w:trPr>
        <w:tc>
          <w:tcPr>
            <w:tcW w:w="1840" w:type="dxa"/>
            <w:vAlign w:val="bottom"/>
          </w:tcPr>
          <w:p>
            <w:pPr>
              <w:spacing w:after="0"/>
              <w:rPr>
                <w:sz w:val="13"/>
                <w:szCs w:val="13"/>
                <w:color w:val="auto"/>
              </w:rPr>
            </w:pPr>
          </w:p>
        </w:tc>
        <w:tc>
          <w:tcPr>
            <w:tcW w:w="6740" w:type="dxa"/>
            <w:vAlign w:val="bottom"/>
          </w:tcPr>
          <w:p>
            <w:pPr>
              <w:ind w:left="600"/>
              <w:spacing w:after="0" w:line="157" w:lineRule="exact"/>
              <w:rPr>
                <w:sz w:val="20"/>
                <w:szCs w:val="20"/>
                <w:color w:val="auto"/>
              </w:rPr>
            </w:pPr>
            <w:r>
              <w:rPr>
                <w:rFonts w:ascii="Arial" w:cs="Arial" w:eastAsia="Arial" w:hAnsi="Arial"/>
                <w:sz w:val="14"/>
                <w:szCs w:val="14"/>
                <w:color w:val="auto"/>
              </w:rPr>
              <w:t>more of our product candidates, general and administrative expenses and capital expenditures.</w:t>
            </w:r>
          </w:p>
        </w:tc>
      </w:tr>
      <w:tr>
        <w:trPr>
          <w:trHeight w:val="185"/>
        </w:trPr>
        <w:tc>
          <w:tcPr>
            <w:tcW w:w="1840" w:type="dxa"/>
            <w:vAlign w:val="bottom"/>
          </w:tcPr>
          <w:p>
            <w:pPr>
              <w:spacing w:after="0"/>
              <w:rPr>
                <w:sz w:val="16"/>
                <w:szCs w:val="16"/>
                <w:color w:val="auto"/>
              </w:rPr>
            </w:pPr>
          </w:p>
        </w:tc>
        <w:tc>
          <w:tcPr>
            <w:tcW w:w="6740" w:type="dxa"/>
            <w:vAlign w:val="bottom"/>
          </w:tcPr>
          <w:p>
            <w:pPr>
              <w:ind w:left="600"/>
              <w:spacing w:after="0"/>
              <w:rPr>
                <w:sz w:val="20"/>
                <w:szCs w:val="20"/>
                <w:color w:val="auto"/>
              </w:rPr>
            </w:pPr>
            <w:r>
              <w:rPr>
                <w:rFonts w:ascii="Arial" w:cs="Arial" w:eastAsia="Arial" w:hAnsi="Arial"/>
                <w:sz w:val="14"/>
                <w:szCs w:val="14"/>
                <w:color w:val="auto"/>
              </w:rPr>
              <w:t>See “Use of proceeds” on page S-15 of this prospectus supplement.</w:t>
            </w:r>
          </w:p>
        </w:tc>
      </w:tr>
      <w:tr>
        <w:trPr>
          <w:trHeight w:val="109"/>
        </w:trPr>
        <w:tc>
          <w:tcPr>
            <w:tcW w:w="1840" w:type="dxa"/>
            <w:vAlign w:val="bottom"/>
            <w:tcBorders>
              <w:bottom w:val="single" w:sz="8" w:color="auto"/>
            </w:tcBorders>
          </w:tcPr>
          <w:p>
            <w:pPr>
              <w:spacing w:after="0"/>
              <w:rPr>
                <w:sz w:val="9"/>
                <w:szCs w:val="9"/>
                <w:color w:val="auto"/>
              </w:rPr>
            </w:pPr>
          </w:p>
        </w:tc>
        <w:tc>
          <w:tcPr>
            <w:tcW w:w="6740" w:type="dxa"/>
            <w:vAlign w:val="bottom"/>
            <w:tcBorders>
              <w:bottom w:val="single" w:sz="8" w:color="auto"/>
            </w:tcBorders>
          </w:tcPr>
          <w:p>
            <w:pPr>
              <w:spacing w:after="0"/>
              <w:rPr>
                <w:sz w:val="9"/>
                <w:szCs w:val="9"/>
                <w:color w:val="auto"/>
              </w:rPr>
            </w:pPr>
          </w:p>
        </w:tc>
      </w:tr>
      <w:tr>
        <w:trPr>
          <w:trHeight w:val="281"/>
        </w:trPr>
        <w:tc>
          <w:tcPr>
            <w:tcW w:w="1840" w:type="dxa"/>
            <w:vAlign w:val="bottom"/>
          </w:tcPr>
          <w:p>
            <w:pPr>
              <w:spacing w:after="0"/>
              <w:rPr>
                <w:sz w:val="24"/>
                <w:szCs w:val="24"/>
                <w:color w:val="auto"/>
              </w:rPr>
            </w:pPr>
          </w:p>
        </w:tc>
        <w:tc>
          <w:tcPr>
            <w:tcW w:w="6740" w:type="dxa"/>
            <w:vAlign w:val="bottom"/>
          </w:tcPr>
          <w:p>
            <w:pPr>
              <w:ind w:left="2340"/>
              <w:spacing w:after="0"/>
              <w:rPr>
                <w:sz w:val="20"/>
                <w:szCs w:val="20"/>
                <w:color w:val="auto"/>
              </w:rPr>
            </w:pPr>
            <w:r>
              <w:rPr>
                <w:rFonts w:ascii="Arial" w:cs="Arial" w:eastAsia="Arial" w:hAnsi="Arial"/>
                <w:sz w:val="14"/>
                <w:szCs w:val="14"/>
                <w:color w:val="auto"/>
              </w:rPr>
              <w:t>S-6</w:t>
            </w:r>
          </w:p>
        </w:tc>
      </w:tr>
    </w:tbl>
    <w:p>
      <w:pPr>
        <w:sectPr>
          <w:pgSz w:w="11900" w:h="16838" w:orient="portrait"/>
          <w:cols w:equalWidth="0" w:num="1">
            <w:col w:w="10159"/>
          </w:cols>
          <w:pgMar w:left="300" w:top="38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172720</wp:posOffset>
            </wp:positionV>
            <wp:extent cx="5448300" cy="4527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48300" cy="4527550"/>
                    </a:xfrm>
                    <a:prstGeom prst="rect">
                      <a:avLst/>
                    </a:prstGeom>
                    <a:noFill/>
                  </pic:spPr>
                </pic:pic>
              </a:graphicData>
            </a:graphic>
          </wp:anchor>
        </w:drawing>
      </w:r>
    </w:p>
    <w:p>
      <w:pPr>
        <w:sectPr>
          <w:pgSz w:w="11900" w:h="16838" w:orient="portrait"/>
          <w:cols w:equalWidth="0" w:num="1">
            <w:col w:w="10159"/>
          </w:cols>
          <w:pgMar w:left="300" w:top="385" w:right="1440" w:bottom="1440" w:gutter="0" w:footer="0" w:header="0"/>
        </w:sectPr>
      </w:pPr>
    </w:p>
    <w:p>
      <w:pPr>
        <w:spacing w:after="0" w:line="399" w:lineRule="exact"/>
        <w:rPr>
          <w:sz w:val="20"/>
          <w:szCs w:val="20"/>
          <w:color w:val="auto"/>
        </w:rPr>
      </w:pPr>
    </w:p>
    <w:p>
      <w:pPr>
        <w:jc w:val="center"/>
        <w:ind w:left="720"/>
        <w:spacing w:after="0"/>
        <w:rPr>
          <w:sz w:val="20"/>
          <w:szCs w:val="20"/>
          <w:color w:val="auto"/>
        </w:rPr>
      </w:pPr>
      <w:r>
        <w:rPr>
          <w:rFonts w:ascii="Arial" w:cs="Arial" w:eastAsia="Arial" w:hAnsi="Arial"/>
          <w:sz w:val="13"/>
          <w:szCs w:val="13"/>
          <w:b w:val="1"/>
          <w:bCs w:val="1"/>
          <w:color w:val="auto"/>
        </w:rPr>
        <w:t>Risk factors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Investing in our securities involves a high degree of risk. See “Risk factors” beginning on</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page S-8 of this prospectus supplement, as well as “Risk factors” in the documents incorporated</w:t>
      </w:r>
    </w:p>
    <w:p>
      <w:pPr>
        <w:spacing w:after="0" w:line="234" w:lineRule="auto"/>
        <w:rPr>
          <w:sz w:val="20"/>
          <w:szCs w:val="20"/>
          <w:color w:val="auto"/>
        </w:rPr>
      </w:pPr>
      <w:r>
        <w:rPr>
          <w:rFonts w:ascii="Arial" w:cs="Arial" w:eastAsia="Arial" w:hAnsi="Arial"/>
          <w:sz w:val="14"/>
          <w:szCs w:val="14"/>
          <w:color w:val="auto"/>
        </w:rPr>
        <w:t>by reference into this prospectus supplement and the accompanying prospectus, for a</w:t>
      </w:r>
    </w:p>
    <w:p>
      <w:pPr>
        <w:spacing w:after="0" w:line="235" w:lineRule="auto"/>
        <w:rPr>
          <w:sz w:val="20"/>
          <w:szCs w:val="20"/>
          <w:color w:val="auto"/>
        </w:rPr>
      </w:pPr>
      <w:r>
        <w:rPr>
          <w:rFonts w:ascii="Arial" w:cs="Arial" w:eastAsia="Arial" w:hAnsi="Arial"/>
          <w:sz w:val="14"/>
          <w:szCs w:val="14"/>
          <w:color w:val="auto"/>
        </w:rPr>
        <w:t>discussion of factors you should consider carefully before deciding to purchase any shares of</w:t>
      </w:r>
    </w:p>
    <w:p>
      <w:pPr>
        <w:spacing w:after="0"/>
        <w:rPr>
          <w:sz w:val="20"/>
          <w:szCs w:val="20"/>
          <w:color w:val="auto"/>
        </w:rPr>
      </w:pPr>
      <w:r>
        <w:rPr>
          <w:rFonts w:ascii="Arial" w:cs="Arial" w:eastAsia="Arial" w:hAnsi="Arial"/>
          <w:sz w:val="14"/>
          <w:szCs w:val="14"/>
          <w:color w:val="auto"/>
        </w:rPr>
        <w:t>our securities.</w:t>
      </w:r>
    </w:p>
    <w:p>
      <w:pPr>
        <w:spacing w:after="0" w:line="98" w:lineRule="exact"/>
        <w:rPr>
          <w:sz w:val="20"/>
          <w:szCs w:val="20"/>
          <w:color w:val="auto"/>
        </w:rPr>
      </w:pPr>
    </w:p>
    <w:p>
      <w:pPr>
        <w:sectPr>
          <w:pgSz w:w="11900" w:h="16838" w:orient="portrait"/>
          <w:cols w:equalWidth="0" w:num="2">
            <w:col w:w="3080" w:space="720"/>
            <w:col w:w="6359"/>
          </w:cols>
          <w:pgMar w:left="300" w:top="385" w:right="1440" w:bottom="1440" w:gutter="0" w:footer="0" w:header="0"/>
          <w:type w:val="continuous"/>
        </w:sectPr>
      </w:pPr>
    </w:p>
    <w:p>
      <w:pPr>
        <w:ind w:left="1500"/>
        <w:spacing w:after="0"/>
        <w:rPr>
          <w:sz w:val="20"/>
          <w:szCs w:val="20"/>
          <w:color w:val="auto"/>
        </w:rPr>
      </w:pPr>
      <w:r>
        <w:rPr>
          <w:rFonts w:ascii="Arial" w:cs="Arial" w:eastAsia="Arial" w:hAnsi="Arial"/>
          <w:sz w:val="14"/>
          <w:szCs w:val="14"/>
          <w:b w:val="1"/>
          <w:bCs w:val="1"/>
          <w:color w:val="auto"/>
        </w:rPr>
        <w:t>Nasdaq Global Market symbol</w:t>
      </w:r>
    </w:p>
    <w:p>
      <w:pPr>
        <w:spacing w:after="0" w:line="20" w:lineRule="exact"/>
        <w:rPr>
          <w:sz w:val="20"/>
          <w:szCs w:val="20"/>
          <w:color w:val="auto"/>
        </w:rPr>
      </w:pPr>
      <w:r>
        <w:rPr>
          <w:sz w:val="20"/>
          <w:szCs w:val="20"/>
          <w:color w:val="auto"/>
        </w:rPr>
        <w:br w:type="column"/>
      </w:r>
    </w:p>
    <w:p>
      <w:pPr>
        <w:ind w:right="659"/>
        <w:spacing w:after="0" w:line="270" w:lineRule="auto"/>
        <w:rPr>
          <w:sz w:val="20"/>
          <w:szCs w:val="20"/>
          <w:color w:val="auto"/>
        </w:rPr>
      </w:pPr>
      <w:r>
        <w:rPr>
          <w:rFonts w:ascii="Arial" w:cs="Arial" w:eastAsia="Arial" w:hAnsi="Arial"/>
          <w:sz w:val="14"/>
          <w:szCs w:val="14"/>
          <w:color w:val="auto"/>
        </w:rPr>
        <w:t>TNGX. We do not intend to list the pre-funded warrants on the Nasdaq Global Market or any other national securities exchange or nationally recognized trading system.</w:t>
      </w:r>
    </w:p>
    <w:p>
      <w:pPr>
        <w:spacing w:after="0" w:line="58" w:lineRule="exact"/>
        <w:rPr>
          <w:sz w:val="20"/>
          <w:szCs w:val="20"/>
          <w:color w:val="auto"/>
        </w:rPr>
      </w:pPr>
    </w:p>
    <w:p>
      <w:pPr>
        <w:sectPr>
          <w:pgSz w:w="11900" w:h="16838" w:orient="portrait"/>
          <w:cols w:equalWidth="0" w:num="2">
            <w:col w:w="3500" w:space="300"/>
            <w:col w:w="6359"/>
          </w:cols>
          <w:pgMar w:left="300" w:top="385" w:right="1440" w:bottom="1440" w:gutter="0" w:footer="0" w:header="0"/>
          <w:type w:val="continuous"/>
        </w:sectPr>
      </w:pPr>
    </w:p>
    <w:p>
      <w:pPr>
        <w:jc w:val="both"/>
        <w:ind w:left="1500" w:right="659"/>
        <w:spacing w:after="0" w:line="252" w:lineRule="auto"/>
        <w:rPr>
          <w:sz w:val="20"/>
          <w:szCs w:val="20"/>
          <w:color w:val="auto"/>
        </w:rPr>
      </w:pPr>
      <w:r>
        <w:rPr>
          <w:rFonts w:ascii="Arial" w:cs="Arial" w:eastAsia="Arial" w:hAnsi="Arial"/>
          <w:sz w:val="14"/>
          <w:szCs w:val="14"/>
          <w:color w:val="auto"/>
        </w:rPr>
        <w:t>All information in this prospectus supplement related to the number of shares of our common stock to be outstanding immediately after this offering is based on 144,162,543 shares of our common stock outstanding as of March 31, 2026. The number of shares outstanding as used throughout this prospectus supplement, unless otherwise indicated, excludes:</w:t>
      </w:r>
    </w:p>
    <w:p>
      <w:pPr>
        <w:spacing w:after="0" w:line="81" w:lineRule="exact"/>
        <w:rPr>
          <w:sz w:val="20"/>
          <w:szCs w:val="20"/>
          <w:color w:val="auto"/>
        </w:rPr>
      </w:pPr>
    </w:p>
    <w:p>
      <w:pPr>
        <w:ind w:left="1640" w:right="519" w:hanging="142"/>
        <w:spacing w:after="0" w:line="270" w:lineRule="auto"/>
        <w:tabs>
          <w:tab w:leader="none" w:pos="1640" w:val="left"/>
        </w:tabs>
        <w:numPr>
          <w:ilvl w:val="0"/>
          <w:numId w:val="2"/>
        </w:numPr>
        <w:rPr>
          <w:rFonts w:ascii="Arial" w:cs="Arial" w:eastAsia="Arial" w:hAnsi="Arial"/>
          <w:sz w:val="14"/>
          <w:szCs w:val="14"/>
          <w:color w:val="auto"/>
        </w:rPr>
      </w:pPr>
      <w:r>
        <w:rPr>
          <w:rFonts w:ascii="Arial" w:cs="Arial" w:eastAsia="Arial" w:hAnsi="Arial"/>
          <w:sz w:val="14"/>
          <w:szCs w:val="14"/>
          <w:color w:val="auto"/>
        </w:rPr>
        <w:t>24,100,505 shares of common stock issuable upon the exercise of stock options outstanding as of March 31, 2026, at a weighted average exercise price of $7.91 per share;</w:t>
      </w:r>
    </w:p>
    <w:p>
      <w:pPr>
        <w:spacing w:after="0" w:line="68" w:lineRule="exact"/>
        <w:rPr>
          <w:rFonts w:ascii="Arial" w:cs="Arial" w:eastAsia="Arial" w:hAnsi="Arial"/>
          <w:sz w:val="14"/>
          <w:szCs w:val="14"/>
          <w:color w:val="auto"/>
        </w:rPr>
      </w:pPr>
    </w:p>
    <w:p>
      <w:pPr>
        <w:ind w:left="1640" w:hanging="142"/>
        <w:spacing w:after="0"/>
        <w:tabs>
          <w:tab w:leader="none" w:pos="1640" w:val="left"/>
        </w:tabs>
        <w:numPr>
          <w:ilvl w:val="0"/>
          <w:numId w:val="2"/>
        </w:numPr>
        <w:rPr>
          <w:rFonts w:ascii="Arial" w:cs="Arial" w:eastAsia="Arial" w:hAnsi="Arial"/>
          <w:sz w:val="14"/>
          <w:szCs w:val="14"/>
          <w:color w:val="auto"/>
        </w:rPr>
      </w:pPr>
      <w:r>
        <w:rPr>
          <w:rFonts w:ascii="Arial" w:cs="Arial" w:eastAsia="Arial" w:hAnsi="Arial"/>
          <w:sz w:val="14"/>
          <w:szCs w:val="14"/>
          <w:color w:val="auto"/>
        </w:rPr>
        <w:t>1,881,055 shares of common stock issuable upon the vesting of restricted stock units as of March 31, 2026;</w:t>
      </w:r>
    </w:p>
    <w:p>
      <w:pPr>
        <w:spacing w:after="0" w:line="112" w:lineRule="exact"/>
        <w:rPr>
          <w:rFonts w:ascii="Arial" w:cs="Arial" w:eastAsia="Arial" w:hAnsi="Arial"/>
          <w:sz w:val="14"/>
          <w:szCs w:val="14"/>
          <w:color w:val="auto"/>
        </w:rPr>
      </w:pPr>
    </w:p>
    <w:p>
      <w:pPr>
        <w:ind w:left="1640" w:right="399" w:hanging="142"/>
        <w:spacing w:after="0" w:line="252" w:lineRule="auto"/>
        <w:tabs>
          <w:tab w:leader="none" w:pos="1640" w:val="left"/>
        </w:tabs>
        <w:numPr>
          <w:ilvl w:val="0"/>
          <w:numId w:val="2"/>
        </w:numPr>
        <w:rPr>
          <w:rFonts w:ascii="Arial" w:cs="Arial" w:eastAsia="Arial" w:hAnsi="Arial"/>
          <w:sz w:val="14"/>
          <w:szCs w:val="14"/>
          <w:color w:val="auto"/>
        </w:rPr>
      </w:pPr>
      <w:r>
        <w:rPr>
          <w:rFonts w:ascii="Arial" w:cs="Arial" w:eastAsia="Arial" w:hAnsi="Arial"/>
          <w:sz w:val="14"/>
          <w:szCs w:val="14"/>
          <w:color w:val="auto"/>
        </w:rPr>
        <w:t>8,558,351 shares of common stock available for future issuance under our 2021 Stock Option and Incentive Plan, or the 2021 Plan, as of March 31, 2026, as well as any automatic increases in the number of shares of common stock reserved for issuance under the 2021 Plan;</w:t>
      </w:r>
    </w:p>
    <w:p>
      <w:pPr>
        <w:spacing w:after="0" w:line="81" w:lineRule="exact"/>
        <w:rPr>
          <w:rFonts w:ascii="Arial" w:cs="Arial" w:eastAsia="Arial" w:hAnsi="Arial"/>
          <w:sz w:val="14"/>
          <w:szCs w:val="14"/>
          <w:color w:val="auto"/>
        </w:rPr>
      </w:pPr>
    </w:p>
    <w:p>
      <w:pPr>
        <w:jc w:val="both"/>
        <w:ind w:left="1640" w:right="519" w:hanging="142"/>
        <w:spacing w:after="0" w:line="252" w:lineRule="auto"/>
        <w:tabs>
          <w:tab w:leader="none" w:pos="1640" w:val="left"/>
        </w:tabs>
        <w:numPr>
          <w:ilvl w:val="0"/>
          <w:numId w:val="2"/>
        </w:numPr>
        <w:rPr>
          <w:rFonts w:ascii="Arial" w:cs="Arial" w:eastAsia="Arial" w:hAnsi="Arial"/>
          <w:sz w:val="14"/>
          <w:szCs w:val="14"/>
          <w:color w:val="auto"/>
        </w:rPr>
      </w:pPr>
      <w:r>
        <w:rPr>
          <w:rFonts w:ascii="Arial" w:cs="Arial" w:eastAsia="Arial" w:hAnsi="Arial"/>
          <w:sz w:val="14"/>
          <w:szCs w:val="14"/>
          <w:color w:val="auto"/>
        </w:rPr>
        <w:t>4,383,122 shares of common stock available for future issuance under our 2021 Employee Stock Purchase Plan, or the ESPP, as of March 31, 2026, as well as any automatic increases in the number of shares of common stock reserved for issuance under the ESPP;</w:t>
      </w:r>
    </w:p>
    <w:p>
      <w:pPr>
        <w:spacing w:after="0" w:line="81" w:lineRule="exact"/>
        <w:rPr>
          <w:rFonts w:ascii="Arial" w:cs="Arial" w:eastAsia="Arial" w:hAnsi="Arial"/>
          <w:sz w:val="14"/>
          <w:szCs w:val="14"/>
          <w:color w:val="auto"/>
        </w:rPr>
      </w:pPr>
    </w:p>
    <w:p>
      <w:pPr>
        <w:ind w:left="1640" w:hanging="142"/>
        <w:spacing w:after="0"/>
        <w:tabs>
          <w:tab w:leader="none" w:pos="1640" w:val="left"/>
        </w:tabs>
        <w:numPr>
          <w:ilvl w:val="0"/>
          <w:numId w:val="2"/>
        </w:numPr>
        <w:rPr>
          <w:rFonts w:ascii="Arial" w:cs="Arial" w:eastAsia="Arial" w:hAnsi="Arial"/>
          <w:sz w:val="14"/>
          <w:szCs w:val="14"/>
          <w:color w:val="auto"/>
        </w:rPr>
      </w:pPr>
      <w:r>
        <w:rPr>
          <w:rFonts w:ascii="Arial" w:cs="Arial" w:eastAsia="Arial" w:hAnsi="Arial"/>
          <w:sz w:val="14"/>
          <w:szCs w:val="14"/>
          <w:color w:val="auto"/>
        </w:rPr>
        <w:t>1,767,162 shares of common stock available for future issuance under our 2023 Inducement Plan as of March 31, 2026;</w:t>
      </w:r>
    </w:p>
    <w:p>
      <w:pPr>
        <w:spacing w:after="0" w:line="112" w:lineRule="exact"/>
        <w:rPr>
          <w:rFonts w:ascii="Arial" w:cs="Arial" w:eastAsia="Arial" w:hAnsi="Arial"/>
          <w:sz w:val="14"/>
          <w:szCs w:val="14"/>
          <w:color w:val="auto"/>
        </w:rPr>
      </w:pPr>
    </w:p>
    <w:p>
      <w:pPr>
        <w:ind w:left="1640" w:right="399" w:hanging="142"/>
        <w:spacing w:after="0" w:line="270" w:lineRule="auto"/>
        <w:tabs>
          <w:tab w:leader="none" w:pos="1640" w:val="left"/>
        </w:tabs>
        <w:numPr>
          <w:ilvl w:val="0"/>
          <w:numId w:val="2"/>
        </w:numPr>
        <w:rPr>
          <w:rFonts w:ascii="Arial" w:cs="Arial" w:eastAsia="Arial" w:hAnsi="Arial"/>
          <w:sz w:val="14"/>
          <w:szCs w:val="14"/>
          <w:color w:val="auto"/>
        </w:rPr>
      </w:pPr>
      <w:r>
        <w:rPr>
          <w:rFonts w:ascii="Arial" w:cs="Arial" w:eastAsia="Arial" w:hAnsi="Arial"/>
          <w:sz w:val="14"/>
          <w:szCs w:val="14"/>
          <w:color w:val="auto"/>
        </w:rPr>
        <w:t>1,358,620 shares of our common stock issuable upon the exercise of stock options granted subsequent to March 31, 2026, through June 5, 2026 at a weighted-average exercise price of $21.40 per share;</w:t>
      </w:r>
    </w:p>
    <w:p>
      <w:pPr>
        <w:spacing w:after="0" w:line="68" w:lineRule="exact"/>
        <w:rPr>
          <w:rFonts w:ascii="Arial" w:cs="Arial" w:eastAsia="Arial" w:hAnsi="Arial"/>
          <w:sz w:val="14"/>
          <w:szCs w:val="14"/>
          <w:color w:val="auto"/>
        </w:rPr>
      </w:pPr>
    </w:p>
    <w:p>
      <w:pPr>
        <w:ind w:left="1640" w:right="739" w:hanging="142"/>
        <w:spacing w:after="0" w:line="270" w:lineRule="auto"/>
        <w:tabs>
          <w:tab w:leader="none" w:pos="1640" w:val="left"/>
        </w:tabs>
        <w:numPr>
          <w:ilvl w:val="0"/>
          <w:numId w:val="2"/>
        </w:numPr>
        <w:rPr>
          <w:rFonts w:ascii="Arial" w:cs="Arial" w:eastAsia="Arial" w:hAnsi="Arial"/>
          <w:sz w:val="14"/>
          <w:szCs w:val="14"/>
          <w:color w:val="auto"/>
        </w:rPr>
      </w:pPr>
      <w:r>
        <w:rPr>
          <w:rFonts w:ascii="Arial" w:cs="Arial" w:eastAsia="Arial" w:hAnsi="Arial"/>
          <w:sz w:val="14"/>
          <w:szCs w:val="14"/>
          <w:color w:val="auto"/>
        </w:rPr>
        <w:t>248,720 shares of our common stock issuable upon the vesting and settlement of restricted stock units granted subsequent to March 31, 2026, through June 5, 2026;</w:t>
      </w:r>
    </w:p>
    <w:p>
      <w:pPr>
        <w:spacing w:after="0" w:line="68" w:lineRule="exact"/>
        <w:rPr>
          <w:rFonts w:ascii="Arial" w:cs="Arial" w:eastAsia="Arial" w:hAnsi="Arial"/>
          <w:sz w:val="14"/>
          <w:szCs w:val="14"/>
          <w:color w:val="auto"/>
        </w:rPr>
      </w:pPr>
    </w:p>
    <w:p>
      <w:pPr>
        <w:ind w:left="1640" w:right="519" w:hanging="142"/>
        <w:spacing w:after="0" w:line="270" w:lineRule="auto"/>
        <w:tabs>
          <w:tab w:leader="none" w:pos="1640" w:val="left"/>
        </w:tabs>
        <w:numPr>
          <w:ilvl w:val="0"/>
          <w:numId w:val="2"/>
        </w:numPr>
        <w:rPr>
          <w:rFonts w:ascii="Arial" w:cs="Arial" w:eastAsia="Arial" w:hAnsi="Arial"/>
          <w:sz w:val="14"/>
          <w:szCs w:val="14"/>
          <w:color w:val="auto"/>
        </w:rPr>
      </w:pPr>
      <w:r>
        <w:rPr>
          <w:rFonts w:ascii="Arial" w:cs="Arial" w:eastAsia="Arial" w:hAnsi="Arial"/>
          <w:sz w:val="14"/>
          <w:szCs w:val="14"/>
          <w:color w:val="auto"/>
        </w:rPr>
        <w:t>3,226,458 shares of common stock issuable upon the exercise of the pre-funded warrants outstanding as of March 31, 2026, with an exercise price of $0.001 per pre-funded warrant; and</w:t>
      </w:r>
    </w:p>
    <w:p>
      <w:pPr>
        <w:spacing w:after="0" w:line="68" w:lineRule="exact"/>
        <w:rPr>
          <w:rFonts w:ascii="Arial" w:cs="Arial" w:eastAsia="Arial" w:hAnsi="Arial"/>
          <w:sz w:val="14"/>
          <w:szCs w:val="14"/>
          <w:color w:val="auto"/>
        </w:rPr>
      </w:pPr>
    </w:p>
    <w:p>
      <w:pPr>
        <w:ind w:left="1640" w:hanging="142"/>
        <w:spacing w:after="0"/>
        <w:tabs>
          <w:tab w:leader="none" w:pos="1640" w:val="left"/>
        </w:tabs>
        <w:numPr>
          <w:ilvl w:val="0"/>
          <w:numId w:val="2"/>
        </w:numPr>
        <w:rPr>
          <w:rFonts w:ascii="Arial" w:cs="Arial" w:eastAsia="Arial" w:hAnsi="Arial"/>
          <w:sz w:val="14"/>
          <w:szCs w:val="14"/>
          <w:color w:val="auto"/>
        </w:rPr>
      </w:pPr>
      <w:r>
        <w:rPr>
          <w:rFonts w:ascii="Arial" w:cs="Arial" w:eastAsia="Arial" w:hAnsi="Arial"/>
          <w:sz w:val="14"/>
          <w:szCs w:val="14"/>
          <w:color w:val="auto"/>
        </w:rPr>
        <w:t>1,833,395 shares of common stock issuable upon exercise of the pre-funded warrants issued in this offering.</w:t>
      </w:r>
    </w:p>
    <w:p>
      <w:pPr>
        <w:spacing w:after="0" w:line="112" w:lineRule="exact"/>
        <w:rPr>
          <w:sz w:val="20"/>
          <w:szCs w:val="20"/>
          <w:color w:val="auto"/>
        </w:rPr>
      </w:pPr>
    </w:p>
    <w:p>
      <w:pPr>
        <w:jc w:val="both"/>
        <w:ind w:left="1500" w:right="379"/>
        <w:spacing w:after="0" w:line="252" w:lineRule="auto"/>
        <w:rPr>
          <w:sz w:val="20"/>
          <w:szCs w:val="20"/>
          <w:color w:val="auto"/>
        </w:rPr>
      </w:pPr>
      <w:r>
        <w:rPr>
          <w:rFonts w:ascii="Arial" w:cs="Arial" w:eastAsia="Arial" w:hAnsi="Arial"/>
          <w:sz w:val="14"/>
          <w:szCs w:val="14"/>
          <w:color w:val="auto"/>
        </w:rPr>
        <w:t>Unless otherwise indicated, all information in this prospectus supplement assumes no exercise of outstanding options, restricted stock units or pre-funded warrants described above after March 31, 2026 and that the underwriters do not exercise their option to purchase up to 3,000,009 of additional shares of our common stock.</w:t>
      </w:r>
    </w:p>
    <w:p>
      <w:pPr>
        <w:spacing w:after="0" w:line="81" w:lineRule="exact"/>
        <w:rPr>
          <w:sz w:val="20"/>
          <w:szCs w:val="20"/>
          <w:color w:val="auto"/>
        </w:rPr>
      </w:pPr>
    </w:p>
    <w:p>
      <w:pPr>
        <w:ind w:left="1500" w:right="579"/>
        <w:spacing w:after="0" w:line="271" w:lineRule="auto"/>
        <w:rPr>
          <w:sz w:val="20"/>
          <w:szCs w:val="20"/>
          <w:color w:val="auto"/>
        </w:rPr>
      </w:pPr>
      <w:r>
        <w:rPr>
          <w:rFonts w:ascii="Arial" w:cs="Arial" w:eastAsia="Arial" w:hAnsi="Arial"/>
          <w:sz w:val="13"/>
          <w:szCs w:val="13"/>
          <w:color w:val="auto"/>
        </w:rPr>
        <w:t>In addition, the number of shares outstanding immediately after this offering does not include shares of common stock that we may offer and sell in the future pursuant to our Sales Agreement with Leerink Partners LLC. After the expiration or waiver of the lock-up period applicable to us and described under the section of this prospectus supplement titled “Underwriting,” we may offer and sell shares of our common stock having an aggregate offering price of up to $35.6 million from time to time in “at-the-market” offerings.</w:t>
      </w: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S-7</w:t>
      </w:r>
    </w:p>
    <w:p>
      <w:pPr>
        <w:sectPr>
          <w:pgSz w:w="11900" w:h="16838" w:orient="portrait"/>
          <w:cols w:equalWidth="0" w:num="1">
            <w:col w:w="10159"/>
          </w:cols>
          <w:pgMar w:left="300" w:top="385" w:right="1440"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0"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Risk factors</w:t>
      </w:r>
    </w:p>
    <w:p>
      <w:pPr>
        <w:spacing w:after="0" w:line="125" w:lineRule="exact"/>
        <w:rPr>
          <w:sz w:val="20"/>
          <w:szCs w:val="20"/>
          <w:color w:val="auto"/>
        </w:rPr>
      </w:pPr>
    </w:p>
    <w:p>
      <w:pPr>
        <w:ind w:left="1360" w:right="259"/>
        <w:spacing w:after="0" w:line="238" w:lineRule="auto"/>
        <w:rPr>
          <w:sz w:val="20"/>
          <w:szCs w:val="20"/>
          <w:color w:val="auto"/>
        </w:rPr>
      </w:pPr>
      <w:r>
        <w:rPr>
          <w:rFonts w:ascii="Arial" w:cs="Arial" w:eastAsia="Arial" w:hAnsi="Arial"/>
          <w:sz w:val="14"/>
          <w:szCs w:val="14"/>
          <w:color w:val="auto"/>
        </w:rPr>
        <w:t>Investing in our securities involves a high degree of risk. Before making an investment decision, you should carefully consider the risks described in our most recent Annual Report on Form 10-K and subsequent Quarterly Reports on Form 10-Q and Current Reports on Form 8-K, as well as any amendments thereto reflected in subsequent filings with the SEC, each of which are incorporated by reference in this prospectus supplement, and all of the other information in this prospectus supplement, including our financial statements and related notes incorporated by reference herein, and in any free writing prospectus that we have authorized for use in connection with this offering before acquiring any of our common stock. These risks could result in material and adverse impact on our business, financial condition, results of operations and prospects, which could cause the trading price of our common stock to decline, and you could lose part or all of your investment. Additional risks and uncertainties that are not yet identified or that we currently believe to be immaterial may also materially harm our business, financial condition, results of operations and prospects and could result in a complete loss of your investment. The risks discussed below also include forward-looking statements, and our actual results may differ substantially from those discussed in these forward-looking statements. See “Special note regarding forward-looking statements.”</w:t>
      </w:r>
    </w:p>
    <w:p>
      <w:pPr>
        <w:spacing w:after="0" w:line="201"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Risks related to our common stock, pre-funded warrants and this offering</w:t>
      </w:r>
    </w:p>
    <w:p>
      <w:pPr>
        <w:spacing w:after="0" w:line="107" w:lineRule="exact"/>
        <w:rPr>
          <w:sz w:val="20"/>
          <w:szCs w:val="20"/>
          <w:color w:val="auto"/>
        </w:rPr>
      </w:pPr>
    </w:p>
    <w:p>
      <w:pPr>
        <w:ind w:left="1360" w:right="299"/>
        <w:spacing w:after="0" w:line="279" w:lineRule="auto"/>
        <w:rPr>
          <w:sz w:val="20"/>
          <w:szCs w:val="20"/>
          <w:color w:val="auto"/>
        </w:rPr>
      </w:pPr>
      <w:r>
        <w:rPr>
          <w:rFonts w:ascii="Arial" w:cs="Arial" w:eastAsia="Arial" w:hAnsi="Arial"/>
          <w:sz w:val="14"/>
          <w:szCs w:val="14"/>
          <w:b w:val="1"/>
          <w:bCs w:val="1"/>
          <w:i w:val="1"/>
          <w:iCs w:val="1"/>
          <w:color w:val="auto"/>
        </w:rPr>
        <w:t>Historically, our share price has been volatile, and this is likely to continue; purchasers of our securities could incur substantial losses as a result.</w:t>
      </w:r>
    </w:p>
    <w:p>
      <w:pPr>
        <w:spacing w:after="0" w:line="54" w:lineRule="exact"/>
        <w:rPr>
          <w:sz w:val="20"/>
          <w:szCs w:val="20"/>
          <w:color w:val="auto"/>
        </w:rPr>
      </w:pPr>
    </w:p>
    <w:p>
      <w:pPr>
        <w:ind w:left="1360" w:right="259"/>
        <w:spacing w:after="0" w:line="243" w:lineRule="auto"/>
        <w:rPr>
          <w:sz w:val="20"/>
          <w:szCs w:val="20"/>
          <w:color w:val="auto"/>
        </w:rPr>
      </w:pPr>
      <w:r>
        <w:rPr>
          <w:rFonts w:ascii="Arial" w:cs="Arial" w:eastAsia="Arial" w:hAnsi="Arial"/>
          <w:sz w:val="14"/>
          <w:szCs w:val="14"/>
          <w:color w:val="auto"/>
        </w:rPr>
        <w:t>Historically, the market price of our common stock has fluctuated significantly, and we expect that this will continue. Purchasers of our securities could incur substantial losses relating to their investment in our shares as a result.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w:t>
      </w:r>
    </w:p>
    <w:p>
      <w:pPr>
        <w:spacing w:after="0" w:line="88" w:lineRule="exact"/>
        <w:rPr>
          <w:sz w:val="20"/>
          <w:szCs w:val="20"/>
          <w:color w:val="auto"/>
        </w:rPr>
      </w:pPr>
    </w:p>
    <w:p>
      <w:pPr>
        <w:ind w:left="1520" w:hanging="161"/>
        <w:spacing w:after="0"/>
        <w:tabs>
          <w:tab w:leader="none" w:pos="1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success or failure of competitive products or technologies;</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advancement of our preclinical programs into clinical testing;</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release of our initial, interim, or final results of clinical trials of our product candidates or those of our competitors;</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regulatory or legal developments in the United States and other countries;</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developments or disputes concerning patent applications, issued patents or other proprietary rights;</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recruitment or departure of key personnel;</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level of expenses related to any of our programs and product candidates or preclinical and clinical development programs;</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results of our efforts to discover, develop, acquire or in-license additional product candidates or products;</w:t>
      </w:r>
    </w:p>
    <w:p>
      <w:pPr>
        <w:spacing w:after="0" w:line="112" w:lineRule="exact"/>
        <w:rPr>
          <w:rFonts w:ascii="Arial" w:cs="Arial" w:eastAsia="Arial" w:hAnsi="Arial"/>
          <w:sz w:val="14"/>
          <w:szCs w:val="14"/>
          <w:color w:val="auto"/>
        </w:rPr>
      </w:pPr>
    </w:p>
    <w:p>
      <w:pPr>
        <w:ind w:left="1520" w:right="779" w:hanging="161"/>
        <w:spacing w:after="0" w:line="270" w:lineRule="auto"/>
        <w:tabs>
          <w:tab w:leader="none" w:pos="1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actual or anticipated changes in estimates as to financial results, development timelines, data releases or recommendations by securities analysts;</w:t>
      </w:r>
    </w:p>
    <w:p>
      <w:pPr>
        <w:spacing w:after="0" w:line="68" w:lineRule="exact"/>
        <w:rPr>
          <w:rFonts w:ascii="Arial" w:cs="Arial" w:eastAsia="Arial" w:hAnsi="Arial"/>
          <w:sz w:val="14"/>
          <w:szCs w:val="14"/>
          <w:color w:val="auto"/>
        </w:rPr>
      </w:pPr>
    </w:p>
    <w:p>
      <w:pPr>
        <w:ind w:left="1520" w:hanging="161"/>
        <w:spacing w:after="0"/>
        <w:tabs>
          <w:tab w:leader="none" w:pos="1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variations in our financial results or those of companies that are perceived to be similar to us;</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S-8</w:t>
      </w:r>
    </w:p>
    <w:p>
      <w:pPr>
        <w:sectPr>
          <w:pgSz w:w="11900" w:h="16838" w:orient="portrait"/>
          <w:cols w:equalWidth="0" w:num="1">
            <w:col w:w="10159"/>
          </w:cols>
          <w:pgMar w:left="300" w:top="385"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520" w:hanging="161"/>
        <w:spacing w:after="0"/>
        <w:tabs>
          <w:tab w:leader="none" w:pos="1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in the structure of healthcare payment systems and third-party reimbursement decisions;</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market conditions in the pharmaceutical and biotechnology sectors;</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purchases or sales of our securities by our officers, directors or significant shareholders;</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limited trading volume;</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general economic, industry and market conditions; and</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use of proceeds from this offering.</w:t>
      </w:r>
    </w:p>
    <w:p>
      <w:pPr>
        <w:spacing w:after="0" w:line="104" w:lineRule="exact"/>
        <w:rPr>
          <w:sz w:val="20"/>
          <w:szCs w:val="20"/>
          <w:color w:val="auto"/>
        </w:rPr>
      </w:pPr>
    </w:p>
    <w:p>
      <w:pPr>
        <w:ind w:left="1360" w:right="939"/>
        <w:spacing w:after="0" w:line="279" w:lineRule="auto"/>
        <w:rPr>
          <w:sz w:val="20"/>
          <w:szCs w:val="20"/>
          <w:color w:val="auto"/>
        </w:rPr>
      </w:pPr>
      <w:r>
        <w:rPr>
          <w:rFonts w:ascii="Arial" w:cs="Arial" w:eastAsia="Arial" w:hAnsi="Arial"/>
          <w:sz w:val="14"/>
          <w:szCs w:val="14"/>
          <w:b w:val="1"/>
          <w:bCs w:val="1"/>
          <w:i w:val="1"/>
          <w:iCs w:val="1"/>
          <w:color w:val="auto"/>
        </w:rPr>
        <w:t>Our management will have broad discretion over the use of proceeds from this offering and may not use the proceeds effectively.</w:t>
      </w:r>
    </w:p>
    <w:p>
      <w:pPr>
        <w:spacing w:after="0" w:line="54" w:lineRule="exact"/>
        <w:rPr>
          <w:sz w:val="20"/>
          <w:szCs w:val="20"/>
          <w:color w:val="auto"/>
        </w:rPr>
      </w:pPr>
    </w:p>
    <w:p>
      <w:pPr>
        <w:ind w:left="1360" w:right="239"/>
        <w:spacing w:after="0" w:line="241" w:lineRule="auto"/>
        <w:rPr>
          <w:sz w:val="20"/>
          <w:szCs w:val="20"/>
          <w:color w:val="auto"/>
        </w:rPr>
      </w:pPr>
      <w:r>
        <w:rPr>
          <w:rFonts w:ascii="Arial" w:cs="Arial" w:eastAsia="Arial" w:hAnsi="Arial"/>
          <w:sz w:val="14"/>
          <w:szCs w:val="14"/>
          <w:color w:val="auto"/>
        </w:rPr>
        <w:t>Although we currently intend to use the net proceeds from this offering in the manner described in the section titled “Use of proceeds” in this prospectus supplement, we will have considerable discretion in the application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 If we do not invest or apply the net proceeds from this offering in ways that enhance stockholder value, we may fail to achieve expected financial results, which could cause our stock price to decline.</w:t>
      </w:r>
    </w:p>
    <w:p>
      <w:pPr>
        <w:spacing w:after="0" w:line="93" w:lineRule="exact"/>
        <w:rPr>
          <w:sz w:val="20"/>
          <w:szCs w:val="20"/>
          <w:color w:val="auto"/>
        </w:rPr>
      </w:pPr>
    </w:p>
    <w:p>
      <w:pPr>
        <w:ind w:left="1360" w:right="419"/>
        <w:spacing w:after="0" w:line="279" w:lineRule="auto"/>
        <w:rPr>
          <w:sz w:val="20"/>
          <w:szCs w:val="20"/>
          <w:color w:val="auto"/>
        </w:rPr>
      </w:pPr>
      <w:r>
        <w:rPr>
          <w:rFonts w:ascii="Arial" w:cs="Arial" w:eastAsia="Arial" w:hAnsi="Arial"/>
          <w:sz w:val="14"/>
          <w:szCs w:val="14"/>
          <w:b w:val="1"/>
          <w:bCs w:val="1"/>
          <w:i w:val="1"/>
          <w:iCs w:val="1"/>
          <w:color w:val="auto"/>
        </w:rPr>
        <w:t>Sales of a substantial number of shares of our common stock, including any shares issuable upon exercise of any pre-funded warrants, or pre-funded warrants in the public market could cause our stock price to fall.</w:t>
      </w:r>
    </w:p>
    <w:p>
      <w:pPr>
        <w:spacing w:after="0" w:line="44" w:lineRule="exact"/>
        <w:rPr>
          <w:sz w:val="20"/>
          <w:szCs w:val="20"/>
          <w:color w:val="auto"/>
        </w:rPr>
      </w:pPr>
    </w:p>
    <w:p>
      <w:pPr>
        <w:ind w:left="1360" w:right="279"/>
        <w:spacing w:after="0" w:line="239" w:lineRule="auto"/>
        <w:rPr>
          <w:sz w:val="20"/>
          <w:szCs w:val="20"/>
          <w:color w:val="auto"/>
        </w:rPr>
      </w:pPr>
      <w:r>
        <w:rPr>
          <w:rFonts w:ascii="Arial" w:cs="Arial" w:eastAsia="Arial" w:hAnsi="Arial"/>
          <w:sz w:val="14"/>
          <w:szCs w:val="14"/>
          <w:color w:val="auto"/>
        </w:rPr>
        <w:t>Sales of a substantial number of shares of our common stock, including any shares issuable upon exercise of any pre-funded warrants, or pre-funded warrants or other equity-related securities in the public market following this offering could cause the market price of our common stock to decline. A substantial majority of the outstanding shares of our common stock are, and the shares of common stock offered hereby will be, freely tradable without restriction or further registration under the Securities Act, unless these shares are owned or purchased by “affiliates” as that term is defined in Rule 144 under the Securities Act. We, along with our directors and executive officers, have agreed that for a period of 60 days after the closing of this offering, subject to specified exceptions, we or they will not offer, sell, contract to sell, pledge or otherwise dispose of, directly or indirectly, any shares of our common stock or securities convertible into or exchangeable or exercisable for any shares of our common stock.</w:t>
      </w:r>
    </w:p>
    <w:p>
      <w:pPr>
        <w:spacing w:after="0" w:line="9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Purchasers in this offering will experience immediate and substantial dilution in the book value of their investment.</w:t>
      </w:r>
    </w:p>
    <w:p>
      <w:pPr>
        <w:spacing w:after="0" w:line="100" w:lineRule="exact"/>
        <w:rPr>
          <w:sz w:val="20"/>
          <w:szCs w:val="20"/>
          <w:color w:val="auto"/>
        </w:rPr>
      </w:pPr>
    </w:p>
    <w:p>
      <w:pPr>
        <w:ind w:left="1360" w:right="259"/>
        <w:spacing w:after="0" w:line="239" w:lineRule="auto"/>
        <w:rPr>
          <w:sz w:val="20"/>
          <w:szCs w:val="20"/>
          <w:color w:val="auto"/>
        </w:rPr>
      </w:pPr>
      <w:r>
        <w:rPr>
          <w:rFonts w:ascii="Arial" w:cs="Arial" w:eastAsia="Arial" w:hAnsi="Arial"/>
          <w:sz w:val="14"/>
          <w:szCs w:val="14"/>
          <w:color w:val="auto"/>
        </w:rPr>
        <w:t>Purchasers of our common stock or pre-funded warrants in this offering will experience immediate dilution in the net tangible book value of the common stock or the underlying pre-funded warrants purchased in this offering because the price per share of common stock in this offering is substantially higher than the net tangible book value per share of our common stock outstanding immediately after this offering. Our net tangible book value as of March 31, 2026, was approximately $391.5 million, or $2.72 per share of our common stock. If you purchase shares of common stock or pre-funded warrants in this offering, you will suffer immediate and substantial dilution of $24.10 per share with respect to the net tangible book value of the common stock (assuming no pre-funded warrants are exercised). See “Dilution” in this prospectus supplement for a detailed discussion of the dilution you will incur if you purchase shares of common stock or pre-funded warrants in this offering.</w:t>
      </w:r>
    </w:p>
    <w:p>
      <w:pPr>
        <w:spacing w:after="0" w:line="95" w:lineRule="exact"/>
        <w:rPr>
          <w:sz w:val="20"/>
          <w:szCs w:val="20"/>
          <w:color w:val="auto"/>
        </w:rPr>
      </w:pPr>
    </w:p>
    <w:p>
      <w:pPr>
        <w:ind w:left="1360" w:right="439"/>
        <w:spacing w:after="0" w:line="279" w:lineRule="auto"/>
        <w:rPr>
          <w:sz w:val="20"/>
          <w:szCs w:val="20"/>
          <w:color w:val="auto"/>
        </w:rPr>
      </w:pPr>
      <w:r>
        <w:rPr>
          <w:rFonts w:ascii="Arial" w:cs="Arial" w:eastAsia="Arial" w:hAnsi="Arial"/>
          <w:sz w:val="14"/>
          <w:szCs w:val="14"/>
          <w:b w:val="1"/>
          <w:bCs w:val="1"/>
          <w:i w:val="1"/>
          <w:iCs w:val="1"/>
          <w:color w:val="auto"/>
        </w:rPr>
        <w:t>If we raise additional capital through the sale of shares of our common stock, convertible securities or debt in the future, your ownership in us could be diluted and restrictions could be imposed on our business.</w:t>
      </w:r>
    </w:p>
    <w:p>
      <w:pPr>
        <w:spacing w:after="0" w:line="54" w:lineRule="exact"/>
        <w:rPr>
          <w:sz w:val="20"/>
          <w:szCs w:val="20"/>
          <w:color w:val="auto"/>
        </w:rPr>
      </w:pPr>
    </w:p>
    <w:p>
      <w:pPr>
        <w:ind w:left="1360" w:right="419"/>
        <w:spacing w:after="0" w:line="270" w:lineRule="auto"/>
        <w:rPr>
          <w:sz w:val="20"/>
          <w:szCs w:val="20"/>
          <w:color w:val="auto"/>
        </w:rPr>
      </w:pPr>
      <w:r>
        <w:rPr>
          <w:rFonts w:ascii="Arial" w:cs="Arial" w:eastAsia="Arial" w:hAnsi="Arial"/>
          <w:sz w:val="14"/>
          <w:szCs w:val="14"/>
          <w:color w:val="auto"/>
        </w:rPr>
        <w:t>In addition to this offering, we may issue shares of our common stock or securities convertible into our common stock to raise additional capital in the future. To the extent we issue such securities, our stockholders may</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S-9</w:t>
      </w:r>
    </w:p>
    <w:p>
      <w:pPr>
        <w:sectPr>
          <w:pgSz w:w="11900" w:h="16838" w:orient="portrait"/>
          <w:cols w:equalWidth="0" w:num="1">
            <w:col w:w="10159"/>
          </w:cols>
          <w:pgMar w:left="300" w:top="385"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2" w:lineRule="auto"/>
        <w:rPr>
          <w:sz w:val="20"/>
          <w:szCs w:val="20"/>
          <w:color w:val="auto"/>
        </w:rPr>
      </w:pPr>
      <w:r>
        <w:rPr>
          <w:rFonts w:ascii="Arial" w:cs="Arial" w:eastAsia="Arial" w:hAnsi="Arial"/>
          <w:sz w:val="14"/>
          <w:szCs w:val="14"/>
          <w:color w:val="auto"/>
        </w:rPr>
        <w:t>experience substantial dilution and the trading price of our common stock could decline. If we obtain funds through a credit facility or through the issuance of debt or preferred securities, such debt or preferred securities could have rights senior to your rights as a common stockholder, which could impair the value of our common stock.</w:t>
      </w:r>
    </w:p>
    <w:p>
      <w:pPr>
        <w:spacing w:after="0" w:line="71" w:lineRule="exact"/>
        <w:rPr>
          <w:sz w:val="20"/>
          <w:szCs w:val="20"/>
          <w:color w:val="auto"/>
        </w:rPr>
      </w:pPr>
    </w:p>
    <w:p>
      <w:pPr>
        <w:ind w:left="1360" w:right="379"/>
        <w:spacing w:after="0" w:line="246" w:lineRule="auto"/>
        <w:rPr>
          <w:sz w:val="20"/>
          <w:szCs w:val="20"/>
          <w:color w:val="auto"/>
        </w:rPr>
      </w:pPr>
      <w:r>
        <w:rPr>
          <w:rFonts w:ascii="Arial" w:cs="Arial" w:eastAsia="Arial" w:hAnsi="Arial"/>
          <w:sz w:val="14"/>
          <w:szCs w:val="14"/>
          <w:color w:val="auto"/>
        </w:rPr>
        <w:t>Additionally, in November 2025, we entered into a Sales Agreement with Leerink Partners LLC, providing for the offering, issuance and sale by the Company of our common stock from time to time in “at-the-market” offerings, or the ATM. Pursuant to the prospectus supplement, dated November 21, 2025, in accordance with the terms of the Sales Agreement, we may offer and sell up to $100,000,000 of shares of our common stock. As of June 5, 2026, we may sell up to $35.6 million of our common stock under the ATM.</w:t>
      </w:r>
    </w:p>
    <w:p>
      <w:pPr>
        <w:spacing w:after="0" w:line="86"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These shares can be freely sold in the public market upon issuance.</w:t>
      </w:r>
    </w:p>
    <w:p>
      <w:pPr>
        <w:spacing w:after="0" w:line="112" w:lineRule="exact"/>
        <w:rPr>
          <w:sz w:val="20"/>
          <w:szCs w:val="20"/>
          <w:color w:val="auto"/>
        </w:rPr>
      </w:pPr>
    </w:p>
    <w:p>
      <w:pPr>
        <w:jc w:val="both"/>
        <w:ind w:left="1360" w:right="299"/>
        <w:spacing w:after="0" w:line="252" w:lineRule="auto"/>
        <w:rPr>
          <w:sz w:val="20"/>
          <w:szCs w:val="20"/>
          <w:color w:val="auto"/>
        </w:rPr>
      </w:pPr>
      <w:r>
        <w:rPr>
          <w:rFonts w:ascii="Arial" w:cs="Arial" w:eastAsia="Arial" w:hAnsi="Arial"/>
          <w:sz w:val="14"/>
          <w:szCs w:val="14"/>
          <w:color w:val="auto"/>
        </w:rPr>
        <w:t>Sales of our common stock pursuant to the ATM could result in substantial dilution to the interests of other holders of our common stock. Additionally, the sale of a substantial number of shares of our common stock, or the anticipation of such sales, could make it more difficult for us to sell equity or equity-related securities in the future at a time and at a price that we might otherwise wish to effect sales.</w:t>
      </w:r>
    </w:p>
    <w:p>
      <w:pPr>
        <w:spacing w:after="0" w:line="73" w:lineRule="exact"/>
        <w:rPr>
          <w:sz w:val="20"/>
          <w:szCs w:val="20"/>
          <w:color w:val="auto"/>
        </w:rPr>
      </w:pPr>
    </w:p>
    <w:p>
      <w:pPr>
        <w:ind w:left="1360" w:right="439"/>
        <w:spacing w:after="0" w:line="249" w:lineRule="auto"/>
        <w:rPr>
          <w:sz w:val="20"/>
          <w:szCs w:val="20"/>
          <w:color w:val="auto"/>
        </w:rPr>
      </w:pPr>
      <w:r>
        <w:rPr>
          <w:rFonts w:ascii="Arial" w:cs="Arial" w:eastAsia="Arial" w:hAnsi="Arial"/>
          <w:sz w:val="14"/>
          <w:szCs w:val="14"/>
          <w:b w:val="1"/>
          <w:bCs w:val="1"/>
          <w:i w:val="1"/>
          <w:iCs w:val="1"/>
          <w:color w:val="auto"/>
        </w:rPr>
        <w:t>We currently depend on third-party collaborators for the development, evaluation and potential commercialization of vopimetostat in combination with RAS inhibitors. If these collaborations are not successful or if we are not able to enter into additional collaboration and supply agreements with such collaborators, as necessary, we may have to alter our development and commercialization plans.</w:t>
      </w:r>
    </w:p>
    <w:p>
      <w:pPr>
        <w:spacing w:after="0" w:line="76" w:lineRule="exact"/>
        <w:rPr>
          <w:sz w:val="20"/>
          <w:szCs w:val="20"/>
          <w:color w:val="auto"/>
        </w:rPr>
      </w:pPr>
    </w:p>
    <w:p>
      <w:pPr>
        <w:ind w:left="1360" w:right="459"/>
        <w:spacing w:after="0" w:line="241" w:lineRule="auto"/>
        <w:rPr>
          <w:sz w:val="20"/>
          <w:szCs w:val="20"/>
          <w:color w:val="auto"/>
        </w:rPr>
      </w:pPr>
      <w:r>
        <w:rPr>
          <w:rFonts w:ascii="Arial" w:cs="Arial" w:eastAsia="Arial" w:hAnsi="Arial"/>
          <w:sz w:val="14"/>
          <w:szCs w:val="14"/>
          <w:color w:val="auto"/>
        </w:rPr>
        <w:t>We have entered into collaborations with Revolution Medicines, Inc. and Erasca, Inc. to evaluate vopimetostat in combination with both daraxonrasib and zoldonrasib and with ERAS-0015, respectively, and rely on such collaborators for the supply of drug product for our clinical trials. If we fail to maintain these existing collaborations, if our collaborators terminate our existing collaboration and supply agreements or if we fail to enter into future collaborations or supply agreements for advanced clinical trials or commercialization on commercially reasonable terms, or at all, we may not be able obtain adequate supply of drug product or we may have to explore alternative pathways to obtain such drug supply.</w:t>
      </w:r>
    </w:p>
    <w:p>
      <w:pPr>
        <w:spacing w:after="0" w:line="80" w:lineRule="exact"/>
        <w:rPr>
          <w:sz w:val="20"/>
          <w:szCs w:val="20"/>
          <w:color w:val="auto"/>
        </w:rPr>
      </w:pPr>
    </w:p>
    <w:p>
      <w:pPr>
        <w:ind w:left="1360" w:right="239"/>
        <w:spacing w:after="0" w:line="243" w:lineRule="auto"/>
        <w:rPr>
          <w:sz w:val="20"/>
          <w:szCs w:val="20"/>
          <w:color w:val="auto"/>
        </w:rPr>
      </w:pPr>
      <w:r>
        <w:rPr>
          <w:rFonts w:ascii="Arial" w:cs="Arial" w:eastAsia="Arial" w:hAnsi="Arial"/>
          <w:sz w:val="14"/>
          <w:szCs w:val="14"/>
          <w:color w:val="auto"/>
        </w:rPr>
        <w:t>In June 2026, we announced our plans to initiate a Phase 3 clinical trial of vopimetostat in combination with daraxonrasib in front-line pancreatic cancer. We currently do not have a clinical trial supply agreement in place for such Phase 3 trial nor do we have a commercial supply agreement in place for commercialization, if the combination is approved. If we are unable to enter into such agreements in a timely manner, on commercially reasonable terms, or at all and if we need to procure drug product from commercial sources, we would face delays, incur higher costs and our development and commercialization plans could be adversely affected.</w:t>
      </w:r>
    </w:p>
    <w:p>
      <w:pPr>
        <w:spacing w:after="0" w:line="9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There is no public market for the pre-funded warrants being offered by us in this offering.</w:t>
      </w:r>
    </w:p>
    <w:p>
      <w:pPr>
        <w:spacing w:after="0" w:line="110" w:lineRule="exact"/>
        <w:rPr>
          <w:sz w:val="20"/>
          <w:szCs w:val="20"/>
          <w:color w:val="auto"/>
        </w:rPr>
      </w:pPr>
    </w:p>
    <w:p>
      <w:pPr>
        <w:ind w:left="1360" w:right="459"/>
        <w:spacing w:after="0" w:line="252" w:lineRule="auto"/>
        <w:rPr>
          <w:sz w:val="20"/>
          <w:szCs w:val="20"/>
          <w:color w:val="auto"/>
        </w:rPr>
      </w:pPr>
      <w:r>
        <w:rPr>
          <w:rFonts w:ascii="Arial" w:cs="Arial" w:eastAsia="Arial" w:hAnsi="Arial"/>
          <w:sz w:val="14"/>
          <w:szCs w:val="14"/>
          <w:color w:val="auto"/>
        </w:rPr>
        <w:t>There is no established public trading market for the pre-funded warrants being sold in this offering, and we do not expect a market to develop. In addition, we do not intend to apply to list the pre-funded warrants on any securities exchange or recognized trading system. Without an active market, the liquidity of the pre-funded warrants will be limited.</w:t>
      </w:r>
    </w:p>
    <w:p>
      <w:pPr>
        <w:spacing w:after="0" w:line="7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Holders of the pre-funded warrants will have no rights as common stockholders until they acquire our common stock.</w:t>
      </w:r>
    </w:p>
    <w:p>
      <w:pPr>
        <w:spacing w:after="0" w:line="110" w:lineRule="exact"/>
        <w:rPr>
          <w:sz w:val="20"/>
          <w:szCs w:val="20"/>
          <w:color w:val="auto"/>
        </w:rPr>
      </w:pPr>
    </w:p>
    <w:p>
      <w:pPr>
        <w:ind w:left="1360" w:right="499"/>
        <w:spacing w:after="0" w:line="246" w:lineRule="auto"/>
        <w:rPr>
          <w:sz w:val="20"/>
          <w:szCs w:val="20"/>
          <w:color w:val="auto"/>
        </w:rPr>
      </w:pPr>
      <w:r>
        <w:rPr>
          <w:rFonts w:ascii="Arial" w:cs="Arial" w:eastAsia="Arial" w:hAnsi="Arial"/>
          <w:sz w:val="14"/>
          <w:szCs w:val="14"/>
          <w:color w:val="auto"/>
        </w:rPr>
        <w:t>Until you acquire shares of our common stock upon exercise of the pre-funded warrants, you will have no rights with respect to our common stock issuable upon exercise of the pre-funded warrants, including the right to receive dividend payments, vote or respond to tender offers. Upon exercise of your pre-funded warrants, you will be entitled to exercise the rights of a common stockholder only as to matters for which the record date occurs after the exercise date.</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S-10</w:t>
      </w:r>
    </w:p>
    <w:p>
      <w:pPr>
        <w:sectPr>
          <w:pgSz w:w="11900" w:h="16838" w:orient="portrait"/>
          <w:cols w:equalWidth="0" w:num="1">
            <w:col w:w="10159"/>
          </w:cols>
          <w:pgMar w:left="300" w:top="385"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3" w:lineRule="exact"/>
        <w:rPr>
          <w:sz w:val="20"/>
          <w:szCs w:val="20"/>
          <w:color w:val="auto"/>
        </w:rPr>
      </w:pPr>
    </w:p>
    <w:p>
      <w:pPr>
        <w:ind w:left="1360" w:right="759"/>
        <w:spacing w:after="0" w:line="279" w:lineRule="auto"/>
        <w:rPr>
          <w:sz w:val="20"/>
          <w:szCs w:val="20"/>
          <w:color w:val="auto"/>
        </w:rPr>
      </w:pPr>
      <w:r>
        <w:rPr>
          <w:rFonts w:ascii="Arial" w:cs="Arial" w:eastAsia="Arial" w:hAnsi="Arial"/>
          <w:sz w:val="14"/>
          <w:szCs w:val="14"/>
          <w:b w:val="1"/>
          <w:bCs w:val="1"/>
          <w:i w:val="1"/>
          <w:iCs w:val="1"/>
          <w:color w:val="auto"/>
        </w:rPr>
        <w:t>Significant holders or beneficial holders of shares of our common stock may not be permitted to exercise the pre-funded warrants that they hold.</w:t>
      </w:r>
    </w:p>
    <w:p>
      <w:pPr>
        <w:spacing w:after="0" w:line="44" w:lineRule="exact"/>
        <w:rPr>
          <w:sz w:val="20"/>
          <w:szCs w:val="20"/>
          <w:color w:val="auto"/>
        </w:rPr>
      </w:pPr>
    </w:p>
    <w:p>
      <w:pPr>
        <w:ind w:left="1360" w:right="299"/>
        <w:spacing w:after="0"/>
        <w:rPr>
          <w:sz w:val="20"/>
          <w:szCs w:val="20"/>
          <w:color w:val="auto"/>
        </w:rPr>
      </w:pPr>
      <w:r>
        <w:rPr>
          <w:rFonts w:ascii="Arial" w:cs="Arial" w:eastAsia="Arial" w:hAnsi="Arial"/>
          <w:sz w:val="14"/>
          <w:szCs w:val="14"/>
          <w:color w:val="auto"/>
        </w:rPr>
        <w:t>A holder (together with its affiliates and other attribution parties) may not exercise any portion of a pre-funded warrant to the extent that after giving effect to such exercise, the holder would own more than 4.99% or 9.99% of our outstanding common stock immediately after exercise, which percentage may be changed at the holder’s election to a higher or lower percentage not in excess of 19.99% upon 61 days’ notice to us, subject to the terms of the pre-funded warrants. As a result, you may not be able to exercise your pre-funded warrants for shares of our common stock at a time when it would be financially beneficial for you to do so. In such a circumstance, you could seek to sell your pre-funded warrants to realize value, but you may be unable to do so in the absence of an established trading market and due to applicable transfer restrictions.</w:t>
      </w:r>
    </w:p>
    <w:p>
      <w:pPr>
        <w:spacing w:after="0" w:line="9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We will not receive a significant amount or any additional funds upon the exercise of the pre-funded warrants.</w:t>
      </w:r>
    </w:p>
    <w:p>
      <w:pPr>
        <w:spacing w:after="0" w:line="110" w:lineRule="exact"/>
        <w:rPr>
          <w:sz w:val="20"/>
          <w:szCs w:val="20"/>
          <w:color w:val="auto"/>
        </w:rPr>
      </w:pPr>
    </w:p>
    <w:p>
      <w:pPr>
        <w:ind w:left="1360" w:right="319"/>
        <w:spacing w:after="0" w:line="246" w:lineRule="auto"/>
        <w:rPr>
          <w:sz w:val="20"/>
          <w:szCs w:val="20"/>
          <w:color w:val="auto"/>
        </w:rPr>
      </w:pPr>
      <w:r>
        <w:rPr>
          <w:rFonts w:ascii="Arial" w:cs="Arial" w:eastAsia="Arial" w:hAnsi="Arial"/>
          <w:sz w:val="14"/>
          <w:szCs w:val="14"/>
          <w:color w:val="auto"/>
        </w:rPr>
        <w:t>Each pre-funded warrant is exercisable for $0.001 per share of common stock underlying such pre-funded warrant, which may be paid by way of a cashless exercise, in which the holder would receive upon such exercise the net number of shares of common stock determined according to the formula set forth in the pre-funded warrant. Accordingly, we will not receive a significant amount of additional funds (if any) upon the exercise of the pre-funded warrants.</w:t>
      </w:r>
    </w:p>
    <w:p>
      <w:pPr>
        <w:spacing w:after="0" w:line="77" w:lineRule="exact"/>
        <w:rPr>
          <w:sz w:val="20"/>
          <w:szCs w:val="20"/>
          <w:color w:val="auto"/>
        </w:rPr>
      </w:pPr>
    </w:p>
    <w:p>
      <w:pPr>
        <w:ind w:left="1360" w:right="479"/>
        <w:spacing w:after="0" w:line="319" w:lineRule="auto"/>
        <w:rPr>
          <w:sz w:val="20"/>
          <w:szCs w:val="20"/>
          <w:color w:val="auto"/>
        </w:rPr>
      </w:pPr>
      <w:r>
        <w:rPr>
          <w:rFonts w:ascii="Arial" w:cs="Arial" w:eastAsia="Arial" w:hAnsi="Arial"/>
          <w:sz w:val="13"/>
          <w:szCs w:val="13"/>
          <w:b w:val="1"/>
          <w:bCs w:val="1"/>
          <w:i w:val="1"/>
          <w:iCs w:val="1"/>
          <w:color w:val="auto"/>
        </w:rPr>
        <w:t>If we do not maintain a current and effective registration statement relating to the shares of our common stock issuable upon exercise of the pre-funded warrants, holders will only be able to exercise such pre-funded warrants on a “cashless basis.”</w:t>
      </w:r>
    </w:p>
    <w:p>
      <w:pPr>
        <w:spacing w:after="0" w:line="31" w:lineRule="exact"/>
        <w:rPr>
          <w:sz w:val="20"/>
          <w:szCs w:val="20"/>
          <w:color w:val="auto"/>
        </w:rPr>
      </w:pPr>
    </w:p>
    <w:p>
      <w:pPr>
        <w:ind w:left="1360" w:right="279"/>
        <w:spacing w:after="0" w:line="239" w:lineRule="auto"/>
        <w:rPr>
          <w:sz w:val="20"/>
          <w:szCs w:val="20"/>
          <w:color w:val="auto"/>
        </w:rPr>
      </w:pPr>
      <w:r>
        <w:rPr>
          <w:rFonts w:ascii="Arial" w:cs="Arial" w:eastAsia="Arial" w:hAnsi="Arial"/>
          <w:sz w:val="14"/>
          <w:szCs w:val="14"/>
          <w:color w:val="auto"/>
        </w:rPr>
        <w:t>If we do not maintain a current and effective registration statement relating to the shares of our common stock issuable upon exercise of the pre-funded warrants at the time that holders wish to exercise such pre-funded warrants, they will only be able to exercise them on a “cashless basis” provided that an exemption from registration is available. As a result, the number of shares of our common stock that holders will receive upon exercise of the pre-funded warrants will be fewer than it would have been had such holder exercised the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shares of our common stock issuable upon exercise of the pre-funded warrants is available.</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S-11</w:t>
      </w:r>
    </w:p>
    <w:p>
      <w:pPr>
        <w:sectPr>
          <w:pgSz w:w="11900" w:h="16838" w:orient="portrait"/>
          <w:cols w:equalWidth="0" w:num="1">
            <w:col w:w="10159"/>
          </w:cols>
          <w:pgMar w:left="300" w:top="385"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0"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125" w:lineRule="exact"/>
        <w:rPr>
          <w:sz w:val="20"/>
          <w:szCs w:val="20"/>
          <w:color w:val="auto"/>
        </w:rPr>
      </w:pPr>
    </w:p>
    <w:p>
      <w:pPr>
        <w:ind w:left="1360" w:right="499"/>
        <w:spacing w:after="0" w:line="252" w:lineRule="auto"/>
        <w:rPr>
          <w:sz w:val="20"/>
          <w:szCs w:val="20"/>
          <w:color w:val="auto"/>
        </w:rPr>
      </w:pPr>
      <w:r>
        <w:rPr>
          <w:rFonts w:ascii="Arial" w:cs="Arial" w:eastAsia="Arial" w:hAnsi="Arial"/>
          <w:sz w:val="14"/>
          <w:szCs w:val="14"/>
          <w:color w:val="auto"/>
        </w:rPr>
        <w:t>This prospectus supplement, the accompanying prospectus and the documents incorporated by reference herein and therein, and any free writing prospectus that we have authorized for use in connection with this offering, contain forward-looking statements within the meaning of Section 27A of the Securities Act of 1933, as amended, or the Securities Act, and Section 21E of the Exchange Act.</w:t>
      </w:r>
    </w:p>
    <w:p>
      <w:pPr>
        <w:spacing w:after="0" w:line="81" w:lineRule="exact"/>
        <w:rPr>
          <w:sz w:val="20"/>
          <w:szCs w:val="20"/>
          <w:color w:val="auto"/>
        </w:rPr>
      </w:pPr>
    </w:p>
    <w:p>
      <w:pPr>
        <w:ind w:left="1360" w:right="239"/>
        <w:spacing w:after="0"/>
        <w:rPr>
          <w:sz w:val="20"/>
          <w:szCs w:val="20"/>
          <w:color w:val="auto"/>
        </w:rPr>
      </w:pPr>
      <w:r>
        <w:rPr>
          <w:rFonts w:ascii="Arial" w:cs="Arial" w:eastAsia="Arial" w:hAnsi="Arial"/>
          <w:sz w:val="14"/>
          <w:szCs w:val="14"/>
          <w:color w:val="auto"/>
        </w:rPr>
        <w:t>Any statements about our expectations, beliefs, plans, objectives, assumptions or future events or performance are not historical facts and are forward-looking. These statements are often, but are not always, made through the use of words or phrases such as “may,” “will,” “could,” “should,” “expects,” “intends,” “plans,” “anticipates,” “believes,” “estimates,” “predicts,” “projects,” “potential,” “continue,” and similar expressions, or the negative of these terms, or similar expressions. Accordingly, these statements are subject to risks and uncertainties that could cause actual results to differ materially from those expressed in them. Any forward-looking statements are qualified in their entirety by reference to the factors discussed throughout this prospectus supplement, and in particular those factors referenced in the section “Risk factors.”</w:t>
      </w:r>
    </w:p>
    <w:p>
      <w:pPr>
        <w:spacing w:after="0" w:line="91" w:lineRule="exact"/>
        <w:rPr>
          <w:sz w:val="20"/>
          <w:szCs w:val="20"/>
          <w:color w:val="auto"/>
        </w:rPr>
      </w:pPr>
    </w:p>
    <w:p>
      <w:pPr>
        <w:ind w:left="1360" w:right="479"/>
        <w:spacing w:after="0" w:line="246" w:lineRule="auto"/>
        <w:rPr>
          <w:sz w:val="20"/>
          <w:szCs w:val="20"/>
          <w:color w:val="auto"/>
        </w:rPr>
      </w:pPr>
      <w:r>
        <w:rPr>
          <w:rFonts w:ascii="Arial" w:cs="Arial" w:eastAsia="Arial" w:hAnsi="Arial"/>
          <w:sz w:val="14"/>
          <w:szCs w:val="14"/>
          <w:color w:val="auto"/>
        </w:rPr>
        <w:t>This prospectus supplement contains forward-looking statements that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86" w:lineRule="exact"/>
        <w:rPr>
          <w:sz w:val="20"/>
          <w:szCs w:val="20"/>
          <w:color w:val="auto"/>
        </w:rPr>
      </w:pPr>
    </w:p>
    <w:p>
      <w:pPr>
        <w:jc w:val="both"/>
        <w:ind w:left="1520" w:right="599" w:hanging="161"/>
        <w:spacing w:after="0" w:line="246" w:lineRule="auto"/>
        <w:tabs>
          <w:tab w:leader="none" w:pos="1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timing of upcoming clinical milestones and data disclosures, including our plans to: (a) disclose clinical data in the lung cancer cohort of the vopimetostat monotherapy clinical trial in the second half of 2026, (b) disclose initial safety and efficacy data from the TNG456 phase 1/2 clinical trial in the second half of 2026 and (c) initiate a phase 1/2 combination clinical trial of vopimetostat and ERAS-0015 in the second half of 2026;</w:t>
      </w:r>
    </w:p>
    <w:p>
      <w:pPr>
        <w:spacing w:after="0" w:line="85" w:lineRule="exact"/>
        <w:rPr>
          <w:rFonts w:ascii="Arial" w:cs="Arial" w:eastAsia="Arial" w:hAnsi="Arial"/>
          <w:sz w:val="14"/>
          <w:szCs w:val="14"/>
          <w:color w:val="auto"/>
        </w:rPr>
      </w:pPr>
    </w:p>
    <w:p>
      <w:pPr>
        <w:ind w:left="1520" w:right="239" w:hanging="161"/>
        <w:spacing w:after="0" w:line="270" w:lineRule="auto"/>
        <w:tabs>
          <w:tab w:leader="none" w:pos="1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68" w:lineRule="exact"/>
        <w:rPr>
          <w:rFonts w:ascii="Arial" w:cs="Arial" w:eastAsia="Arial" w:hAnsi="Arial"/>
          <w:sz w:val="14"/>
          <w:szCs w:val="14"/>
          <w:color w:val="auto"/>
        </w:rPr>
      </w:pPr>
    </w:p>
    <w:p>
      <w:pPr>
        <w:ind w:left="1520" w:right="259" w:hanging="161"/>
        <w:spacing w:after="0" w:line="270" w:lineRule="auto"/>
        <w:tabs>
          <w:tab w:leader="none" w:pos="1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68" w:lineRule="exact"/>
        <w:rPr>
          <w:rFonts w:ascii="Arial" w:cs="Arial" w:eastAsia="Arial" w:hAnsi="Arial"/>
          <w:sz w:val="14"/>
          <w:szCs w:val="14"/>
          <w:color w:val="auto"/>
        </w:rPr>
      </w:pPr>
    </w:p>
    <w:p>
      <w:pPr>
        <w:ind w:left="1520" w:right="679" w:hanging="161"/>
        <w:spacing w:after="0" w:line="270" w:lineRule="auto"/>
        <w:tabs>
          <w:tab w:leader="none" w:pos="1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ability and willingness of our third-party strategic collaborators to continue research and development activities relating to our development candidates and product candidates;</w:t>
      </w:r>
    </w:p>
    <w:p>
      <w:pPr>
        <w:spacing w:after="0" w:line="68" w:lineRule="exact"/>
        <w:rPr>
          <w:rFonts w:ascii="Arial" w:cs="Arial" w:eastAsia="Arial" w:hAnsi="Arial"/>
          <w:sz w:val="14"/>
          <w:szCs w:val="14"/>
          <w:color w:val="auto"/>
        </w:rPr>
      </w:pPr>
    </w:p>
    <w:p>
      <w:pPr>
        <w:ind w:left="1520" w:right="399" w:hanging="161"/>
        <w:spacing w:after="0" w:line="252" w:lineRule="auto"/>
        <w:tabs>
          <w:tab w:leader="none" w:pos="1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w:t>
      </w:r>
    </w:p>
    <w:p>
      <w:pPr>
        <w:spacing w:after="0" w:line="81" w:lineRule="exact"/>
        <w:rPr>
          <w:rFonts w:ascii="Arial" w:cs="Arial" w:eastAsia="Arial" w:hAnsi="Arial"/>
          <w:sz w:val="14"/>
          <w:szCs w:val="14"/>
          <w:color w:val="auto"/>
        </w:rPr>
      </w:pPr>
    </w:p>
    <w:p>
      <w:pPr>
        <w:ind w:left="1520" w:right="719" w:hanging="161"/>
        <w:spacing w:after="0" w:line="281" w:lineRule="auto"/>
        <w:tabs>
          <w:tab w:leader="none" w:pos="1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ability to obtain and, if approved, maintain regulatory approval of our product candidates (as well as approval or clearance of screening tests and companion diagnostic tests for our product candidates) and the potential paths to approval for our product candidates, including for vopimetostat as a monotherapy or in combination in MTAP-deleted pancreatic and lung cancer;</w:t>
      </w:r>
    </w:p>
    <w:p>
      <w:pPr>
        <w:spacing w:after="0" w:line="63" w:lineRule="exact"/>
        <w:rPr>
          <w:rFonts w:ascii="Arial" w:cs="Arial" w:eastAsia="Arial" w:hAnsi="Arial"/>
          <w:sz w:val="13"/>
          <w:szCs w:val="13"/>
          <w:color w:val="auto"/>
        </w:rPr>
      </w:pPr>
    </w:p>
    <w:p>
      <w:pPr>
        <w:ind w:left="1520" w:hanging="161"/>
        <w:spacing w:after="0"/>
        <w:tabs>
          <w:tab w:leader="none" w:pos="1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commercialize our products, if approved;</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pricing and reimbursement of our product candidates, if approved;</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implementation of our business model, and strategic plans for our business and product candidates;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S-12</w:t>
      </w:r>
    </w:p>
    <w:p>
      <w:pPr>
        <w:sectPr>
          <w:pgSz w:w="11900" w:h="16838" w:orient="portrait"/>
          <w:cols w:equalWidth="0" w:num="1">
            <w:col w:w="10159"/>
          </w:cols>
          <w:pgMar w:left="300" w:top="385"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520" w:right="479" w:hanging="161"/>
        <w:spacing w:after="0" w:line="270" w:lineRule="auto"/>
        <w:tabs>
          <w:tab w:leader="none" w:pos="1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scope of protection we are able to establish and maintain for intellectual property rights covering our product candidates and our ability to enforce our intellectual property rights;</w:t>
      </w:r>
    </w:p>
    <w:p>
      <w:pPr>
        <w:spacing w:after="0" w:line="68" w:lineRule="exact"/>
        <w:rPr>
          <w:rFonts w:ascii="Arial" w:cs="Arial" w:eastAsia="Arial" w:hAnsi="Arial"/>
          <w:sz w:val="14"/>
          <w:szCs w:val="14"/>
          <w:color w:val="auto"/>
        </w:rPr>
      </w:pPr>
    </w:p>
    <w:p>
      <w:pPr>
        <w:ind w:left="1520" w:hanging="161"/>
        <w:spacing w:after="0"/>
        <w:tabs>
          <w:tab w:leader="none" w:pos="1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estimates of our future expenses, capital requirements, and our need for additional financing;</w:t>
      </w:r>
    </w:p>
    <w:p>
      <w:pPr>
        <w:spacing w:after="0" w:line="112" w:lineRule="exact"/>
        <w:rPr>
          <w:rFonts w:ascii="Arial" w:cs="Arial" w:eastAsia="Arial" w:hAnsi="Arial"/>
          <w:sz w:val="14"/>
          <w:szCs w:val="14"/>
          <w:color w:val="auto"/>
        </w:rPr>
      </w:pPr>
    </w:p>
    <w:p>
      <w:pPr>
        <w:ind w:left="1520" w:right="239" w:hanging="161"/>
        <w:spacing w:after="0" w:line="252" w:lineRule="auto"/>
        <w:tabs>
          <w:tab w:leader="none" w:pos="1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potential benefits of strategic collaboration agreements (including our clinical trial and supply agreements with Revolution Medicines, Inc. and Erasca, Inc.), our ability to enter into strategic collaborations or arrangements, and our ability to attract collaborators with development, regulatory and commercialization expertise;</w:t>
      </w:r>
    </w:p>
    <w:p>
      <w:pPr>
        <w:spacing w:after="0" w:line="81" w:lineRule="exact"/>
        <w:rPr>
          <w:rFonts w:ascii="Arial" w:cs="Arial" w:eastAsia="Arial" w:hAnsi="Arial"/>
          <w:sz w:val="14"/>
          <w:szCs w:val="14"/>
          <w:color w:val="auto"/>
        </w:rPr>
      </w:pPr>
    </w:p>
    <w:p>
      <w:pPr>
        <w:ind w:left="1520" w:right="399" w:hanging="161"/>
        <w:spacing w:after="0" w:line="252" w:lineRule="auto"/>
        <w:tabs>
          <w:tab w:leader="none" w:pos="1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future agreements with third parties (i) in connection with clinical trials; (ii) to successfully manufacture our drug substances for preclinical use, for clinical trials and on a larger scale for commercial use, if approved; (iii) in connection with the commercialization of our product candidates (if approved) and any other approved products;</w:t>
      </w:r>
    </w:p>
    <w:p>
      <w:pPr>
        <w:spacing w:after="0" w:line="81" w:lineRule="exact"/>
        <w:rPr>
          <w:rFonts w:ascii="Arial" w:cs="Arial" w:eastAsia="Arial" w:hAnsi="Arial"/>
          <w:sz w:val="14"/>
          <w:szCs w:val="14"/>
          <w:color w:val="auto"/>
        </w:rPr>
      </w:pPr>
    </w:p>
    <w:p>
      <w:pPr>
        <w:ind w:left="1520" w:hanging="161"/>
        <w:spacing w:after="0"/>
        <w:tabs>
          <w:tab w:leader="none" w:pos="1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size and growth potential of the markets for our product candidates, and our ability to serve those markets;</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financial performance, including the expectation that we will continue to incur operating losses and negative cash flow;</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rate and degree of market acceptance of our product candidates, if approved;</w:t>
      </w:r>
    </w:p>
    <w:p>
      <w:pPr>
        <w:spacing w:after="0" w:line="112" w:lineRule="exact"/>
        <w:rPr>
          <w:rFonts w:ascii="Arial" w:cs="Arial" w:eastAsia="Arial" w:hAnsi="Arial"/>
          <w:sz w:val="14"/>
          <w:szCs w:val="14"/>
          <w:color w:val="auto"/>
        </w:rPr>
      </w:pPr>
    </w:p>
    <w:p>
      <w:pPr>
        <w:jc w:val="both"/>
        <w:ind w:left="1520" w:right="299" w:hanging="161"/>
        <w:spacing w:after="0" w:line="252" w:lineRule="auto"/>
        <w:tabs>
          <w:tab w:leader="none" w:pos="1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regulatory developments in the United States and foreign countries, including product approval requirements and pricing regulations by U.S. regulatory authorities (such as the Centers for Medicare &amp; Medicaid Services) and foreign regulatory authorities; and the outcome of discussions with such regulatory authorities regarding our clinical trial design;</w:t>
      </w:r>
    </w:p>
    <w:p>
      <w:pPr>
        <w:spacing w:after="0" w:line="81" w:lineRule="exact"/>
        <w:rPr>
          <w:rFonts w:ascii="Arial" w:cs="Arial" w:eastAsia="Arial" w:hAnsi="Arial"/>
          <w:sz w:val="14"/>
          <w:szCs w:val="14"/>
          <w:color w:val="auto"/>
        </w:rPr>
      </w:pPr>
    </w:p>
    <w:p>
      <w:pPr>
        <w:ind w:left="1520" w:hanging="161"/>
        <w:spacing w:after="0"/>
        <w:tabs>
          <w:tab w:leader="none" w:pos="1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ability to contract with third-party suppliers and manufacturers and their ability to perform adequately;</w:t>
      </w:r>
    </w:p>
    <w:p>
      <w:pPr>
        <w:spacing w:after="0" w:line="112" w:lineRule="exact"/>
        <w:rPr>
          <w:rFonts w:ascii="Arial" w:cs="Arial" w:eastAsia="Arial" w:hAnsi="Arial"/>
          <w:sz w:val="14"/>
          <w:szCs w:val="14"/>
          <w:color w:val="auto"/>
        </w:rPr>
      </w:pPr>
    </w:p>
    <w:p>
      <w:pPr>
        <w:ind w:left="1520" w:right="659" w:hanging="161"/>
        <w:spacing w:after="0" w:line="270" w:lineRule="auto"/>
        <w:tabs>
          <w:tab w:leader="none" w:pos="1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ability (or the ability of third parties with whom we contract) to produce our products or product candidates with advantages in turnaround times or manufacturing cost;</w:t>
      </w:r>
    </w:p>
    <w:p>
      <w:pPr>
        <w:spacing w:after="0" w:line="68" w:lineRule="exact"/>
        <w:rPr>
          <w:rFonts w:ascii="Arial" w:cs="Arial" w:eastAsia="Arial" w:hAnsi="Arial"/>
          <w:sz w:val="14"/>
          <w:szCs w:val="14"/>
          <w:color w:val="auto"/>
        </w:rPr>
      </w:pPr>
    </w:p>
    <w:p>
      <w:pPr>
        <w:ind w:left="1520" w:right="319" w:hanging="161"/>
        <w:spacing w:after="0" w:line="252" w:lineRule="auto"/>
        <w:tabs>
          <w:tab w:leader="none" w:pos="1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ability to deliver the deep, durable target inhibition—with favorable tolerability and safety profiles—necessary to maximize clinical benefit as a result of the unique ability of synthetic lethal targeting to spare normal cells, as well as the success of competing therapies that may become available;</w:t>
      </w:r>
    </w:p>
    <w:p>
      <w:pPr>
        <w:spacing w:after="0" w:line="81" w:lineRule="exact"/>
        <w:rPr>
          <w:rFonts w:ascii="Arial" w:cs="Arial" w:eastAsia="Arial" w:hAnsi="Arial"/>
          <w:sz w:val="14"/>
          <w:szCs w:val="14"/>
          <w:color w:val="auto"/>
        </w:rPr>
      </w:pPr>
    </w:p>
    <w:p>
      <w:pPr>
        <w:ind w:left="1520" w:hanging="161"/>
        <w:spacing w:after="0"/>
        <w:tabs>
          <w:tab w:leader="none" w:pos="1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ability to attract and retain key scientific or management personnel;</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impact of laws and regulations;</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developments relating to our competitors and industry;</w:t>
      </w:r>
    </w:p>
    <w:p>
      <w:pPr>
        <w:spacing w:after="0" w:line="112" w:lineRule="exact"/>
        <w:rPr>
          <w:rFonts w:ascii="Arial" w:cs="Arial" w:eastAsia="Arial" w:hAnsi="Arial"/>
          <w:sz w:val="14"/>
          <w:szCs w:val="14"/>
          <w:color w:val="auto"/>
        </w:rPr>
      </w:pPr>
    </w:p>
    <w:p>
      <w:pPr>
        <w:ind w:left="1520" w:right="319" w:hanging="161"/>
        <w:spacing w:after="0" w:line="270" w:lineRule="auto"/>
        <w:tabs>
          <w:tab w:leader="none" w:pos="1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impact of trade restrictions (such as sanctions or tariffs); regulatory requirements, legal actions, or enforcement; inflation rates; and inadequate funding for government agencies on our business, financial condition, and results of operations;</w:t>
      </w:r>
    </w:p>
    <w:p>
      <w:pPr>
        <w:spacing w:after="0" w:line="68" w:lineRule="exact"/>
        <w:rPr>
          <w:rFonts w:ascii="Arial" w:cs="Arial" w:eastAsia="Arial" w:hAnsi="Arial"/>
          <w:sz w:val="14"/>
          <w:szCs w:val="14"/>
          <w:color w:val="auto"/>
        </w:rPr>
      </w:pPr>
    </w:p>
    <w:p>
      <w:pPr>
        <w:ind w:left="1520" w:right="279" w:hanging="161"/>
        <w:spacing w:after="0" w:line="270" w:lineRule="auto"/>
        <w:tabs>
          <w:tab w:leader="none" w:pos="1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effect of public health crises on our business operations, including but not limited to our preclinical studies and clinical trials and any future studies or trials;</w:t>
      </w:r>
    </w:p>
    <w:p>
      <w:pPr>
        <w:spacing w:after="0" w:line="68" w:lineRule="exact"/>
        <w:rPr>
          <w:rFonts w:ascii="Arial" w:cs="Arial" w:eastAsia="Arial" w:hAnsi="Arial"/>
          <w:sz w:val="14"/>
          <w:szCs w:val="14"/>
          <w:color w:val="auto"/>
        </w:rPr>
      </w:pPr>
    </w:p>
    <w:p>
      <w:pPr>
        <w:ind w:left="1520" w:hanging="161"/>
        <w:spacing w:after="0"/>
        <w:tabs>
          <w:tab w:leader="none" w:pos="1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expected benefit of our drugs in patients as single agents and/or in combination;</w:t>
      </w:r>
    </w:p>
    <w:p>
      <w:pPr>
        <w:spacing w:after="0" w:line="112" w:lineRule="exact"/>
        <w:rPr>
          <w:rFonts w:ascii="Arial" w:cs="Arial" w:eastAsia="Arial" w:hAnsi="Arial"/>
          <w:sz w:val="14"/>
          <w:szCs w:val="14"/>
          <w:color w:val="auto"/>
        </w:rPr>
      </w:pPr>
    </w:p>
    <w:p>
      <w:pPr>
        <w:ind w:left="1520" w:right="519" w:hanging="161"/>
        <w:spacing w:after="0" w:line="270" w:lineRule="auto"/>
        <w:tabs>
          <w:tab w:leader="none" w:pos="1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potential of preclinical data to support clinical trial results, including (i) our belief that robust preclinical data for vopimetostat and RAS(ON) inhibitors support a potentially strong combination effect in clinical trials</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S-13</w:t>
      </w:r>
    </w:p>
    <w:p>
      <w:pPr>
        <w:sectPr>
          <w:pgSz w:w="11900" w:h="16838" w:orient="portrait"/>
          <w:cols w:equalWidth="0" w:num="1">
            <w:col w:w="10159"/>
          </w:cols>
          <w:pgMar w:left="300" w:top="385"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520" w:right="339"/>
        <w:spacing w:after="0" w:line="252" w:lineRule="auto"/>
        <w:rPr>
          <w:sz w:val="20"/>
          <w:szCs w:val="20"/>
          <w:color w:val="auto"/>
        </w:rPr>
      </w:pPr>
      <w:r>
        <w:rPr>
          <w:rFonts w:ascii="Arial" w:cs="Arial" w:eastAsia="Arial" w:hAnsi="Arial"/>
          <w:sz w:val="14"/>
          <w:szCs w:val="14"/>
          <w:color w:val="auto"/>
        </w:rPr>
        <w:t>of vopimetostat in combination with RAS inhibitors and (ii) our belief that strong preclinical data showing significant in vivo combination benefit could support potential clinical combinations of our PRMT5 inhibitors with CDK4/6 or MAT2A inhibitors, as well as other oncogene-targeted therapies;</w:t>
      </w:r>
    </w:p>
    <w:p>
      <w:pPr>
        <w:spacing w:after="0" w:line="81" w:lineRule="exact"/>
        <w:rPr>
          <w:sz w:val="20"/>
          <w:szCs w:val="20"/>
          <w:color w:val="auto"/>
        </w:rPr>
      </w:pPr>
    </w:p>
    <w:p>
      <w:pPr>
        <w:ind w:left="1520" w:hanging="161"/>
        <w:spacing w:after="0"/>
        <w:tabs>
          <w:tab w:leader="none" w:pos="1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potential benefits and development paths of our drugs as monotherapies and in combination with RAS inhibitors; and</w:t>
      </w:r>
    </w:p>
    <w:p>
      <w:pPr>
        <w:spacing w:after="0" w:line="112" w:lineRule="exact"/>
        <w:rPr>
          <w:rFonts w:ascii="Arial" w:cs="Arial" w:eastAsia="Arial" w:hAnsi="Arial"/>
          <w:sz w:val="14"/>
          <w:szCs w:val="14"/>
          <w:color w:val="auto"/>
        </w:rPr>
      </w:pPr>
    </w:p>
    <w:p>
      <w:pPr>
        <w:ind w:left="1520" w:right="259" w:hanging="161"/>
        <w:spacing w:after="0" w:line="252" w:lineRule="auto"/>
        <w:tabs>
          <w:tab w:leader="none" w:pos="1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risks and uncertainties, including those listed under the caption “Risk factors” in this prospectus supplement and in our Annual Report on Form 10-K for the year ended December 31, 2025 and our most recent Quarterly Report on Form 10-Q for the quarter ended March 31, 2026.</w:t>
      </w:r>
    </w:p>
    <w:p>
      <w:pPr>
        <w:spacing w:after="0" w:line="71" w:lineRule="exact"/>
        <w:rPr>
          <w:sz w:val="20"/>
          <w:szCs w:val="20"/>
          <w:color w:val="auto"/>
        </w:rPr>
      </w:pPr>
    </w:p>
    <w:p>
      <w:pPr>
        <w:ind w:left="1360" w:right="259"/>
        <w:spacing w:after="0" w:line="241" w:lineRule="auto"/>
        <w:rPr>
          <w:sz w:val="20"/>
          <w:szCs w:val="20"/>
          <w:color w:val="auto"/>
        </w:rPr>
      </w:pPr>
      <w:r>
        <w:rPr>
          <w:rFonts w:ascii="Arial" w:cs="Arial" w:eastAsia="Arial" w:hAnsi="Arial"/>
          <w:sz w:val="14"/>
          <w:szCs w:val="14"/>
          <w:color w:val="auto"/>
        </w:rPr>
        <w:t>These forward-looking statements are neither promises nor guarantees of future performance due to a variety of risks and uncertainties, many of which are beyond our control, which could cause actual results to differ materially from those indicated by these forward-looking statements, including, without limitation the risk factors and cautionary statements described in other documents that we file from time to time with the SEC, specifically under “Item 1A: Risk Factors” and elsewhere in our most recent Annual Report on Form 10-K for the period ended December 31, 2025 and our most recent Quarterly Report on Form 10-Q for the quarter ended March 31, 2026, and our Current Reports on Form 8-K, and in this prospectus supplement under the heading “Risk factors.”</w:t>
      </w:r>
    </w:p>
    <w:p>
      <w:pPr>
        <w:spacing w:after="0" w:line="91" w:lineRule="exact"/>
        <w:rPr>
          <w:sz w:val="20"/>
          <w:szCs w:val="20"/>
          <w:color w:val="auto"/>
        </w:rPr>
      </w:pPr>
    </w:p>
    <w:p>
      <w:pPr>
        <w:ind w:left="1360" w:right="519"/>
        <w:spacing w:after="0" w:line="270" w:lineRule="auto"/>
        <w:rPr>
          <w:sz w:val="20"/>
          <w:szCs w:val="20"/>
          <w:color w:val="auto"/>
        </w:rPr>
      </w:pPr>
      <w:r>
        <w:rPr>
          <w:rFonts w:ascii="Arial" w:cs="Arial" w:eastAsia="Arial" w:hAnsi="Arial"/>
          <w:sz w:val="14"/>
          <w:szCs w:val="14"/>
          <w:color w:val="auto"/>
        </w:rPr>
        <w:t>While we may elect to update forward-looking statements at some point in the future, we assume no obligation to update or revise any forward-looking statements except to the extent required by applicable law.</w:t>
      </w:r>
    </w:p>
    <w:p>
      <w:pPr>
        <w:spacing w:after="0" w:line="68" w:lineRule="exact"/>
        <w:rPr>
          <w:sz w:val="20"/>
          <w:szCs w:val="20"/>
          <w:color w:val="auto"/>
        </w:rPr>
      </w:pPr>
    </w:p>
    <w:p>
      <w:pPr>
        <w:ind w:left="1360" w:right="259"/>
        <w:spacing w:after="0"/>
        <w:rPr>
          <w:sz w:val="20"/>
          <w:szCs w:val="20"/>
          <w:color w:val="auto"/>
        </w:rPr>
      </w:pPr>
      <w:r>
        <w:rPr>
          <w:rFonts w:ascii="Arial" w:cs="Arial" w:eastAsia="Arial" w:hAnsi="Arial"/>
          <w:sz w:val="14"/>
          <w:szCs w:val="14"/>
          <w:color w:val="auto"/>
        </w:rPr>
        <w:t>This prospectus supplement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81" w:lineRule="exact"/>
        <w:rPr>
          <w:sz w:val="20"/>
          <w:szCs w:val="20"/>
          <w:color w:val="auto"/>
        </w:rPr>
      </w:pPr>
    </w:p>
    <w:p>
      <w:pPr>
        <w:ind w:left="1360" w:right="319"/>
        <w:spacing w:after="0" w:line="243"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S-14</w:t>
      </w:r>
    </w:p>
    <w:p>
      <w:pPr>
        <w:sectPr>
          <w:pgSz w:w="11900" w:h="16838" w:orient="portrait"/>
          <w:cols w:equalWidth="0" w:num="1">
            <w:col w:w="10159"/>
          </w:cols>
          <w:pgMar w:left="300" w:top="385"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2" w:lineRule="exact"/>
        <w:rPr>
          <w:sz w:val="20"/>
          <w:szCs w:val="20"/>
          <w:color w:val="auto"/>
        </w:rPr>
      </w:pPr>
    </w:p>
    <w:p>
      <w:pPr>
        <w:ind w:left="1360"/>
        <w:spacing w:after="0"/>
        <w:rPr>
          <w:sz w:val="20"/>
          <w:szCs w:val="20"/>
          <w:color w:val="auto"/>
        </w:rPr>
      </w:pPr>
      <w:r>
        <w:rPr>
          <w:rFonts w:ascii="Arial" w:cs="Arial" w:eastAsia="Arial" w:hAnsi="Arial"/>
          <w:sz w:val="25"/>
          <w:szCs w:val="25"/>
          <w:b w:val="1"/>
          <w:bCs w:val="1"/>
          <w:color w:val="auto"/>
        </w:rPr>
        <w:t>Use of proceeds</w:t>
      </w:r>
    </w:p>
    <w:p>
      <w:pPr>
        <w:spacing w:after="0" w:line="120" w:lineRule="exact"/>
        <w:rPr>
          <w:sz w:val="20"/>
          <w:szCs w:val="20"/>
          <w:color w:val="auto"/>
        </w:rPr>
      </w:pPr>
    </w:p>
    <w:p>
      <w:pPr>
        <w:ind w:left="1360" w:right="239"/>
        <w:spacing w:after="0" w:line="246" w:lineRule="auto"/>
        <w:rPr>
          <w:sz w:val="20"/>
          <w:szCs w:val="20"/>
          <w:color w:val="auto"/>
        </w:rPr>
      </w:pPr>
      <w:r>
        <w:rPr>
          <w:rFonts w:ascii="Arial" w:cs="Arial" w:eastAsia="Arial" w:hAnsi="Arial"/>
          <w:sz w:val="14"/>
          <w:szCs w:val="14"/>
          <w:color w:val="auto"/>
        </w:rPr>
        <w:t>We estimate that we will receive net proceeds from the sale of the shares of common stock that we are selling in this offering of approximately $566.5 million (or approximately $651.6 million if the underwriters exercise in full their option to purchase additional shares), after deducting the underwriting discounts and commissions and estimated offering expenses payable by us. We will receive nominal proceeds, if any, from the exercise of the pre-funded warrants.</w:t>
      </w:r>
    </w:p>
    <w:p>
      <w:pPr>
        <w:spacing w:after="0" w:line="86" w:lineRule="exact"/>
        <w:rPr>
          <w:sz w:val="20"/>
          <w:szCs w:val="20"/>
          <w:color w:val="auto"/>
        </w:rPr>
      </w:pPr>
    </w:p>
    <w:p>
      <w:pPr>
        <w:ind w:left="1360" w:right="299"/>
        <w:spacing w:after="0" w:line="243" w:lineRule="auto"/>
        <w:rPr>
          <w:sz w:val="20"/>
          <w:szCs w:val="20"/>
          <w:color w:val="auto"/>
        </w:rPr>
      </w:pPr>
      <w:r>
        <w:rPr>
          <w:rFonts w:ascii="Arial" w:cs="Arial" w:eastAsia="Arial" w:hAnsi="Arial"/>
          <w:sz w:val="14"/>
          <w:szCs w:val="14"/>
          <w:color w:val="auto"/>
        </w:rPr>
        <w:t>We intend to use the net proceeds from this offering for general corporate purposes, including research and development expenses, expenses relating to our pivotal trial and preparation for the potential commercialization of one or more of our product candidates, general and administrative expenses and capital expenditures. Based upon our current operating plan, we believe that the net proceeds from this offering, together with our existing cash, cash equivalents and investments, will enable us to fund our operating expenses and capital expenditure requirements into 2030.</w:t>
      </w:r>
    </w:p>
    <w:p>
      <w:pPr>
        <w:spacing w:after="0" w:line="88" w:lineRule="exact"/>
        <w:rPr>
          <w:sz w:val="20"/>
          <w:szCs w:val="20"/>
          <w:color w:val="auto"/>
        </w:rPr>
      </w:pPr>
    </w:p>
    <w:p>
      <w:pPr>
        <w:ind w:left="1360" w:right="359"/>
        <w:spacing w:after="0" w:line="239" w:lineRule="auto"/>
        <w:rPr>
          <w:sz w:val="20"/>
          <w:szCs w:val="20"/>
          <w:color w:val="auto"/>
        </w:rPr>
      </w:pPr>
      <w:r>
        <w:rPr>
          <w:rFonts w:ascii="Arial" w:cs="Arial" w:eastAsia="Arial" w:hAnsi="Arial"/>
          <w:sz w:val="14"/>
          <w:szCs w:val="14"/>
          <w:color w:val="auto"/>
        </w:rPr>
        <w:t>The expected use of the net proceeds from this offering represents our intentions based upon our current plans and business conditions, which could change in the future as our plans and business conditions evolve. The amounts and timing of our actual expenditures will depend on numerous factors, including the factors described under “Risk factors” in this prospectus supplement, the accompanying prospectus and in the documents incorporated by reference 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S-15</w:t>
      </w:r>
    </w:p>
    <w:p>
      <w:pPr>
        <w:sectPr>
          <w:pgSz w:w="11900" w:h="16838" w:orient="portrait"/>
          <w:cols w:equalWidth="0" w:num="1">
            <w:col w:w="10159"/>
          </w:cols>
          <w:pgMar w:left="300" w:top="385"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2" w:lineRule="exact"/>
        <w:rPr>
          <w:sz w:val="20"/>
          <w:szCs w:val="20"/>
          <w:color w:val="auto"/>
        </w:rPr>
      </w:pPr>
    </w:p>
    <w:p>
      <w:pPr>
        <w:ind w:left="1360"/>
        <w:spacing w:after="0"/>
        <w:rPr>
          <w:sz w:val="20"/>
          <w:szCs w:val="20"/>
          <w:color w:val="auto"/>
        </w:rPr>
      </w:pPr>
      <w:r>
        <w:rPr>
          <w:rFonts w:ascii="Arial" w:cs="Arial" w:eastAsia="Arial" w:hAnsi="Arial"/>
          <w:sz w:val="25"/>
          <w:szCs w:val="25"/>
          <w:b w:val="1"/>
          <w:bCs w:val="1"/>
          <w:color w:val="auto"/>
        </w:rPr>
        <w:t>Dividend policy</w:t>
      </w:r>
    </w:p>
    <w:p>
      <w:pPr>
        <w:spacing w:after="0" w:line="120" w:lineRule="exact"/>
        <w:rPr>
          <w:sz w:val="20"/>
          <w:szCs w:val="20"/>
          <w:color w:val="auto"/>
        </w:rPr>
      </w:pPr>
    </w:p>
    <w:p>
      <w:pPr>
        <w:ind w:left="1360" w:right="499"/>
        <w:spacing w:after="0" w:line="270" w:lineRule="auto"/>
        <w:rPr>
          <w:sz w:val="20"/>
          <w:szCs w:val="20"/>
          <w:color w:val="auto"/>
        </w:rPr>
      </w:pPr>
      <w:r>
        <w:rPr>
          <w:rFonts w:ascii="Arial" w:cs="Arial" w:eastAsia="Arial" w:hAnsi="Arial"/>
          <w:sz w:val="14"/>
          <w:szCs w:val="14"/>
          <w:color w:val="auto"/>
        </w:rPr>
        <w:t>We have never declared or paid cash dividends on our capital stock. We intend to retain all of our future earnings, if any, to finance the growth and development of our business. We do not intend to pay cash dividends to our stockholders in the foreseeable future.</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S-16</w:t>
      </w:r>
    </w:p>
    <w:p>
      <w:pPr>
        <w:sectPr>
          <w:pgSz w:w="11900" w:h="16838" w:orient="portrait"/>
          <w:cols w:equalWidth="0" w:num="1">
            <w:col w:w="10159"/>
          </w:cols>
          <w:pgMar w:left="300" w:top="385"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2" w:lineRule="exact"/>
        <w:rPr>
          <w:sz w:val="20"/>
          <w:szCs w:val="20"/>
          <w:color w:val="auto"/>
        </w:rPr>
      </w:pPr>
    </w:p>
    <w:p>
      <w:pPr>
        <w:ind w:left="1360"/>
        <w:spacing w:after="0"/>
        <w:rPr>
          <w:sz w:val="20"/>
          <w:szCs w:val="20"/>
          <w:color w:val="auto"/>
        </w:rPr>
      </w:pPr>
      <w:r>
        <w:rPr>
          <w:rFonts w:ascii="Arial" w:cs="Arial" w:eastAsia="Arial" w:hAnsi="Arial"/>
          <w:sz w:val="25"/>
          <w:szCs w:val="25"/>
          <w:b w:val="1"/>
          <w:bCs w:val="1"/>
          <w:color w:val="auto"/>
        </w:rPr>
        <w:t>Dilution</w:t>
      </w:r>
    </w:p>
    <w:p>
      <w:pPr>
        <w:spacing w:after="0" w:line="120" w:lineRule="exact"/>
        <w:rPr>
          <w:sz w:val="20"/>
          <w:szCs w:val="20"/>
          <w:color w:val="auto"/>
        </w:rPr>
      </w:pPr>
    </w:p>
    <w:p>
      <w:pPr>
        <w:ind w:left="1360" w:right="319"/>
        <w:spacing w:after="0" w:line="252" w:lineRule="auto"/>
        <w:rPr>
          <w:sz w:val="20"/>
          <w:szCs w:val="20"/>
          <w:color w:val="auto"/>
        </w:rPr>
      </w:pPr>
      <w:r>
        <w:rPr>
          <w:rFonts w:ascii="Arial" w:cs="Arial" w:eastAsia="Arial" w:hAnsi="Arial"/>
          <w:sz w:val="14"/>
          <w:szCs w:val="14"/>
          <w:color w:val="auto"/>
        </w:rPr>
        <w:t>If you invest in our common stock or pre-funded warrants in this offering, your ownership interest will be diluted to the extent of the difference between the public offering price per share of our common stock or pre-funded warrants in this offering and the as adjusted net tangible book value per share of our common stock immediately after this offering.</w:t>
      </w:r>
    </w:p>
    <w:p>
      <w:pPr>
        <w:spacing w:after="0" w:line="81" w:lineRule="exact"/>
        <w:rPr>
          <w:sz w:val="20"/>
          <w:szCs w:val="20"/>
          <w:color w:val="auto"/>
        </w:rPr>
      </w:pPr>
    </w:p>
    <w:p>
      <w:pPr>
        <w:ind w:left="1360" w:right="319"/>
        <w:spacing w:after="0" w:line="246" w:lineRule="auto"/>
        <w:rPr>
          <w:sz w:val="20"/>
          <w:szCs w:val="20"/>
          <w:color w:val="auto"/>
        </w:rPr>
      </w:pPr>
      <w:r>
        <w:rPr>
          <w:rFonts w:ascii="Arial" w:cs="Arial" w:eastAsia="Arial" w:hAnsi="Arial"/>
          <w:sz w:val="14"/>
          <w:szCs w:val="14"/>
          <w:color w:val="auto"/>
        </w:rPr>
        <w:t>The net tangible book value of our common stock as of March 31, 2026 was approximately $391.5 million, or approximately $2.72 per share of common stock based upon 144,162,543 shares outstanding. Net tangible book value per share is equal to our total tangible assets (total assets less intangible assets), less our total liabilities, divided by the total number of shares of common stock outstanding as of March 31, 2026.</w:t>
      </w:r>
    </w:p>
    <w:p>
      <w:pPr>
        <w:spacing w:after="0" w:line="86" w:lineRule="exact"/>
        <w:rPr>
          <w:sz w:val="20"/>
          <w:szCs w:val="20"/>
          <w:color w:val="auto"/>
        </w:rPr>
      </w:pPr>
    </w:p>
    <w:p>
      <w:pPr>
        <w:ind w:left="1360" w:right="239"/>
        <w:spacing w:after="0" w:line="252" w:lineRule="auto"/>
        <w:rPr>
          <w:sz w:val="20"/>
          <w:szCs w:val="20"/>
          <w:color w:val="auto"/>
        </w:rPr>
      </w:pPr>
      <w:r>
        <w:rPr>
          <w:rFonts w:ascii="Arial" w:cs="Arial" w:eastAsia="Arial" w:hAnsi="Arial"/>
          <w:sz w:val="14"/>
          <w:szCs w:val="14"/>
          <w:color w:val="auto"/>
        </w:rPr>
        <w:t>Net tangible book value dilution per share to investors participating in this offering represents the difference between the amount per share paid by purchasers of shares of common stock in this offering and the as adjusted net tangible book value per share of common stock immediately after completion of this offering.</w:t>
      </w:r>
    </w:p>
    <w:p>
      <w:pPr>
        <w:spacing w:after="0" w:line="71" w:lineRule="exact"/>
        <w:rPr>
          <w:sz w:val="20"/>
          <w:szCs w:val="20"/>
          <w:color w:val="auto"/>
        </w:rPr>
      </w:pPr>
    </w:p>
    <w:p>
      <w:pPr>
        <w:ind w:left="1360" w:right="239"/>
        <w:spacing w:after="0" w:line="239" w:lineRule="auto"/>
        <w:rPr>
          <w:sz w:val="20"/>
          <w:szCs w:val="20"/>
          <w:color w:val="auto"/>
        </w:rPr>
      </w:pPr>
      <w:r>
        <w:rPr>
          <w:rFonts w:ascii="Arial" w:cs="Arial" w:eastAsia="Arial" w:hAnsi="Arial"/>
          <w:sz w:val="14"/>
          <w:szCs w:val="14"/>
          <w:color w:val="auto"/>
        </w:rPr>
        <w:t>After giving effect to the sale by us of shares of our common stock in this offering, at the offering price of $30.00 per share and pre-funded warrants to purchase shares of common stock at the offering price of $29.999 per pre-funded warrant (which equals the public offering price of the common stock at which shares of our common stock are being sold to the public in this offering less the $0.001 per share exercise price of each such pre-funded warrant) (excluding shares of common stock issuable upon exercise of the pre-funded warrants, any proceeds which may be received upon exercise of the pre-funded warrants or any resulting accounting associated with the exercise of the pre-funded warrants), and after deducting the underwriting discounts and commissions and estimated offering expenses payable by us, our as adjusted net tangible book value as of March 31, 2026 would have been approximately $958.0 million, or $5.90 per share of our common stock. This represents an immediate increase in net tangible book value of $3.18 per share to our existing stockholders and an immediate dilution in as adjusted net tangible book value of $24.10 per share to new investors in this offering.</w:t>
      </w:r>
    </w:p>
    <w:p>
      <w:pPr>
        <w:spacing w:after="0" w:line="90"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The following table illustrates this calculation on a per share basis:</w:t>
      </w:r>
    </w:p>
    <w:p>
      <w:pPr>
        <w:spacing w:after="0" w:line="107" w:lineRule="exact"/>
        <w:rPr>
          <w:sz w:val="20"/>
          <w:szCs w:val="20"/>
          <w:color w:val="auto"/>
        </w:rPr>
      </w:pPr>
    </w:p>
    <w:tbl>
      <w:tblPr>
        <w:tblLayout w:type="fixed"/>
        <w:tblInd w:w="136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Offering price per share</w:t>
            </w:r>
          </w:p>
        </w:tc>
        <w:tc>
          <w:tcPr>
            <w:tcW w:w="20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1"/>
              </w:rPr>
              <w:t>30.00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tcPr>
          <w:p>
            <w:pPr>
              <w:ind w:left="260"/>
              <w:spacing w:after="0" w:line="157" w:lineRule="exact"/>
              <w:rPr>
                <w:sz w:val="20"/>
                <w:szCs w:val="20"/>
                <w:color w:val="auto"/>
              </w:rPr>
            </w:pPr>
            <w:r>
              <w:rPr>
                <w:rFonts w:ascii="Arial" w:cs="Arial" w:eastAsia="Arial" w:hAnsi="Arial"/>
                <w:sz w:val="14"/>
                <w:szCs w:val="14"/>
                <w:color w:val="auto"/>
              </w:rPr>
              <w:t>Net tangible book value per share as of March 31, 2026</w:t>
            </w:r>
          </w:p>
        </w:tc>
        <w:tc>
          <w:tcPr>
            <w:tcW w:w="1940" w:type="dxa"/>
            <w:vAlign w:val="bottom"/>
            <w:gridSpan w:val="3"/>
          </w:tcPr>
          <w:p>
            <w:pPr>
              <w:jc w:val="right"/>
              <w:ind w:right="280"/>
              <w:spacing w:after="0" w:line="157" w:lineRule="exact"/>
              <w:rPr>
                <w:sz w:val="20"/>
                <w:szCs w:val="20"/>
                <w:color w:val="auto"/>
              </w:rPr>
            </w:pPr>
            <w:r>
              <w:rPr>
                <w:rFonts w:ascii="Arial" w:cs="Arial" w:eastAsia="Arial" w:hAnsi="Arial"/>
                <w:sz w:val="14"/>
                <w:szCs w:val="14"/>
                <w:color w:val="auto"/>
              </w:rPr>
              <w:t>$2.72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Increase in net tangible book value per share attributable to this offering</w:t>
            </w:r>
          </w:p>
        </w:tc>
        <w:tc>
          <w:tcPr>
            <w:tcW w:w="1940" w:type="dxa"/>
            <w:vAlign w:val="bottom"/>
            <w:gridSpan w:val="3"/>
            <w:shd w:val="clear" w:color="auto" w:fill="CCEEFF"/>
          </w:tcPr>
          <w:p>
            <w:pPr>
              <w:jc w:val="right"/>
              <w:ind w:right="280"/>
              <w:spacing w:after="0" w:line="157"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3.18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140" w:type="dxa"/>
            <w:vAlign w:val="bottom"/>
            <w:gridSpan w:val="2"/>
          </w:tcPr>
          <w:p>
            <w:pPr>
              <w:spacing w:after="0"/>
              <w:rPr>
                <w:sz w:val="20"/>
                <w:szCs w:val="20"/>
                <w:color w:val="auto"/>
              </w:rPr>
            </w:pPr>
            <w:r>
              <w:rPr>
                <w:rFonts w:ascii="Arial" w:cs="Arial" w:eastAsia="Arial" w:hAnsi="Arial"/>
                <w:sz w:val="14"/>
                <w:szCs w:val="14"/>
                <w:color w:val="auto"/>
              </w:rPr>
              <w:t>As adjusted net tangible book value per share after giving effect to this offering</w:t>
            </w:r>
          </w:p>
        </w:tc>
        <w:tc>
          <w:tcPr>
            <w:tcW w:w="1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61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Dilution in net tangible book value per share to new investors in this offering</w:t>
            </w:r>
          </w:p>
        </w:tc>
        <w:tc>
          <w:tcPr>
            <w:tcW w:w="1940" w:type="dxa"/>
            <w:vAlign w:val="bottom"/>
            <w:gridSpan w:val="3"/>
            <w:shd w:val="clear" w:color="auto" w:fill="CCEEFF"/>
          </w:tcPr>
          <w:p>
            <w:pPr>
              <w:spacing w:after="0"/>
              <w:rPr>
                <w:sz w:val="13"/>
                <w:szCs w:val="13"/>
                <w:color w:val="auto"/>
              </w:rPr>
            </w:pPr>
          </w:p>
        </w:tc>
        <w:tc>
          <w:tcPr>
            <w:tcW w:w="1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w w:val="91"/>
              </w:rPr>
              <w:t>24.10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100330</wp:posOffset>
            </wp:positionV>
            <wp:extent cx="541528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15280" cy="6985"/>
                    </a:xfrm>
                    <a:prstGeom prst="rect">
                      <a:avLst/>
                    </a:prstGeom>
                    <a:noFill/>
                  </pic:spPr>
                </pic:pic>
              </a:graphicData>
            </a:graphic>
          </wp:anchor>
        </w:drawing>
      </w:r>
    </w:p>
    <w:p>
      <w:pPr>
        <w:spacing w:after="0" w:line="238" w:lineRule="exact"/>
        <w:rPr>
          <w:sz w:val="20"/>
          <w:szCs w:val="20"/>
          <w:color w:val="auto"/>
        </w:rPr>
      </w:pPr>
    </w:p>
    <w:p>
      <w:pPr>
        <w:ind w:left="1360" w:right="279"/>
        <w:spacing w:after="0" w:line="246" w:lineRule="auto"/>
        <w:rPr>
          <w:sz w:val="20"/>
          <w:szCs w:val="20"/>
          <w:color w:val="auto"/>
        </w:rPr>
      </w:pPr>
      <w:r>
        <w:rPr>
          <w:rFonts w:ascii="Arial" w:cs="Arial" w:eastAsia="Arial" w:hAnsi="Arial"/>
          <w:sz w:val="14"/>
          <w:szCs w:val="14"/>
          <w:color w:val="auto"/>
        </w:rPr>
        <w:t>Assuming the pre-funded warrants were immediately and fully exercised, this would result in an as adjusted net tangible book value, after giving effect to this offering and pre-funded warrant exercise, of $5.84 per share. This represents an increase in net tangible book value of $3.12 per share to existing stockholders and dilution in net tangible book value per share of $24.16 to investors participating in this offering.</w:t>
      </w:r>
    </w:p>
    <w:p>
      <w:pPr>
        <w:spacing w:after="0" w:line="86" w:lineRule="exact"/>
        <w:rPr>
          <w:sz w:val="20"/>
          <w:szCs w:val="20"/>
          <w:color w:val="auto"/>
        </w:rPr>
      </w:pPr>
    </w:p>
    <w:p>
      <w:pPr>
        <w:jc w:val="both"/>
        <w:ind w:left="1360" w:right="319"/>
        <w:spacing w:after="0" w:line="246" w:lineRule="auto"/>
        <w:rPr>
          <w:sz w:val="20"/>
          <w:szCs w:val="20"/>
          <w:color w:val="auto"/>
        </w:rPr>
      </w:pPr>
      <w:r>
        <w:rPr>
          <w:rFonts w:ascii="Arial" w:cs="Arial" w:eastAsia="Arial" w:hAnsi="Arial"/>
          <w:sz w:val="14"/>
          <w:szCs w:val="14"/>
          <w:color w:val="auto"/>
        </w:rPr>
        <w:t>Assuming the underwriters exercise their option to purchase 3,000,009 additional shares of our common stock in full at the public offering price of $30.00 per share, the as adjusted net tangible book value will increase to $6.30 per share, representing an immediate increase in net tangible book value of $3.58 per share of our common stock to existing stockholders and an immediate dilution of $23.70 per share to purchasers of our common stock in this offering.</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S-17</w:t>
      </w:r>
    </w:p>
    <w:p>
      <w:pPr>
        <w:sectPr>
          <w:pgSz w:w="11900" w:h="16838" w:orient="portrait"/>
          <w:cols w:equalWidth="0" w:num="1">
            <w:col w:w="10159"/>
          </w:cols>
          <w:pgMar w:left="300" w:top="385"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70" w:lineRule="auto"/>
        <w:rPr>
          <w:sz w:val="20"/>
          <w:szCs w:val="20"/>
          <w:color w:val="auto"/>
        </w:rPr>
      </w:pPr>
      <w:r>
        <w:rPr>
          <w:rFonts w:ascii="Arial" w:cs="Arial" w:eastAsia="Arial" w:hAnsi="Arial"/>
          <w:sz w:val="14"/>
          <w:szCs w:val="14"/>
          <w:color w:val="auto"/>
        </w:rPr>
        <w:t>The information above is based upon 144,162,543 shares of our common stock outstanding as of March 31, 2026. The information above excludes:</w:t>
      </w:r>
    </w:p>
    <w:p>
      <w:pPr>
        <w:spacing w:after="0" w:line="68" w:lineRule="exact"/>
        <w:rPr>
          <w:sz w:val="20"/>
          <w:szCs w:val="20"/>
          <w:color w:val="auto"/>
        </w:rPr>
      </w:pPr>
    </w:p>
    <w:p>
      <w:pPr>
        <w:ind w:left="1520" w:right="639" w:hanging="161"/>
        <w:spacing w:after="0" w:line="270" w:lineRule="auto"/>
        <w:tabs>
          <w:tab w:leader="none" w:pos="1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24,100,505 shares of common stock issuable upon the exercise of stock options outstanding as of March 31, 2026, at a weighted average exercise price of $7.91 per share;</w:t>
      </w:r>
    </w:p>
    <w:p>
      <w:pPr>
        <w:spacing w:after="0" w:line="68" w:lineRule="exact"/>
        <w:rPr>
          <w:rFonts w:ascii="Arial" w:cs="Arial" w:eastAsia="Arial" w:hAnsi="Arial"/>
          <w:sz w:val="14"/>
          <w:szCs w:val="14"/>
          <w:color w:val="auto"/>
        </w:rPr>
      </w:pPr>
    </w:p>
    <w:p>
      <w:pPr>
        <w:ind w:left="1520" w:hanging="161"/>
        <w:spacing w:after="0"/>
        <w:tabs>
          <w:tab w:leader="none" w:pos="1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1,881,055 shares of common stock issuable upon the vesting of restricted stock units as of March 31, 2026;</w:t>
      </w:r>
    </w:p>
    <w:p>
      <w:pPr>
        <w:spacing w:after="0" w:line="112" w:lineRule="exact"/>
        <w:rPr>
          <w:rFonts w:ascii="Arial" w:cs="Arial" w:eastAsia="Arial" w:hAnsi="Arial"/>
          <w:sz w:val="14"/>
          <w:szCs w:val="14"/>
          <w:color w:val="auto"/>
        </w:rPr>
      </w:pPr>
    </w:p>
    <w:p>
      <w:pPr>
        <w:ind w:left="1520" w:right="419" w:hanging="161"/>
        <w:spacing w:after="0" w:line="270" w:lineRule="auto"/>
        <w:tabs>
          <w:tab w:leader="none" w:pos="1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8,558,351 shares of common stock available for future issuance under the 2021 Plan as of March 31, 2026, as well as any automatic increases in the number of shares of common stock reserved for issuance under the 2021 Plan;</w:t>
      </w:r>
    </w:p>
    <w:p>
      <w:pPr>
        <w:spacing w:after="0" w:line="68" w:lineRule="exact"/>
        <w:rPr>
          <w:rFonts w:ascii="Arial" w:cs="Arial" w:eastAsia="Arial" w:hAnsi="Arial"/>
          <w:sz w:val="14"/>
          <w:szCs w:val="14"/>
          <w:color w:val="auto"/>
        </w:rPr>
      </w:pPr>
    </w:p>
    <w:p>
      <w:pPr>
        <w:ind w:left="1520" w:right="679" w:hanging="161"/>
        <w:spacing w:after="0" w:line="270" w:lineRule="auto"/>
        <w:tabs>
          <w:tab w:leader="none" w:pos="1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4,383,122 shares of common stock available for future issuance under the ESPP as of March 31, 2026, as well as any automatic increases in the number of shares of common stock reserved for issuance under the ESPP;</w:t>
      </w:r>
    </w:p>
    <w:p>
      <w:pPr>
        <w:spacing w:after="0" w:line="68" w:lineRule="exact"/>
        <w:rPr>
          <w:rFonts w:ascii="Arial" w:cs="Arial" w:eastAsia="Arial" w:hAnsi="Arial"/>
          <w:sz w:val="14"/>
          <w:szCs w:val="14"/>
          <w:color w:val="auto"/>
        </w:rPr>
      </w:pPr>
    </w:p>
    <w:p>
      <w:pPr>
        <w:ind w:left="1520" w:hanging="161"/>
        <w:spacing w:after="0"/>
        <w:tabs>
          <w:tab w:leader="none" w:pos="1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1,767,162 shares of common stock available for future issuance under the 2023 Inducement Plan as of March 31, 2026;</w:t>
      </w:r>
    </w:p>
    <w:p>
      <w:pPr>
        <w:spacing w:after="0" w:line="112" w:lineRule="exact"/>
        <w:rPr>
          <w:rFonts w:ascii="Arial" w:cs="Arial" w:eastAsia="Arial" w:hAnsi="Arial"/>
          <w:sz w:val="14"/>
          <w:szCs w:val="14"/>
          <w:color w:val="auto"/>
        </w:rPr>
      </w:pPr>
    </w:p>
    <w:p>
      <w:pPr>
        <w:ind w:left="1520" w:right="499" w:hanging="161"/>
        <w:spacing w:after="0" w:line="270" w:lineRule="auto"/>
        <w:tabs>
          <w:tab w:leader="none" w:pos="1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1,358,620 shares of our common stock issuable upon the exercise of stock options granted subsequent to March 31, 2026, through June 5, 2026 at a weighted-average exercise price of $21.40 per share;</w:t>
      </w:r>
    </w:p>
    <w:p>
      <w:pPr>
        <w:spacing w:after="0" w:line="68" w:lineRule="exact"/>
        <w:rPr>
          <w:rFonts w:ascii="Arial" w:cs="Arial" w:eastAsia="Arial" w:hAnsi="Arial"/>
          <w:sz w:val="14"/>
          <w:szCs w:val="14"/>
          <w:color w:val="auto"/>
        </w:rPr>
      </w:pPr>
    </w:p>
    <w:p>
      <w:pPr>
        <w:ind w:left="1520" w:right="859" w:hanging="161"/>
        <w:spacing w:after="0" w:line="270" w:lineRule="auto"/>
        <w:tabs>
          <w:tab w:leader="none" w:pos="1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248,720 shares of our common stock issuable upon the vesting and settlement of restricted stock units granted subsequent to March 31, 2026, through June 5, 2026;</w:t>
      </w:r>
    </w:p>
    <w:p>
      <w:pPr>
        <w:spacing w:after="0" w:line="68" w:lineRule="exact"/>
        <w:rPr>
          <w:rFonts w:ascii="Arial" w:cs="Arial" w:eastAsia="Arial" w:hAnsi="Arial"/>
          <w:sz w:val="14"/>
          <w:szCs w:val="14"/>
          <w:color w:val="auto"/>
        </w:rPr>
      </w:pPr>
    </w:p>
    <w:p>
      <w:pPr>
        <w:ind w:left="1520" w:right="439" w:hanging="161"/>
        <w:spacing w:after="0" w:line="270" w:lineRule="auto"/>
        <w:tabs>
          <w:tab w:leader="none" w:pos="1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3,226,458 shares of common stock issuable upon the exercise of the pre-funded warrants outstanding as of March 31, 2026, with an exercise price of $0.001 per pre-funded warrant; and</w:t>
      </w:r>
    </w:p>
    <w:p>
      <w:pPr>
        <w:spacing w:after="0" w:line="68" w:lineRule="exact"/>
        <w:rPr>
          <w:rFonts w:ascii="Arial" w:cs="Arial" w:eastAsia="Arial" w:hAnsi="Arial"/>
          <w:sz w:val="14"/>
          <w:szCs w:val="14"/>
          <w:color w:val="auto"/>
        </w:rPr>
      </w:pPr>
    </w:p>
    <w:p>
      <w:pPr>
        <w:ind w:left="1520" w:hanging="161"/>
        <w:spacing w:after="0"/>
        <w:tabs>
          <w:tab w:leader="none" w:pos="1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1,833,395 shares of common stock issuable upon exercise of the pre-funded warrants issued in this offering.</w:t>
      </w:r>
    </w:p>
    <w:p>
      <w:pPr>
        <w:spacing w:after="0" w:line="102" w:lineRule="exact"/>
        <w:rPr>
          <w:sz w:val="20"/>
          <w:szCs w:val="20"/>
          <w:color w:val="auto"/>
        </w:rPr>
      </w:pPr>
    </w:p>
    <w:p>
      <w:pPr>
        <w:ind w:left="1360" w:right="299"/>
        <w:spacing w:after="0" w:line="246" w:lineRule="auto"/>
        <w:rPr>
          <w:sz w:val="20"/>
          <w:szCs w:val="20"/>
          <w:color w:val="auto"/>
        </w:rPr>
      </w:pPr>
      <w:r>
        <w:rPr>
          <w:rFonts w:ascii="Arial" w:cs="Arial" w:eastAsia="Arial" w:hAnsi="Arial"/>
          <w:sz w:val="14"/>
          <w:szCs w:val="14"/>
          <w:color w:val="auto"/>
        </w:rPr>
        <w:t>Unless otherwise indicated, all information in this prospectus supplement assumes no exercise of the pre-funded warrants we are offering in lieu of shares of our common stock to certain investors, outstanding options, restricted stock units or pre-funded warrants described above after March 31, 2026 and that the underwriters do not exercise their option to purchase up to 3,000,009 of additional shares of our common stock.</w:t>
      </w:r>
    </w:p>
    <w:p>
      <w:pPr>
        <w:spacing w:after="0" w:line="86" w:lineRule="exact"/>
        <w:rPr>
          <w:sz w:val="20"/>
          <w:szCs w:val="20"/>
          <w:color w:val="auto"/>
        </w:rPr>
      </w:pPr>
    </w:p>
    <w:p>
      <w:pPr>
        <w:jc w:val="both"/>
        <w:ind w:left="1360" w:right="419"/>
        <w:spacing w:after="0" w:line="241" w:lineRule="auto"/>
        <w:rPr>
          <w:sz w:val="20"/>
          <w:szCs w:val="20"/>
          <w:color w:val="auto"/>
        </w:rPr>
      </w:pPr>
      <w:r>
        <w:rPr>
          <w:rFonts w:ascii="Arial" w:cs="Arial" w:eastAsia="Arial" w:hAnsi="Arial"/>
          <w:sz w:val="14"/>
          <w:szCs w:val="14"/>
          <w:color w:val="auto"/>
        </w:rPr>
        <w:t>In addition, we may choose to raise additional capital in the future through the sale of equity or convertible debt securities due to market conditions or strategic considerations, even if we believe we have sufficient funds for our current or future operating plans. To the extent that any of our outstanding options are exercised, shares of common stock are issued upon the vesting and settlement of our restricted stock units outstanding, new equity awards are granted under our equity incentive plans, additional shares of common stock are issued pursuant to the Sales Agreement with Leerink Partners LLC or we otherwise issue additional shares of common stock or other equity or convertible debt securities in the future, there may be further dilution to investors participating in this offering.</w:t>
      </w:r>
    </w:p>
    <w:p>
      <w:pPr>
        <w:spacing w:after="0" w:line="9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S-18</w:t>
      </w:r>
    </w:p>
    <w:p>
      <w:pPr>
        <w:sectPr>
          <w:pgSz w:w="11900" w:h="16838" w:orient="portrait"/>
          <w:cols w:equalWidth="0" w:num="1">
            <w:col w:w="10159"/>
          </w:cols>
          <w:pgMar w:left="300" w:top="385"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0"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Description of capital stock</w:t>
      </w:r>
    </w:p>
    <w:p>
      <w:pPr>
        <w:spacing w:after="0" w:line="127" w:lineRule="exact"/>
        <w:rPr>
          <w:sz w:val="20"/>
          <w:szCs w:val="20"/>
          <w:color w:val="auto"/>
        </w:rPr>
      </w:pPr>
    </w:p>
    <w:p>
      <w:pPr>
        <w:ind w:left="1360" w:right="259"/>
        <w:spacing w:after="0"/>
        <w:rPr>
          <w:sz w:val="20"/>
          <w:szCs w:val="20"/>
          <w:color w:val="auto"/>
        </w:rPr>
      </w:pPr>
      <w:r>
        <w:rPr>
          <w:rFonts w:ascii="Arial" w:cs="Arial" w:eastAsia="Arial" w:hAnsi="Arial"/>
          <w:sz w:val="14"/>
          <w:szCs w:val="14"/>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Second Amended and Restated Certificate of Incorporation, as amended from time to time, or certificate of incorporation, and our Amended and Restated Bylaws, as amended from time to time, or bylaws, which are exhibits to the registration statement of which this prospectus forms a part, and by applicable law. The terms of our common stock and preferred stock may also be affected by Delaware law.</w:t>
      </w:r>
    </w:p>
    <w:p>
      <w:pPr>
        <w:spacing w:after="0" w:line="199"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General</w:t>
      </w:r>
    </w:p>
    <w:p>
      <w:pPr>
        <w:spacing w:after="0" w:line="105" w:lineRule="exact"/>
        <w:rPr>
          <w:sz w:val="20"/>
          <w:szCs w:val="20"/>
          <w:color w:val="auto"/>
        </w:rPr>
      </w:pPr>
    </w:p>
    <w:p>
      <w:pPr>
        <w:ind w:left="1360" w:right="239"/>
        <w:spacing w:after="0" w:line="270" w:lineRule="auto"/>
        <w:rPr>
          <w:sz w:val="20"/>
          <w:szCs w:val="20"/>
          <w:color w:val="auto"/>
        </w:rPr>
      </w:pPr>
      <w:r>
        <w:rPr>
          <w:rFonts w:ascii="Arial" w:cs="Arial" w:eastAsia="Arial" w:hAnsi="Arial"/>
          <w:sz w:val="14"/>
          <w:szCs w:val="14"/>
          <w:color w:val="auto"/>
        </w:rPr>
        <w:t>Our certificate of incorporation authorizes the issuance of 410,000,000 shares, consisting of 400,000,000 shares of common stock, $0.001 par value per share, and 10,000,000 shares of preferred stock, $0.001 par value, all of which shares of preferred stock are undesignated.</w:t>
      </w:r>
    </w:p>
    <w:p>
      <w:pPr>
        <w:spacing w:after="0" w:line="178"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Common stock</w:t>
      </w:r>
    </w:p>
    <w:p>
      <w:pPr>
        <w:spacing w:after="0" w:line="105"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Our certificate of incorporation provides the following with respect to the rights, powers, preferences and privileges of the common stock.</w:t>
      </w:r>
    </w:p>
    <w:p>
      <w:pPr>
        <w:spacing w:after="0" w:line="112" w:lineRule="exact"/>
        <w:rPr>
          <w:sz w:val="20"/>
          <w:szCs w:val="20"/>
          <w:color w:val="auto"/>
        </w:rPr>
      </w:pPr>
    </w:p>
    <w:p>
      <w:pPr>
        <w:ind w:left="1360" w:right="499"/>
        <w:spacing w:after="0" w:line="252" w:lineRule="auto"/>
        <w:rPr>
          <w:sz w:val="20"/>
          <w:szCs w:val="20"/>
          <w:color w:val="auto"/>
        </w:rPr>
      </w:pPr>
      <w:r>
        <w:rPr>
          <w:rFonts w:ascii="Arial" w:cs="Arial" w:eastAsia="Arial" w:hAnsi="Arial"/>
          <w:sz w:val="14"/>
          <w:szCs w:val="14"/>
          <w:i w:val="1"/>
          <w:iCs w:val="1"/>
          <w:color w:val="auto"/>
        </w:rPr>
        <w:t xml:space="preserve">Voting Power. </w:t>
      </w:r>
      <w:r>
        <w:rPr>
          <w:rFonts w:ascii="Arial" w:cs="Arial" w:eastAsia="Arial" w:hAnsi="Arial"/>
          <w:sz w:val="14"/>
          <w:szCs w:val="14"/>
          <w:color w:val="auto"/>
        </w:rPr>
        <w:t>Except as otherwise required by law or as otherwise provided in any certificate of designation for any series of preferred</w:t>
      </w:r>
      <w:r>
        <w:rPr>
          <w:rFonts w:ascii="Arial" w:cs="Arial" w:eastAsia="Arial" w:hAnsi="Arial"/>
          <w:sz w:val="14"/>
          <w:szCs w:val="14"/>
          <w:i w:val="1"/>
          <w:iCs w:val="1"/>
          <w:color w:val="auto"/>
        </w:rPr>
        <w:t xml:space="preserve"> </w:t>
      </w:r>
      <w:r>
        <w:rPr>
          <w:rFonts w:ascii="Arial" w:cs="Arial" w:eastAsia="Arial" w:hAnsi="Arial"/>
          <w:sz w:val="14"/>
          <w:szCs w:val="14"/>
          <w:color w:val="auto"/>
        </w:rPr>
        <w:t>stock, the holders of common stock possess all voting power for the election of Tango’s directors and all other matters requiring stockholder action. Holders of common stock are entitled to one vote per share on matters to be voted on by stockholders.</w:t>
      </w:r>
    </w:p>
    <w:p>
      <w:pPr>
        <w:spacing w:after="0" w:line="71" w:lineRule="exact"/>
        <w:rPr>
          <w:sz w:val="20"/>
          <w:szCs w:val="20"/>
          <w:color w:val="auto"/>
        </w:rPr>
      </w:pPr>
    </w:p>
    <w:p>
      <w:pPr>
        <w:jc w:val="both"/>
        <w:ind w:left="1360" w:right="239"/>
        <w:spacing w:after="0" w:line="281" w:lineRule="auto"/>
        <w:rPr>
          <w:sz w:val="20"/>
          <w:szCs w:val="20"/>
          <w:color w:val="auto"/>
        </w:rPr>
      </w:pPr>
      <w:r>
        <w:rPr>
          <w:rFonts w:ascii="Arial" w:cs="Arial" w:eastAsia="Arial" w:hAnsi="Arial"/>
          <w:sz w:val="13"/>
          <w:szCs w:val="13"/>
          <w:i w:val="1"/>
          <w:iCs w:val="1"/>
          <w:color w:val="auto"/>
        </w:rPr>
        <w:t xml:space="preserve">Dividends. </w:t>
      </w:r>
      <w:r>
        <w:rPr>
          <w:rFonts w:ascii="Arial" w:cs="Arial" w:eastAsia="Arial" w:hAnsi="Arial"/>
          <w:sz w:val="13"/>
          <w:szCs w:val="13"/>
          <w:color w:val="auto"/>
        </w:rPr>
        <w:t>Holders of common stock will be entitled to receive such dividends, if any, as may be declared from time to time by our board of</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Liquidation, Dissolution and Winding Up. </w:t>
      </w:r>
      <w:r>
        <w:rPr>
          <w:rFonts w:ascii="Arial" w:cs="Arial" w:eastAsia="Arial" w:hAnsi="Arial"/>
          <w:sz w:val="14"/>
          <w:szCs w:val="14"/>
          <w:color w:val="auto"/>
        </w:rPr>
        <w:t>In the event of Tango’s voluntary or involuntary liquidation, dissolution, distribution of assets</w:t>
      </w:r>
    </w:p>
    <w:p>
      <w:pPr>
        <w:spacing w:after="0" w:line="11" w:lineRule="exact"/>
        <w:rPr>
          <w:sz w:val="20"/>
          <w:szCs w:val="20"/>
          <w:color w:val="auto"/>
        </w:rPr>
      </w:pPr>
    </w:p>
    <w:p>
      <w:pPr>
        <w:ind w:left="1360" w:right="359"/>
        <w:spacing w:after="0" w:line="249" w:lineRule="auto"/>
        <w:rPr>
          <w:sz w:val="20"/>
          <w:szCs w:val="20"/>
          <w:color w:val="auto"/>
        </w:rPr>
      </w:pPr>
      <w:r>
        <w:rPr>
          <w:rFonts w:ascii="Arial" w:cs="Arial" w:eastAsia="Arial" w:hAnsi="Arial"/>
          <w:sz w:val="14"/>
          <w:szCs w:val="14"/>
          <w:color w:val="auto"/>
        </w:rPr>
        <w:t>or winding-up, the holders of the common stock will be entitled to receive an equal amount per share of all of Tango’s assets of whatever kind available for distribution to stockholders, after the rights of the holders of the preferred stock have been satisfied.</w:t>
      </w:r>
    </w:p>
    <w:p>
      <w:pPr>
        <w:spacing w:after="0" w:line="83" w:lineRule="exact"/>
        <w:rPr>
          <w:sz w:val="20"/>
          <w:szCs w:val="20"/>
          <w:color w:val="auto"/>
        </w:rPr>
      </w:pPr>
    </w:p>
    <w:p>
      <w:pPr>
        <w:ind w:left="1360" w:right="399"/>
        <w:spacing w:after="0" w:line="270" w:lineRule="auto"/>
        <w:rPr>
          <w:sz w:val="20"/>
          <w:szCs w:val="20"/>
          <w:color w:val="auto"/>
        </w:rPr>
      </w:pPr>
      <w:r>
        <w:rPr>
          <w:rFonts w:ascii="Arial" w:cs="Arial" w:eastAsia="Arial" w:hAnsi="Arial"/>
          <w:sz w:val="14"/>
          <w:szCs w:val="14"/>
          <w:i w:val="1"/>
          <w:iCs w:val="1"/>
          <w:color w:val="auto"/>
        </w:rPr>
        <w:t xml:space="preserve">Preemptive or Other Rights. </w:t>
      </w:r>
      <w:r>
        <w:rPr>
          <w:rFonts w:ascii="Arial" w:cs="Arial" w:eastAsia="Arial" w:hAnsi="Arial"/>
          <w:sz w:val="14"/>
          <w:szCs w:val="14"/>
          <w:color w:val="auto"/>
        </w:rPr>
        <w:t>Our common stock has no preemptive rights, conversion rights or other subscription rights or redemption or</w:t>
      </w:r>
      <w:r>
        <w:rPr>
          <w:rFonts w:ascii="Arial" w:cs="Arial" w:eastAsia="Arial" w:hAnsi="Arial"/>
          <w:sz w:val="14"/>
          <w:szCs w:val="14"/>
          <w:i w:val="1"/>
          <w:iCs w:val="1"/>
          <w:color w:val="auto"/>
        </w:rPr>
        <w:t xml:space="preserve"> </w:t>
      </w:r>
      <w:r>
        <w:rPr>
          <w:rFonts w:ascii="Arial" w:cs="Arial" w:eastAsia="Arial" w:hAnsi="Arial"/>
          <w:sz w:val="14"/>
          <w:szCs w:val="14"/>
          <w:color w:val="auto"/>
        </w:rPr>
        <w:t>sinking fund provisions.</w:t>
      </w:r>
    </w:p>
    <w:p>
      <w:pPr>
        <w:spacing w:after="0" w:line="6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Listing of securities</w:t>
      </w:r>
    </w:p>
    <w:p>
      <w:pPr>
        <w:spacing w:after="0" w:line="110"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Our common stock is listed on the Nasdaq Global Market under the symbol “TNGX”.</w:t>
      </w:r>
    </w:p>
    <w:p>
      <w:pPr>
        <w:spacing w:after="0" w:line="114"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Transfer agent</w:t>
      </w:r>
    </w:p>
    <w:p>
      <w:pPr>
        <w:spacing w:after="0" w:line="100"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The transfer agent for our common stock is Computershare Trust Company, N.A.</w:t>
      </w:r>
    </w:p>
    <w:p>
      <w:pPr>
        <w:spacing w:after="0" w:line="221"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Preferred stock</w:t>
      </w:r>
    </w:p>
    <w:p>
      <w:pPr>
        <w:spacing w:after="0" w:line="105" w:lineRule="exact"/>
        <w:rPr>
          <w:sz w:val="20"/>
          <w:szCs w:val="20"/>
          <w:color w:val="auto"/>
        </w:rPr>
      </w:pPr>
    </w:p>
    <w:p>
      <w:pPr>
        <w:ind w:left="1360" w:right="559"/>
        <w:spacing w:after="0" w:line="270" w:lineRule="auto"/>
        <w:rPr>
          <w:sz w:val="20"/>
          <w:szCs w:val="20"/>
          <w:color w:val="auto"/>
        </w:rPr>
      </w:pPr>
      <w:r>
        <w:rPr>
          <w:rFonts w:ascii="Arial" w:cs="Arial" w:eastAsia="Arial" w:hAnsi="Arial"/>
          <w:sz w:val="14"/>
          <w:szCs w:val="14"/>
          <w:color w:val="auto"/>
        </w:rPr>
        <w:t>Our board of directors will have the authority, without further action by our stockholders, to issue up to 10,000,000 shares of preferred stock in one or more series and to fix the rights, preferences, privileges and</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S-19</w:t>
      </w:r>
    </w:p>
    <w:p>
      <w:pPr>
        <w:sectPr>
          <w:pgSz w:w="11900" w:h="16838" w:orient="portrait"/>
          <w:cols w:equalWidth="0" w:num="1">
            <w:col w:w="10159"/>
          </w:cols>
          <w:pgMar w:left="300" w:top="385"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rPr>
          <w:sz w:val="20"/>
          <w:szCs w:val="20"/>
          <w:color w:val="auto"/>
        </w:rPr>
      </w:pPr>
      <w:r>
        <w:rPr>
          <w:rFonts w:ascii="Arial" w:cs="Arial" w:eastAsia="Arial" w:hAnsi="Arial"/>
          <w:sz w:val="14"/>
          <w:szCs w:val="14"/>
          <w:color w:val="auto"/>
        </w:rPr>
        <w:t>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convertible preferred stock are outstanding, and we have no present plan to issue any shares of convertible preferred stock.</w:t>
      </w:r>
    </w:p>
    <w:p>
      <w:pPr>
        <w:spacing w:after="0" w:line="190"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Registration rights</w:t>
      </w:r>
    </w:p>
    <w:p>
      <w:pPr>
        <w:spacing w:after="0" w:line="115" w:lineRule="exact"/>
        <w:rPr>
          <w:sz w:val="20"/>
          <w:szCs w:val="20"/>
          <w:color w:val="auto"/>
        </w:rPr>
      </w:pPr>
    </w:p>
    <w:p>
      <w:pPr>
        <w:ind w:left="1360" w:right="439"/>
        <w:spacing w:after="0" w:line="270" w:lineRule="auto"/>
        <w:rPr>
          <w:sz w:val="20"/>
          <w:szCs w:val="20"/>
          <w:color w:val="auto"/>
        </w:rPr>
      </w:pPr>
      <w:r>
        <w:rPr>
          <w:rFonts w:ascii="Arial" w:cs="Arial" w:eastAsia="Arial" w:hAnsi="Arial"/>
          <w:sz w:val="14"/>
          <w:szCs w:val="14"/>
          <w:color w:val="auto"/>
        </w:rPr>
        <w:t>Certain of our stockholders, or Holders, hold registration rights pursuant to an amended and restated registration and stockholder rights agreement, or the Amended and Restated Registration and Stockholder Rights Agreement.</w:t>
      </w:r>
    </w:p>
    <w:p>
      <w:pPr>
        <w:spacing w:after="0" w:line="58" w:lineRule="exact"/>
        <w:rPr>
          <w:sz w:val="20"/>
          <w:szCs w:val="20"/>
          <w:color w:val="auto"/>
        </w:rPr>
      </w:pPr>
    </w:p>
    <w:p>
      <w:pPr>
        <w:ind w:left="1360" w:right="679"/>
        <w:spacing w:after="0" w:line="270" w:lineRule="auto"/>
        <w:rPr>
          <w:sz w:val="20"/>
          <w:szCs w:val="20"/>
          <w:color w:val="auto"/>
        </w:rPr>
      </w:pPr>
      <w:r>
        <w:rPr>
          <w:rFonts w:ascii="Arial" w:cs="Arial" w:eastAsia="Arial" w:hAnsi="Arial"/>
          <w:sz w:val="14"/>
          <w:szCs w:val="14"/>
          <w:color w:val="auto"/>
        </w:rPr>
        <w:t>Stockholders holding a majority-in-interest of such registrable securities are entitled to make a written demand for registration under the Securities Act of 1933, as amended, or the Securities Act, of all or part of their registrable securities.</w:t>
      </w:r>
    </w:p>
    <w:p>
      <w:pPr>
        <w:spacing w:after="0" w:line="68"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In particular, the Amended and Restated Registration and Stockholder Rights Agreement provides for the following registration rights:</w:t>
      </w:r>
    </w:p>
    <w:p>
      <w:pPr>
        <w:spacing w:after="0" w:line="112" w:lineRule="exact"/>
        <w:rPr>
          <w:sz w:val="20"/>
          <w:szCs w:val="20"/>
          <w:color w:val="auto"/>
        </w:rPr>
      </w:pPr>
    </w:p>
    <w:p>
      <w:pPr>
        <w:ind w:left="1520" w:right="399" w:hanging="161"/>
        <w:spacing w:after="0" w:line="241" w:lineRule="auto"/>
        <w:tabs>
          <w:tab w:leader="none" w:pos="1520"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Shelf registration/demand registration rights</w:t>
      </w:r>
      <w:r>
        <w:rPr>
          <w:rFonts w:ascii="Arial" w:cs="Arial" w:eastAsia="Arial" w:hAnsi="Arial"/>
          <w:sz w:val="14"/>
          <w:szCs w:val="14"/>
          <w:color w:val="auto"/>
        </w:rPr>
        <w:t>. At any time and from time to time when an effective shelf registration statement is on file</w:t>
      </w:r>
      <w:r>
        <w:rPr>
          <w:rFonts w:ascii="Arial" w:cs="Arial" w:eastAsia="Arial" w:hAnsi="Arial"/>
          <w:sz w:val="14"/>
          <w:szCs w:val="14"/>
          <w:i w:val="1"/>
          <w:iCs w:val="1"/>
          <w:color w:val="auto"/>
        </w:rPr>
        <w:t xml:space="preserve"> </w:t>
      </w:r>
      <w:r>
        <w:rPr>
          <w:rFonts w:ascii="Arial" w:cs="Arial" w:eastAsia="Arial" w:hAnsi="Arial"/>
          <w:sz w:val="14"/>
          <w:szCs w:val="14"/>
          <w:color w:val="auto"/>
        </w:rPr>
        <w:t>with the 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w:t>
      </w:r>
    </w:p>
    <w:p>
      <w:pPr>
        <w:spacing w:after="0" w:line="90" w:lineRule="exact"/>
        <w:rPr>
          <w:rFonts w:ascii="Arial" w:cs="Arial" w:eastAsia="Arial" w:hAnsi="Arial"/>
          <w:sz w:val="14"/>
          <w:szCs w:val="14"/>
          <w:color w:val="auto"/>
        </w:rPr>
      </w:pPr>
    </w:p>
    <w:p>
      <w:pPr>
        <w:ind w:left="1520" w:right="339" w:hanging="161"/>
        <w:spacing w:after="0" w:line="246" w:lineRule="auto"/>
        <w:tabs>
          <w:tab w:leader="none" w:pos="1520"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Piggyback registration rights</w:t>
      </w:r>
      <w:r>
        <w:rPr>
          <w:rFonts w:ascii="Arial" w:cs="Arial" w:eastAsia="Arial" w:hAnsi="Arial"/>
          <w:sz w:val="14"/>
          <w:szCs w:val="14"/>
          <w:color w:val="auto"/>
        </w:rPr>
        <w:t>. Subject to exceptions for certain offerings and registration statements, if at any time, we propose to file a</w:t>
      </w:r>
      <w:r>
        <w:rPr>
          <w:rFonts w:ascii="Arial" w:cs="Arial" w:eastAsia="Arial" w:hAnsi="Arial"/>
          <w:sz w:val="14"/>
          <w:szCs w:val="14"/>
          <w:i w:val="1"/>
          <w:iCs w:val="1"/>
          <w:color w:val="auto"/>
        </w:rPr>
        <w:t xml:space="preserve"> </w:t>
      </w:r>
      <w:r>
        <w:rPr>
          <w:rFonts w:ascii="Arial" w:cs="Arial" w:eastAsia="Arial" w:hAnsi="Arial"/>
          <w:sz w:val="14"/>
          <w:szCs w:val="14"/>
          <w:color w:val="auto"/>
        </w:rPr>
        <w:t>registration statement under the Securities Act, in connection with an offering of our equity securities or securities or other obligations exercisable or exchangeable for, or convertible into, our equity securities, either for our own account or for the account of other stockholders, the Holders are entitled to include their registrable securities in such registration statement.</w:t>
      </w:r>
    </w:p>
    <w:p>
      <w:pPr>
        <w:spacing w:after="0" w:line="85" w:lineRule="exact"/>
        <w:rPr>
          <w:rFonts w:ascii="Arial" w:cs="Arial" w:eastAsia="Arial" w:hAnsi="Arial"/>
          <w:sz w:val="14"/>
          <w:szCs w:val="14"/>
          <w:color w:val="auto"/>
        </w:rPr>
      </w:pPr>
    </w:p>
    <w:p>
      <w:pPr>
        <w:ind w:left="1520" w:right="259" w:hanging="161"/>
        <w:spacing w:after="0" w:line="246" w:lineRule="auto"/>
        <w:tabs>
          <w:tab w:leader="none" w:pos="1520"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Indemnification</w:t>
      </w:r>
      <w:r>
        <w:rPr>
          <w:rFonts w:ascii="Arial" w:cs="Arial" w:eastAsia="Arial" w:hAnsi="Arial"/>
          <w:sz w:val="14"/>
          <w:szCs w:val="14"/>
          <w:color w:val="auto"/>
        </w:rPr>
        <w:t>. The Amended and Restated Registration and Stockholder Rights Agreement contains customary cross-indemnification</w:t>
      </w:r>
      <w:r>
        <w:rPr>
          <w:rFonts w:ascii="Arial" w:cs="Arial" w:eastAsia="Arial" w:hAnsi="Arial"/>
          <w:sz w:val="14"/>
          <w:szCs w:val="14"/>
          <w:i w:val="1"/>
          <w:iCs w:val="1"/>
          <w:color w:val="auto"/>
        </w:rPr>
        <w:t xml:space="preserve"> </w:t>
      </w:r>
      <w:r>
        <w:rPr>
          <w:rFonts w:ascii="Arial" w:cs="Arial" w:eastAsia="Arial" w:hAnsi="Arial"/>
          <w:sz w:val="14"/>
          <w:szCs w:val="14"/>
          <w:color w:val="auto"/>
        </w:rPr>
        <w:t>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184"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Expiration of registration rights</w:t>
      </w:r>
    </w:p>
    <w:p>
      <w:pPr>
        <w:spacing w:after="0" w:line="115" w:lineRule="exact"/>
        <w:rPr>
          <w:sz w:val="20"/>
          <w:szCs w:val="20"/>
          <w:color w:val="auto"/>
        </w:rPr>
      </w:pPr>
    </w:p>
    <w:p>
      <w:pPr>
        <w:ind w:left="1360" w:right="419"/>
        <w:spacing w:after="0" w:line="252" w:lineRule="auto"/>
        <w:rPr>
          <w:sz w:val="20"/>
          <w:szCs w:val="20"/>
          <w:color w:val="auto"/>
        </w:rPr>
      </w:pPr>
      <w:r>
        <w:rPr>
          <w:rFonts w:ascii="Arial" w:cs="Arial" w:eastAsia="Arial" w:hAnsi="Arial"/>
          <w:sz w:val="14"/>
          <w:szCs w:val="14"/>
          <w:color w:val="auto"/>
        </w:rPr>
        <w:t>The registration rights granted under the Amended and Restated Registration and Stockholder Rights Agreement will terminate on the earlier of (i) the 10th anniversary of the date of the agreement and (ii) with respect to any Holder, on the date that such Holder no longer holds any Registrable Securities.</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S-20</w:t>
      </w:r>
    </w:p>
    <w:p>
      <w:pPr>
        <w:sectPr>
          <w:pgSz w:w="11900" w:h="16838" w:orient="portrait"/>
          <w:cols w:equalWidth="0" w:num="1">
            <w:col w:w="10159"/>
          </w:cols>
          <w:pgMar w:left="300" w:top="385"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4"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Anti-takeover effects of our certificate of incorporation and bylaws and Delaware law</w:t>
      </w:r>
    </w:p>
    <w:p>
      <w:pPr>
        <w:spacing w:after="0" w:line="1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Certificate of incorporation and bylaws</w:t>
      </w:r>
    </w:p>
    <w:p>
      <w:pPr>
        <w:spacing w:after="0" w:line="110" w:lineRule="exact"/>
        <w:rPr>
          <w:sz w:val="20"/>
          <w:szCs w:val="20"/>
          <w:color w:val="auto"/>
        </w:rPr>
      </w:pPr>
    </w:p>
    <w:p>
      <w:pPr>
        <w:ind w:left="1360" w:right="519"/>
        <w:spacing w:after="0" w:line="245" w:lineRule="auto"/>
        <w:rPr>
          <w:sz w:val="20"/>
          <w:szCs w:val="20"/>
          <w:color w:val="auto"/>
        </w:rPr>
      </w:pPr>
      <w:r>
        <w:rPr>
          <w:rFonts w:ascii="Arial" w:cs="Arial" w:eastAsia="Arial" w:hAnsi="Arial"/>
          <w:sz w:val="14"/>
          <w:szCs w:val="14"/>
          <w:color w:val="auto"/>
        </w:rPr>
        <w:t>Our certificate of incorporation and bylaws include a number of provisions that may have the effect of delaying, deferring or preventing another party from acquiring control of us and encouraging persons considering</w:t>
      </w:r>
    </w:p>
    <w:p>
      <w:pPr>
        <w:ind w:left="1360" w:right="1819"/>
        <w:spacing w:after="0" w:line="249" w:lineRule="auto"/>
        <w:rPr>
          <w:sz w:val="20"/>
          <w:szCs w:val="20"/>
          <w:color w:val="auto"/>
        </w:rPr>
      </w:pPr>
      <w:r>
        <w:rPr>
          <w:rFonts w:ascii="Arial" w:cs="Arial" w:eastAsia="Arial" w:hAnsi="Arial"/>
          <w:sz w:val="14"/>
          <w:szCs w:val="14"/>
          <w:color w:val="auto"/>
        </w:rPr>
        <w:t>unsolicited tender offers or other unilateral takeover proposals to negotiate with our board of directors rather than pursue non-negotiated takeover attempts. These provisions include the items described below:</w:t>
      </w:r>
    </w:p>
    <w:p>
      <w:pPr>
        <w:spacing w:after="0" w:line="83" w:lineRule="exact"/>
        <w:rPr>
          <w:sz w:val="20"/>
          <w:szCs w:val="20"/>
          <w:color w:val="auto"/>
        </w:rPr>
      </w:pPr>
    </w:p>
    <w:p>
      <w:pPr>
        <w:ind w:left="1520" w:right="499" w:hanging="161"/>
        <w:spacing w:after="0" w:line="270" w:lineRule="auto"/>
        <w:tabs>
          <w:tab w:leader="none" w:pos="1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68" w:lineRule="exact"/>
        <w:rPr>
          <w:rFonts w:ascii="Arial" w:cs="Arial" w:eastAsia="Arial" w:hAnsi="Arial"/>
          <w:sz w:val="14"/>
          <w:szCs w:val="14"/>
          <w:color w:val="auto"/>
        </w:rPr>
      </w:pPr>
    </w:p>
    <w:p>
      <w:pPr>
        <w:ind w:left="1520" w:hanging="161"/>
        <w:spacing w:after="0"/>
        <w:tabs>
          <w:tab w:leader="none" w:pos="1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provide that the authorized number of directors may be changed only by resolution of our board of directors;</w:t>
      </w:r>
    </w:p>
    <w:p>
      <w:pPr>
        <w:spacing w:after="0" w:line="112" w:lineRule="exact"/>
        <w:rPr>
          <w:rFonts w:ascii="Arial" w:cs="Arial" w:eastAsia="Arial" w:hAnsi="Arial"/>
          <w:sz w:val="14"/>
          <w:szCs w:val="14"/>
          <w:color w:val="auto"/>
        </w:rPr>
      </w:pPr>
    </w:p>
    <w:p>
      <w:pPr>
        <w:jc w:val="both"/>
        <w:ind w:left="1520" w:right="479" w:hanging="161"/>
        <w:spacing w:after="0" w:line="309" w:lineRule="auto"/>
        <w:tabs>
          <w:tab w:leader="none" w:pos="15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provide that, subject to the rights of any series of preferred stock to elect directors, directors may be removed only with cause by the holders of at least two thirds (2/3) of all of our then-outstanding shares of the capital stock entitled to vote at an election of directors;</w:t>
      </w:r>
    </w:p>
    <w:p>
      <w:pPr>
        <w:spacing w:after="0" w:line="45" w:lineRule="exact"/>
        <w:rPr>
          <w:rFonts w:ascii="Arial" w:cs="Arial" w:eastAsia="Arial" w:hAnsi="Arial"/>
          <w:sz w:val="13"/>
          <w:szCs w:val="13"/>
          <w:color w:val="auto"/>
        </w:rPr>
      </w:pPr>
    </w:p>
    <w:p>
      <w:pPr>
        <w:ind w:left="1520" w:right="239" w:hanging="161"/>
        <w:spacing w:after="0" w:line="252" w:lineRule="auto"/>
        <w:tabs>
          <w:tab w:leader="none" w:pos="1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w:t>
      </w:r>
    </w:p>
    <w:p>
      <w:pPr>
        <w:spacing w:after="0" w:line="81" w:lineRule="exact"/>
        <w:rPr>
          <w:rFonts w:ascii="Arial" w:cs="Arial" w:eastAsia="Arial" w:hAnsi="Arial"/>
          <w:sz w:val="14"/>
          <w:szCs w:val="14"/>
          <w:color w:val="auto"/>
        </w:rPr>
      </w:pPr>
    </w:p>
    <w:p>
      <w:pPr>
        <w:ind w:left="1520" w:right="299" w:hanging="161"/>
        <w:spacing w:after="0" w:line="252" w:lineRule="auto"/>
        <w:tabs>
          <w:tab w:leader="none" w:pos="1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1" w:lineRule="exact"/>
        <w:rPr>
          <w:rFonts w:ascii="Arial" w:cs="Arial" w:eastAsia="Arial" w:hAnsi="Arial"/>
          <w:sz w:val="14"/>
          <w:szCs w:val="14"/>
          <w:color w:val="auto"/>
        </w:rPr>
      </w:pPr>
    </w:p>
    <w:p>
      <w:pPr>
        <w:ind w:left="1520" w:right="259" w:hanging="161"/>
        <w:spacing w:after="0" w:line="270" w:lineRule="auto"/>
        <w:tabs>
          <w:tab w:leader="none" w:pos="1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provide that special meetings of our stockholders may be called by our board of directors pursuant to a resolution adopted by a majority of the total number of directors then in office;</w:t>
      </w:r>
    </w:p>
    <w:p>
      <w:pPr>
        <w:spacing w:after="0" w:line="68" w:lineRule="exact"/>
        <w:rPr>
          <w:rFonts w:ascii="Arial" w:cs="Arial" w:eastAsia="Arial" w:hAnsi="Arial"/>
          <w:sz w:val="14"/>
          <w:szCs w:val="14"/>
          <w:color w:val="auto"/>
        </w:rPr>
      </w:pPr>
    </w:p>
    <w:p>
      <w:pPr>
        <w:ind w:left="1520" w:right="439" w:hanging="161"/>
        <w:spacing w:after="0" w:line="270" w:lineRule="auto"/>
        <w:tabs>
          <w:tab w:leader="none" w:pos="1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provide that our board of directors will be divided into three classes of directors, with the directors serving three-year terms, therefore making it more difficult for stockholders to change the composition of our board of directors;</w:t>
      </w:r>
    </w:p>
    <w:p>
      <w:pPr>
        <w:spacing w:after="0" w:line="68" w:lineRule="exact"/>
        <w:rPr>
          <w:rFonts w:ascii="Arial" w:cs="Arial" w:eastAsia="Arial" w:hAnsi="Arial"/>
          <w:sz w:val="14"/>
          <w:szCs w:val="14"/>
          <w:color w:val="auto"/>
        </w:rPr>
      </w:pPr>
    </w:p>
    <w:p>
      <w:pPr>
        <w:ind w:left="1520" w:right="239" w:hanging="161"/>
        <w:spacing w:after="0" w:line="241" w:lineRule="auto"/>
        <w:tabs>
          <w:tab w:leader="none" w:pos="1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provide that 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certificate of incorporation must be approved by not less than two-thirds of the outstanding shares entitled to vote on the amendment, and not less than two-thirds of the outstanding shares of each class entitled to vote thereon as a class;</w:t>
      </w:r>
    </w:p>
    <w:p>
      <w:pPr>
        <w:spacing w:after="0" w:line="90" w:lineRule="exact"/>
        <w:rPr>
          <w:rFonts w:ascii="Arial" w:cs="Arial" w:eastAsia="Arial" w:hAnsi="Arial"/>
          <w:sz w:val="14"/>
          <w:szCs w:val="14"/>
          <w:color w:val="auto"/>
        </w:rPr>
      </w:pPr>
    </w:p>
    <w:p>
      <w:pPr>
        <w:ind w:left="1520" w:right="239" w:hanging="161"/>
        <w:spacing w:after="0" w:line="246" w:lineRule="auto"/>
        <w:tabs>
          <w:tab w:leader="none" w:pos="1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Bylaws may be amended by the affirmative vote of a majority of the directors then in office, subject to any limitations set forth by law or in the bylaws; and may also be amended by the affirmative vote of 75% of the outstanding shares entitled to vote on the amendment; provided, however, if our board of directors recommends such amendment to be voted on at a meeting of the stockholders, such amendment only requires the affirmative vote of the majority of the outstanding shares entitled to vote on such amendment and</w:t>
      </w:r>
    </w:p>
    <w:p>
      <w:pPr>
        <w:spacing w:after="0" w:line="85" w:lineRule="exact"/>
        <w:rPr>
          <w:rFonts w:ascii="Arial" w:cs="Arial" w:eastAsia="Arial" w:hAnsi="Arial"/>
          <w:sz w:val="14"/>
          <w:szCs w:val="14"/>
          <w:color w:val="auto"/>
        </w:rPr>
      </w:pPr>
    </w:p>
    <w:p>
      <w:pPr>
        <w:ind w:left="1520" w:right="479" w:hanging="161"/>
        <w:spacing w:after="0" w:line="270" w:lineRule="auto"/>
        <w:tabs>
          <w:tab w:leader="none" w:pos="1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S-21</w:t>
      </w:r>
    </w:p>
    <w:p>
      <w:pPr>
        <w:sectPr>
          <w:pgSz w:w="11900" w:h="16838" w:orient="portrait"/>
          <w:cols w:equalWidth="0" w:num="1">
            <w:col w:w="10159"/>
          </w:cols>
          <w:pgMar w:left="300" w:top="385"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Delaware anti-takeover law</w:t>
      </w:r>
    </w:p>
    <w:p>
      <w:pPr>
        <w:spacing w:after="0" w:line="100" w:lineRule="exact"/>
        <w:rPr>
          <w:sz w:val="20"/>
          <w:szCs w:val="20"/>
          <w:color w:val="auto"/>
        </w:rPr>
      </w:pPr>
    </w:p>
    <w:p>
      <w:pPr>
        <w:ind w:left="1360" w:right="259"/>
        <w:spacing w:after="0" w:line="281" w:lineRule="auto"/>
        <w:rPr>
          <w:sz w:val="20"/>
          <w:szCs w:val="20"/>
          <w:color w:val="auto"/>
        </w:rPr>
      </w:pPr>
      <w:r>
        <w:rPr>
          <w:rFonts w:ascii="Arial" w:cs="Arial" w:eastAsia="Arial" w:hAnsi="Arial"/>
          <w:sz w:val="13"/>
          <w:szCs w:val="13"/>
          <w:color w:val="auto"/>
        </w:rPr>
        <w:t>Tango has opted out of Section 203 of the Delaware General Corporation Law, or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6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Exclusive jurisdiction of certain actions</w:t>
      </w:r>
    </w:p>
    <w:p>
      <w:pPr>
        <w:spacing w:after="0" w:line="110" w:lineRule="exact"/>
        <w:rPr>
          <w:sz w:val="20"/>
          <w:szCs w:val="20"/>
          <w:color w:val="auto"/>
        </w:rPr>
      </w:pPr>
    </w:p>
    <w:p>
      <w:pPr>
        <w:ind w:left="1360" w:right="239"/>
        <w:spacing w:after="0" w:line="237" w:lineRule="auto"/>
        <w:rPr>
          <w:sz w:val="20"/>
          <w:szCs w:val="20"/>
          <w:color w:val="auto"/>
        </w:rPr>
      </w:pPr>
      <w:r>
        <w:rPr>
          <w:rFonts w:ascii="Arial" w:cs="Arial" w:eastAsia="Arial" w:hAnsi="Arial"/>
          <w:sz w:val="14"/>
          <w:szCs w:val="14"/>
          <w:color w:val="auto"/>
        </w:rPr>
        <w:t>Our bylaws require, to the fullest extent permitted by law, unless we consent in writing to the selection of an alternative forum, that derivative actions brought in the name of Tango, actions against any current or former directors, officers and employees for breach of fiduciary duty, actions asserting a claim arising pursuant to any provision of the DGCL or our certificate of incorporation or our bylaws, actions to interpret, apply, enforce or determine the validity of our certificate of incorporation or our bylaws and actions asserting a claim governed by the internal affairs doctrine may be brought only in the Court of Chancery in the State of Delaware, or the Delaware Forum Provision. The Delaware Forum Provision will not apply to any causes of action arising under the Securities Act and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 Any person or entity purchasing or otherwise acquiring any interest in shares of capital stock of Tango shall be deemed to have notice of and consented to this choice of forum provision.</w:t>
      </w:r>
    </w:p>
    <w:p>
      <w:pPr>
        <w:spacing w:after="0" w:line="97"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S-22</w:t>
      </w:r>
    </w:p>
    <w:p>
      <w:pPr>
        <w:sectPr>
          <w:pgSz w:w="11900" w:h="16838" w:orient="portrait"/>
          <w:cols w:equalWidth="0" w:num="1">
            <w:col w:w="10159"/>
          </w:cols>
          <w:pgMar w:left="300" w:top="385"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Description of Pre-Funded Warrants</w:t>
      </w:r>
    </w:p>
    <w:p>
      <w:pPr>
        <w:spacing w:after="0" w:line="125" w:lineRule="exact"/>
        <w:rPr>
          <w:sz w:val="20"/>
          <w:szCs w:val="20"/>
          <w:color w:val="auto"/>
        </w:rPr>
      </w:pPr>
    </w:p>
    <w:p>
      <w:pPr>
        <w:ind w:left="1360" w:right="499"/>
        <w:spacing w:after="0" w:line="270" w:lineRule="auto"/>
        <w:rPr>
          <w:sz w:val="20"/>
          <w:szCs w:val="20"/>
          <w:color w:val="auto"/>
        </w:rPr>
      </w:pPr>
      <w:r>
        <w:rPr>
          <w:rFonts w:ascii="Arial" w:cs="Arial" w:eastAsia="Arial" w:hAnsi="Arial"/>
          <w:sz w:val="14"/>
          <w:szCs w:val="14"/>
          <w:color w:val="auto"/>
        </w:rPr>
        <w:t>The following is a brief summary of certain terms and conditions of the pre-funded warrants being offered in this offering. The following description is subject in all respects to the provisions contained in the pre-funded warrants.</w:t>
      </w:r>
    </w:p>
    <w:p>
      <w:pPr>
        <w:spacing w:after="0" w:line="178"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Form</w:t>
      </w:r>
    </w:p>
    <w:p>
      <w:pPr>
        <w:spacing w:after="0" w:line="105" w:lineRule="exact"/>
        <w:rPr>
          <w:sz w:val="20"/>
          <w:szCs w:val="20"/>
          <w:color w:val="auto"/>
        </w:rPr>
      </w:pPr>
    </w:p>
    <w:p>
      <w:pPr>
        <w:ind w:left="1360" w:right="399"/>
        <w:spacing w:after="0" w:line="270" w:lineRule="auto"/>
        <w:rPr>
          <w:sz w:val="20"/>
          <w:szCs w:val="20"/>
          <w:color w:val="auto"/>
        </w:rPr>
      </w:pPr>
      <w:r>
        <w:rPr>
          <w:rFonts w:ascii="Arial" w:cs="Arial" w:eastAsia="Arial" w:hAnsi="Arial"/>
          <w:sz w:val="14"/>
          <w:szCs w:val="14"/>
          <w:color w:val="auto"/>
        </w:rPr>
        <w:t>The pre-funded warrants will be issued as individual warrant agreements to the investors. The form of pre-funded warrant will be filed as an exhibit to our Current Report on Form 8-K that we expect to file with the SEC in connection with this offering.</w:t>
      </w:r>
    </w:p>
    <w:p>
      <w:pPr>
        <w:spacing w:after="0" w:line="178"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Term</w:t>
      </w:r>
    </w:p>
    <w:p>
      <w:pPr>
        <w:spacing w:after="0" w:line="105"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The pre-funded warrants will not expire.</w:t>
      </w:r>
    </w:p>
    <w:p>
      <w:pPr>
        <w:spacing w:after="0" w:line="211"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Exercisability</w:t>
      </w:r>
    </w:p>
    <w:p>
      <w:pPr>
        <w:spacing w:after="0" w:line="115" w:lineRule="exact"/>
        <w:rPr>
          <w:sz w:val="20"/>
          <w:szCs w:val="20"/>
          <w:color w:val="auto"/>
        </w:rPr>
      </w:pPr>
    </w:p>
    <w:p>
      <w:pPr>
        <w:ind w:left="1360" w:right="319"/>
        <w:spacing w:after="0" w:line="238" w:lineRule="auto"/>
        <w:rPr>
          <w:sz w:val="20"/>
          <w:szCs w:val="20"/>
          <w:color w:val="auto"/>
        </w:rPr>
      </w:pPr>
      <w:r>
        <w:rPr>
          <w:rFonts w:ascii="Arial" w:cs="Arial" w:eastAsia="Arial" w:hAnsi="Arial"/>
          <w:sz w:val="14"/>
          <w:szCs w:val="14"/>
          <w:color w:val="auto"/>
        </w:rPr>
        <w:t>The pre-funded warrants are exercisable at any time between their original issuance and their expiration. The pre-funded warrants will be exercisable, at the option of each holder, in whole or in part by delivering to us a duly executed exercise notice and by payment in full of the exercise price in immediately available funds for the number of shares of common stock purchased upon such exercise. As an alternative to payment in immediately available funds, the holder may elect to exercise the pre-funded warrant through a cashless exercise, in which the holder would receive upon such exercise the net number of shares of common stock determined according to the formula set forth in the pre-funded warrant. No fractional shares of common stock will be issued in connection with the exercise of</w:t>
      </w:r>
    </w:p>
    <w:p>
      <w:pPr>
        <w:spacing w:after="0" w:line="1" w:lineRule="exact"/>
        <w:rPr>
          <w:sz w:val="20"/>
          <w:szCs w:val="20"/>
          <w:color w:val="auto"/>
        </w:rPr>
      </w:pPr>
    </w:p>
    <w:p>
      <w:pPr>
        <w:ind w:left="1360" w:right="299"/>
        <w:spacing w:after="0" w:line="249" w:lineRule="auto"/>
        <w:rPr>
          <w:sz w:val="20"/>
          <w:szCs w:val="20"/>
          <w:color w:val="auto"/>
        </w:rPr>
      </w:pPr>
      <w:r>
        <w:rPr>
          <w:rFonts w:ascii="Arial" w:cs="Arial" w:eastAsia="Arial" w:hAnsi="Arial"/>
          <w:sz w:val="14"/>
          <w:szCs w:val="14"/>
          <w:color w:val="auto"/>
        </w:rPr>
        <w:t>a pre-funded warrant. In lieu of fractional shares, we will pay the holder an amount in cash equal to the fractional amount multiplied by the last trade price of our common stock on the exercise date.</w:t>
      </w:r>
    </w:p>
    <w:p>
      <w:pPr>
        <w:spacing w:after="0" w:line="181"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Exercise limitations</w:t>
      </w:r>
    </w:p>
    <w:p>
      <w:pPr>
        <w:spacing w:after="0" w:line="115" w:lineRule="exact"/>
        <w:rPr>
          <w:sz w:val="20"/>
          <w:szCs w:val="20"/>
          <w:color w:val="auto"/>
        </w:rPr>
      </w:pPr>
    </w:p>
    <w:p>
      <w:pPr>
        <w:ind w:left="1360" w:right="299"/>
        <w:spacing w:after="0" w:line="239" w:lineRule="auto"/>
        <w:rPr>
          <w:sz w:val="20"/>
          <w:szCs w:val="20"/>
          <w:color w:val="auto"/>
        </w:rPr>
      </w:pPr>
      <w:r>
        <w:rPr>
          <w:rFonts w:ascii="Arial" w:cs="Arial" w:eastAsia="Arial" w:hAnsi="Arial"/>
          <w:sz w:val="14"/>
          <w:szCs w:val="14"/>
          <w:color w:val="auto"/>
        </w:rPr>
        <w:t>Under the pre-funded warrants, we may not effect the exercise of any pre-funded warrant, and a holder will not be entitled to exercise any portion of any pre-funded warrant, (i) if immediately prior to exercise the holder (together with its affiliates) beneficially owns an aggregate number of shares of our common stock greater than 4.99% or 9.99%, as applicable, of the number of shares of our common stock outstanding immediately before giving effect to the exercise of any pre-funded warrant or (ii) to the extent that immediately following exercise, the holder (together with its affiliates) would beneficially own in excess of 4.99% or 9.99%, as applicable, of the number of shares of common stock outstanding immediately after giving effect to the issuance of such shares of common stock, and without taking account any other pre-funded warrants. However, any holder may increase or decrease such percentage to any other percentage not in excess of 19.99% upon at least 61 days’ prior notice from the holder to us.</w:t>
      </w:r>
    </w:p>
    <w:p>
      <w:pPr>
        <w:spacing w:after="0" w:line="192"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Exercise price</w:t>
      </w:r>
    </w:p>
    <w:p>
      <w:pPr>
        <w:spacing w:after="0" w:line="115" w:lineRule="exact"/>
        <w:rPr>
          <w:sz w:val="20"/>
          <w:szCs w:val="20"/>
          <w:color w:val="auto"/>
        </w:rPr>
      </w:pPr>
    </w:p>
    <w:p>
      <w:pPr>
        <w:ind w:left="1360" w:right="239"/>
        <w:spacing w:after="0" w:line="243" w:lineRule="auto"/>
        <w:rPr>
          <w:sz w:val="20"/>
          <w:szCs w:val="20"/>
          <w:color w:val="auto"/>
        </w:rPr>
      </w:pPr>
      <w:r>
        <w:rPr>
          <w:rFonts w:ascii="Arial" w:cs="Arial" w:eastAsia="Arial" w:hAnsi="Arial"/>
          <w:sz w:val="14"/>
          <w:szCs w:val="14"/>
          <w:color w:val="auto"/>
        </w:rPr>
        <w:t>The exercise price per whole share of our common stock purchasable upon the exercise of the pre-funded warrants is $0.001 per share of common stock. The exercise price of the pre-funded warrants and the number of shares of our common stock issuable upon exercise of the pre-funded warrants is subject to appropriate adjustment in the event of certain stock dividends and distributions, stock splits, stock combinations, reclassifications or similar events affecting our common stock. The exercise price will not be adjusted below the par value of our common stock.</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S-23</w:t>
      </w:r>
    </w:p>
    <w:p>
      <w:pPr>
        <w:sectPr>
          <w:pgSz w:w="11900" w:h="16838" w:orient="portrait"/>
          <w:cols w:equalWidth="0" w:num="1">
            <w:col w:w="10159"/>
          </w:cols>
          <w:pgMar w:left="300" w:top="385"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4"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Transferability</w:t>
      </w:r>
    </w:p>
    <w:p>
      <w:pPr>
        <w:spacing w:after="0" w:line="105"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Subject to applicable laws, the pre-funded warrants may be offered for sale, sold, transferred or assigned without our consent.</w:t>
      </w:r>
    </w:p>
    <w:p>
      <w:pPr>
        <w:spacing w:after="0" w:line="11" w:lineRule="exact"/>
        <w:rPr>
          <w:sz w:val="20"/>
          <w:szCs w:val="20"/>
          <w:color w:val="auto"/>
        </w:rPr>
      </w:pPr>
    </w:p>
    <w:p>
      <w:pPr>
        <w:ind w:left="1360" w:right="379"/>
        <w:spacing w:after="0" w:line="249" w:lineRule="auto"/>
        <w:rPr>
          <w:sz w:val="20"/>
          <w:szCs w:val="20"/>
          <w:color w:val="auto"/>
        </w:rPr>
      </w:pPr>
      <w:r>
        <w:rPr>
          <w:rFonts w:ascii="Arial" w:cs="Arial" w:eastAsia="Arial" w:hAnsi="Arial"/>
          <w:sz w:val="14"/>
          <w:szCs w:val="14"/>
          <w:color w:val="auto"/>
        </w:rPr>
        <w:t>The pre-funded warrants will be held in definitive form by the purchasers. The ownership of the pre-funded warrants and any transfers of the pre-funded warrants will be registered in a warrant register maintained by us or our transfer agent.</w:t>
      </w:r>
    </w:p>
    <w:p>
      <w:pPr>
        <w:spacing w:after="0" w:line="192"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Exchange listing</w:t>
      </w:r>
    </w:p>
    <w:p>
      <w:pPr>
        <w:spacing w:after="0" w:line="105" w:lineRule="exact"/>
        <w:rPr>
          <w:sz w:val="20"/>
          <w:szCs w:val="20"/>
          <w:color w:val="auto"/>
        </w:rPr>
      </w:pPr>
    </w:p>
    <w:p>
      <w:pPr>
        <w:ind w:left="1360" w:right="459"/>
        <w:spacing w:after="0" w:line="270" w:lineRule="auto"/>
        <w:rPr>
          <w:sz w:val="20"/>
          <w:szCs w:val="20"/>
          <w:color w:val="auto"/>
        </w:rPr>
      </w:pPr>
      <w:r>
        <w:rPr>
          <w:rFonts w:ascii="Arial" w:cs="Arial" w:eastAsia="Arial" w:hAnsi="Arial"/>
          <w:sz w:val="14"/>
          <w:szCs w:val="14"/>
          <w:color w:val="auto"/>
        </w:rPr>
        <w:t>We do not plan on applying to list the pre-funded warrants on the Nasdaq Global Market, any other national securities exchange or any other nationally recognized trading system.</w:t>
      </w:r>
    </w:p>
    <w:p>
      <w:pPr>
        <w:spacing w:after="0" w:line="178"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Warrant agent</w:t>
      </w:r>
    </w:p>
    <w:p>
      <w:pPr>
        <w:spacing w:after="0" w:line="105"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We will initially serve as the warrant agent under the pre-funded warrants.</w:t>
      </w:r>
    </w:p>
    <w:p>
      <w:pPr>
        <w:spacing w:after="0" w:line="211"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Fundamental transactions</w:t>
      </w:r>
    </w:p>
    <w:p>
      <w:pPr>
        <w:spacing w:after="0" w:line="115" w:lineRule="exact"/>
        <w:rPr>
          <w:sz w:val="20"/>
          <w:szCs w:val="20"/>
          <w:color w:val="auto"/>
        </w:rPr>
      </w:pPr>
    </w:p>
    <w:p>
      <w:pPr>
        <w:ind w:left="1360" w:right="399"/>
        <w:spacing w:after="0" w:line="238" w:lineRule="auto"/>
        <w:rPr>
          <w:sz w:val="20"/>
          <w:szCs w:val="20"/>
          <w:color w:val="auto"/>
        </w:rPr>
      </w:pPr>
      <w:r>
        <w:rPr>
          <w:rFonts w:ascii="Arial" w:cs="Arial" w:eastAsia="Arial" w:hAnsi="Arial"/>
          <w:sz w:val="14"/>
          <w:szCs w:val="14"/>
          <w:color w:val="auto"/>
        </w:rPr>
        <w:t>Upon the consummation of a fundamental transaction (as described in the pre-funded warrants, and generally including any reorganization, recapitalization or reclassification of our common stock, the sale, transfer or other disposition of all or substantially all of our assets, our consolidation or merger with or into another person in which we are not the surviving entity, the acquisition of more than 50% of our outstanding common stock, or any person or group becoming the beneficial owner of 50% of the voting power of our outstanding common stock), the holders of the pre-funded warrants will be entitled to receive, upon exercise of the pre-funded warrants, the same kind and amount of securities, cash or other property that such holders would have received had they exercised</w:t>
      </w:r>
    </w:p>
    <w:p>
      <w:pPr>
        <w:spacing w:after="0" w:line="1" w:lineRule="exact"/>
        <w:rPr>
          <w:sz w:val="20"/>
          <w:szCs w:val="20"/>
          <w:color w:val="auto"/>
        </w:rPr>
      </w:pPr>
    </w:p>
    <w:p>
      <w:pPr>
        <w:ind w:left="1360" w:right="319"/>
        <w:spacing w:after="0" w:line="238" w:lineRule="auto"/>
        <w:rPr>
          <w:sz w:val="20"/>
          <w:szCs w:val="20"/>
          <w:color w:val="auto"/>
        </w:rPr>
      </w:pPr>
      <w:r>
        <w:rPr>
          <w:rFonts w:ascii="Arial" w:cs="Arial" w:eastAsia="Arial" w:hAnsi="Arial"/>
          <w:sz w:val="14"/>
          <w:szCs w:val="14"/>
          <w:color w:val="auto"/>
        </w:rPr>
        <w:t>the pre-funded warrants immediately prior to such fundamental transaction, without regard to any limitations on exercise contained in the pre-funded warrants. Notwithstanding the foregoing, in the event of a fundamental transaction where the consideration consists solely of cash, solely of marketable securities or a combination of cash and marketable securities, then each pre-funded warrant shall automatically be deemed to be exercised in full in a cashless exercise effective immediately prior to and contingent upon the consummation of such fundamental transaction.</w:t>
      </w:r>
    </w:p>
    <w:p>
      <w:pPr>
        <w:spacing w:after="0" w:line="190"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 rights as a stockholder</w:t>
      </w:r>
    </w:p>
    <w:p>
      <w:pPr>
        <w:spacing w:after="0" w:line="115" w:lineRule="exact"/>
        <w:rPr>
          <w:sz w:val="20"/>
          <w:szCs w:val="20"/>
          <w:color w:val="auto"/>
        </w:rPr>
      </w:pPr>
    </w:p>
    <w:p>
      <w:pPr>
        <w:ind w:left="1360" w:right="259"/>
        <w:spacing w:after="0" w:line="243" w:lineRule="auto"/>
        <w:rPr>
          <w:sz w:val="20"/>
          <w:szCs w:val="20"/>
          <w:color w:val="auto"/>
        </w:rPr>
      </w:pPr>
      <w:r>
        <w:rPr>
          <w:rFonts w:ascii="Arial" w:cs="Arial" w:eastAsia="Arial" w:hAnsi="Arial"/>
          <w:sz w:val="14"/>
          <w:szCs w:val="14"/>
          <w:color w:val="auto"/>
        </w:rPr>
        <w:t>Except by virtue of such holder’s ownership of shares of our common stock, the holder of a pre-funded warrant does not have the rights or privileges of a holder of our common stock, including any voting rights, until such holder exercises the pre-funded warrant. Additionally, a holder is generally not entitled to receive distributions paid with respect to common stock prior to the exercise of the pre-funded warrant, and instead such distributions are expected to be held in abeyance for the holder until such pre-funded warrant is exercised or the ownership limitations would not be exceeded, at which time such holder shall be entitled to receive such distributions.</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S-24</w:t>
      </w:r>
    </w:p>
    <w:p>
      <w:pPr>
        <w:sectPr>
          <w:pgSz w:w="11900" w:h="16838" w:orient="portrait"/>
          <w:cols w:equalWidth="0" w:num="1">
            <w:col w:w="10159"/>
          </w:cols>
          <w:pgMar w:left="300" w:top="385"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0"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Certain material U.S. federal income tax considerations</w:t>
      </w:r>
    </w:p>
    <w:p>
      <w:pPr>
        <w:spacing w:after="0" w:line="125" w:lineRule="exact"/>
        <w:rPr>
          <w:sz w:val="20"/>
          <w:szCs w:val="20"/>
          <w:color w:val="auto"/>
        </w:rPr>
      </w:pPr>
    </w:p>
    <w:p>
      <w:pPr>
        <w:ind w:left="1360" w:right="259"/>
        <w:spacing w:after="0" w:line="241" w:lineRule="auto"/>
        <w:rPr>
          <w:sz w:val="20"/>
          <w:szCs w:val="20"/>
          <w:color w:val="auto"/>
        </w:rPr>
      </w:pPr>
      <w:r>
        <w:rPr>
          <w:rFonts w:ascii="Arial" w:cs="Arial" w:eastAsia="Arial" w:hAnsi="Arial"/>
          <w:sz w:val="14"/>
          <w:szCs w:val="14"/>
          <w:color w:val="auto"/>
        </w:rPr>
        <w:t>The following summary describes the material U.S. federal income tax considerations of the acquisition, ownership and disposition of our common stock and pre-funded warrants acquired in this offering. This discussion does not address all aspects of U.S. federal income taxes, does not discuss the potential application of any alternative minimum tax or Medicare Contribution tax on net investment income, or the special tax accounting rules under Section 451(b) of the Internal Revenue Code, or the Code, and does not address state or local taxes, U.S. federal gift and estate tax laws or, except to the limited extent provided below, any non-U.S. tax consequences that may be relevant to investors in light of their particular circumstances.</w:t>
      </w:r>
    </w:p>
    <w:p>
      <w:pPr>
        <w:spacing w:after="0" w:line="91" w:lineRule="exact"/>
        <w:rPr>
          <w:sz w:val="20"/>
          <w:szCs w:val="20"/>
          <w:color w:val="auto"/>
        </w:rPr>
      </w:pPr>
    </w:p>
    <w:p>
      <w:pPr>
        <w:ind w:left="1360" w:right="519"/>
        <w:spacing w:after="0" w:line="270" w:lineRule="auto"/>
        <w:rPr>
          <w:sz w:val="20"/>
          <w:szCs w:val="20"/>
          <w:color w:val="auto"/>
        </w:rPr>
      </w:pPr>
      <w:r>
        <w:rPr>
          <w:rFonts w:ascii="Arial" w:cs="Arial" w:eastAsia="Arial" w:hAnsi="Arial"/>
          <w:sz w:val="14"/>
          <w:szCs w:val="14"/>
          <w:color w:val="auto"/>
        </w:rPr>
        <w:t>Special rules different from those described below may apply to certain investors that are subject to special treatment under the Code, such as:</w:t>
      </w:r>
    </w:p>
    <w:p>
      <w:pPr>
        <w:spacing w:after="0" w:line="68" w:lineRule="exact"/>
        <w:rPr>
          <w:sz w:val="20"/>
          <w:szCs w:val="20"/>
          <w:color w:val="auto"/>
        </w:rPr>
      </w:pPr>
    </w:p>
    <w:p>
      <w:pPr>
        <w:ind w:left="1520" w:hanging="161"/>
        <w:spacing w:after="0"/>
        <w:tabs>
          <w:tab w:leader="none" w:pos="1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insurance companies, banks and other financial institutions;</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tax-exempt organizations (including private foundations) and tax-qualified retirement plans;</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foreign governments and international organizations;</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broker-dealers and traders in securities;</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U.S. expatriates and certain former citizens or long-term residents of the United States;</w:t>
      </w:r>
    </w:p>
    <w:p>
      <w:pPr>
        <w:spacing w:after="0" w:line="112" w:lineRule="exact"/>
        <w:rPr>
          <w:rFonts w:ascii="Arial" w:cs="Arial" w:eastAsia="Arial" w:hAnsi="Arial"/>
          <w:sz w:val="14"/>
          <w:szCs w:val="14"/>
          <w:color w:val="auto"/>
        </w:rPr>
      </w:pPr>
    </w:p>
    <w:p>
      <w:pPr>
        <w:ind w:left="1520" w:right="559" w:hanging="161"/>
        <w:spacing w:after="0" w:line="270" w:lineRule="auto"/>
        <w:tabs>
          <w:tab w:leader="none" w:pos="1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Non-U.S. Holders (as defined below) that own, or are deemed to own, more than 5% of our common stock (directly, indirectly or by attribution), including for this purpose, our pre-funded warrants;</w:t>
      </w:r>
    </w:p>
    <w:p>
      <w:pPr>
        <w:spacing w:after="0" w:line="68" w:lineRule="exact"/>
        <w:rPr>
          <w:rFonts w:ascii="Arial" w:cs="Arial" w:eastAsia="Arial" w:hAnsi="Arial"/>
          <w:sz w:val="14"/>
          <w:szCs w:val="14"/>
          <w:color w:val="auto"/>
        </w:rPr>
      </w:pPr>
    </w:p>
    <w:p>
      <w:pPr>
        <w:ind w:left="1520" w:right="579" w:hanging="161"/>
        <w:spacing w:after="0" w:line="270" w:lineRule="auto"/>
        <w:tabs>
          <w:tab w:leader="none" w:pos="1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“controlled foreign corporations,” “passive foreign investment companies” and corporations that accumulate earnings to avoid U.S. federal income tax;</w:t>
      </w:r>
    </w:p>
    <w:p>
      <w:pPr>
        <w:spacing w:after="0" w:line="68" w:lineRule="exact"/>
        <w:rPr>
          <w:rFonts w:ascii="Arial" w:cs="Arial" w:eastAsia="Arial" w:hAnsi="Arial"/>
          <w:sz w:val="14"/>
          <w:szCs w:val="14"/>
          <w:color w:val="auto"/>
        </w:rPr>
      </w:pPr>
    </w:p>
    <w:p>
      <w:pPr>
        <w:ind w:left="1520" w:right="739" w:hanging="161"/>
        <w:spacing w:after="0" w:line="270" w:lineRule="auto"/>
        <w:tabs>
          <w:tab w:leader="none" w:pos="1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persons that hold our common stock or pre-funded warrants as part of a “straddle,” “hedge,” “conversion transaction,” “synthetic security” or integrated investment or other risk reduction strategy;</w:t>
      </w:r>
    </w:p>
    <w:p>
      <w:pPr>
        <w:spacing w:after="0" w:line="68" w:lineRule="exact"/>
        <w:rPr>
          <w:rFonts w:ascii="Arial" w:cs="Arial" w:eastAsia="Arial" w:hAnsi="Arial"/>
          <w:sz w:val="14"/>
          <w:szCs w:val="14"/>
          <w:color w:val="auto"/>
        </w:rPr>
      </w:pPr>
    </w:p>
    <w:p>
      <w:pPr>
        <w:ind w:left="1520" w:hanging="161"/>
        <w:spacing w:after="0"/>
        <w:tabs>
          <w:tab w:leader="none" w:pos="1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U.S. Holders (as defined below) whose functional currency for U.S. tax purposes is not the U.S. dollar;</w:t>
      </w:r>
    </w:p>
    <w:p>
      <w:pPr>
        <w:spacing w:after="0" w:line="112" w:lineRule="exact"/>
        <w:rPr>
          <w:rFonts w:ascii="Arial" w:cs="Arial" w:eastAsia="Arial" w:hAnsi="Arial"/>
          <w:sz w:val="14"/>
          <w:szCs w:val="14"/>
          <w:color w:val="auto"/>
        </w:rPr>
      </w:pPr>
    </w:p>
    <w:p>
      <w:pPr>
        <w:ind w:left="1520" w:right="319" w:hanging="161"/>
        <w:spacing w:after="0" w:line="270" w:lineRule="auto"/>
        <w:tabs>
          <w:tab w:leader="none" w:pos="1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persons who do not hold our common stock or pre-funded warrants as “capital assets” within the meaning of Section 1221 of the Code (generally, for investment purposes);</w:t>
      </w:r>
    </w:p>
    <w:p>
      <w:pPr>
        <w:spacing w:after="0" w:line="68" w:lineRule="exact"/>
        <w:rPr>
          <w:rFonts w:ascii="Arial" w:cs="Arial" w:eastAsia="Arial" w:hAnsi="Arial"/>
          <w:sz w:val="14"/>
          <w:szCs w:val="14"/>
          <w:color w:val="auto"/>
        </w:rPr>
      </w:pPr>
    </w:p>
    <w:p>
      <w:pPr>
        <w:ind w:left="1520" w:hanging="161"/>
        <w:spacing w:after="0"/>
        <w:tabs>
          <w:tab w:leader="none" w:pos="1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regulated investment companies;</w:t>
      </w:r>
    </w:p>
    <w:p>
      <w:pPr>
        <w:spacing w:after="0" w:line="112" w:lineRule="exact"/>
        <w:rPr>
          <w:rFonts w:ascii="Arial" w:cs="Arial" w:eastAsia="Arial" w:hAnsi="Arial"/>
          <w:sz w:val="14"/>
          <w:szCs w:val="14"/>
          <w:color w:val="auto"/>
        </w:rPr>
      </w:pPr>
    </w:p>
    <w:p>
      <w:pPr>
        <w:ind w:left="1520" w:hanging="161"/>
        <w:spacing w:after="0"/>
        <w:tabs>
          <w:tab w:leader="none" w:pos="1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pension plans;</w:t>
      </w:r>
    </w:p>
    <w:p>
      <w:pPr>
        <w:spacing w:after="0" w:line="112" w:lineRule="exact"/>
        <w:rPr>
          <w:rFonts w:ascii="Arial" w:cs="Arial" w:eastAsia="Arial" w:hAnsi="Arial"/>
          <w:sz w:val="14"/>
          <w:szCs w:val="14"/>
          <w:color w:val="auto"/>
        </w:rPr>
      </w:pPr>
    </w:p>
    <w:p>
      <w:pPr>
        <w:ind w:left="1520" w:right="239" w:hanging="161"/>
        <w:spacing w:after="0" w:line="270" w:lineRule="auto"/>
        <w:tabs>
          <w:tab w:leader="none" w:pos="1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“qualified foreign pension funds” as defined in Section 897(l)(2) of the Code and entities all of the interests of which are held by qualified foreign pension funds;</w:t>
      </w:r>
    </w:p>
    <w:p>
      <w:pPr>
        <w:spacing w:after="0" w:line="68" w:lineRule="exact"/>
        <w:rPr>
          <w:rFonts w:ascii="Arial" w:cs="Arial" w:eastAsia="Arial" w:hAnsi="Arial"/>
          <w:sz w:val="14"/>
          <w:szCs w:val="14"/>
          <w:color w:val="auto"/>
        </w:rPr>
      </w:pPr>
    </w:p>
    <w:p>
      <w:pPr>
        <w:ind w:left="1520" w:hanging="161"/>
        <w:spacing w:after="0"/>
        <w:tabs>
          <w:tab w:leader="none" w:pos="1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persons deemed to sell our common stock or pre-funded warrants under the constructive sale provisions of the Code; and</w:t>
      </w:r>
    </w:p>
    <w:p>
      <w:pPr>
        <w:spacing w:after="0" w:line="112" w:lineRule="exact"/>
        <w:rPr>
          <w:rFonts w:ascii="Arial" w:cs="Arial" w:eastAsia="Arial" w:hAnsi="Arial"/>
          <w:sz w:val="14"/>
          <w:szCs w:val="14"/>
          <w:color w:val="auto"/>
        </w:rPr>
      </w:pPr>
    </w:p>
    <w:p>
      <w:pPr>
        <w:ind w:left="1520" w:right="699" w:hanging="161"/>
        <w:spacing w:after="0" w:line="270" w:lineRule="auto"/>
        <w:tabs>
          <w:tab w:leader="none" w:pos="1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persons who hold or receive our common stock or pre-funded warrants pursuant to the exercise of any employee stock option or otherwise as compensation.</w:t>
      </w:r>
    </w:p>
    <w:p>
      <w:pPr>
        <w:spacing w:after="0" w:line="68" w:lineRule="exact"/>
        <w:rPr>
          <w:sz w:val="20"/>
          <w:szCs w:val="20"/>
          <w:color w:val="auto"/>
        </w:rPr>
      </w:pPr>
    </w:p>
    <w:p>
      <w:pPr>
        <w:ind w:left="1360" w:right="259"/>
        <w:spacing w:after="0" w:line="270" w:lineRule="auto"/>
        <w:rPr>
          <w:sz w:val="20"/>
          <w:szCs w:val="20"/>
          <w:color w:val="auto"/>
        </w:rPr>
      </w:pPr>
      <w:r>
        <w:rPr>
          <w:rFonts w:ascii="Arial" w:cs="Arial" w:eastAsia="Arial" w:hAnsi="Arial"/>
          <w:sz w:val="14"/>
          <w:szCs w:val="14"/>
          <w:color w:val="auto"/>
        </w:rPr>
        <w:t>Such investors are urged to consult their own tax advisors to determine the U.S. federal, state, local and other tax consequences that may be relevant to them.</w:t>
      </w:r>
    </w:p>
    <w:p>
      <w:pPr>
        <w:spacing w:after="0" w:line="58" w:lineRule="exact"/>
        <w:rPr>
          <w:sz w:val="20"/>
          <w:szCs w:val="20"/>
          <w:color w:val="auto"/>
        </w:rPr>
      </w:pPr>
    </w:p>
    <w:p>
      <w:pPr>
        <w:ind w:left="1360" w:right="599"/>
        <w:spacing w:after="0" w:line="270" w:lineRule="auto"/>
        <w:rPr>
          <w:sz w:val="20"/>
          <w:szCs w:val="20"/>
          <w:color w:val="auto"/>
        </w:rPr>
      </w:pPr>
      <w:r>
        <w:rPr>
          <w:rFonts w:ascii="Arial" w:cs="Arial" w:eastAsia="Arial" w:hAnsi="Arial"/>
          <w:sz w:val="14"/>
          <w:szCs w:val="14"/>
          <w:color w:val="auto"/>
        </w:rPr>
        <w:t>In addition, this discussion does not address the tax treatment of partnerships or other pass-through entities or persons who hold our common stock or pre-funded warrants through partnerships or other entities which are</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S-25</w:t>
      </w:r>
    </w:p>
    <w:p>
      <w:pPr>
        <w:sectPr>
          <w:pgSz w:w="11900" w:h="16838" w:orient="portrait"/>
          <w:cols w:equalWidth="0" w:num="1">
            <w:col w:w="10159"/>
          </w:cols>
          <w:pgMar w:left="300" w:top="385"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43" w:lineRule="auto"/>
        <w:rPr>
          <w:sz w:val="20"/>
          <w:szCs w:val="20"/>
          <w:color w:val="auto"/>
        </w:rPr>
      </w:pPr>
      <w:r>
        <w:rPr>
          <w:rFonts w:ascii="Arial" w:cs="Arial" w:eastAsia="Arial" w:hAnsi="Arial"/>
          <w:sz w:val="14"/>
          <w:szCs w:val="14"/>
          <w:color w:val="auto"/>
        </w:rPr>
        <w:t>pass-through entities for U.S. federal income tax purposes. If a partnership or other pass-through entity holds our common stock or pre-funded warrants, the tax treatment of a partner will generally depend upon the status of the partner and the activities of the partnership or other pass-through entity. A partner in a partnership or other pass-through entity that will hold our common stock or pre-funded warrants should consult his, her or its own tax advisor regarding the tax consequences of the ownership and disposition of our common stock or pre-funded warrants through a partnership or other pass-through entity, as applicable.</w:t>
      </w:r>
    </w:p>
    <w:p>
      <w:pPr>
        <w:spacing w:after="0" w:line="78" w:lineRule="exact"/>
        <w:rPr>
          <w:sz w:val="20"/>
          <w:szCs w:val="20"/>
          <w:color w:val="auto"/>
        </w:rPr>
      </w:pPr>
    </w:p>
    <w:p>
      <w:pPr>
        <w:ind w:left="1360" w:right="239"/>
        <w:spacing w:after="0"/>
        <w:rPr>
          <w:sz w:val="20"/>
          <w:szCs w:val="20"/>
          <w:color w:val="auto"/>
        </w:rPr>
      </w:pPr>
      <w:r>
        <w:rPr>
          <w:rFonts w:ascii="Arial" w:cs="Arial" w:eastAsia="Arial" w:hAnsi="Arial"/>
          <w:sz w:val="14"/>
          <w:szCs w:val="14"/>
          <w:color w:val="auto"/>
        </w:rPr>
        <w:t>Furthermore, the discussion below is based upon the provisions of the Code, and Treasury regulations, published rulings and administrative provisions of the Internal Revenue Service, or IRS,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w:t>
      </w:r>
    </w:p>
    <w:p>
      <w:pPr>
        <w:spacing w:after="0" w:line="91" w:lineRule="exact"/>
        <w:rPr>
          <w:sz w:val="20"/>
          <w:szCs w:val="20"/>
          <w:color w:val="auto"/>
        </w:rPr>
      </w:pPr>
    </w:p>
    <w:p>
      <w:pPr>
        <w:ind w:left="1360" w:right="359"/>
        <w:spacing w:after="0" w:line="239" w:lineRule="auto"/>
        <w:rPr>
          <w:sz w:val="20"/>
          <w:szCs w:val="20"/>
          <w:color w:val="auto"/>
        </w:rPr>
      </w:pPr>
      <w:r>
        <w:rPr>
          <w:rFonts w:ascii="Arial" w:cs="Arial" w:eastAsia="Arial" w:hAnsi="Arial"/>
          <w:sz w:val="14"/>
          <w:szCs w:val="14"/>
          <w:color w:val="auto"/>
        </w:rPr>
        <w:t>For the purposes of this discussion, a “U.S. Holder” means a beneficial owner of our common stock or pre-funded warrants, other than a partnership or other pass-through entity, that is, for U.S. federal income tax purposes, (a) an individual who is a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U.S. person.</w:t>
      </w:r>
    </w:p>
    <w:p>
      <w:pPr>
        <w:spacing w:after="0" w:line="93" w:lineRule="exact"/>
        <w:rPr>
          <w:sz w:val="20"/>
          <w:szCs w:val="20"/>
          <w:color w:val="auto"/>
        </w:rPr>
      </w:pPr>
    </w:p>
    <w:p>
      <w:pPr>
        <w:ind w:left="1360" w:right="259"/>
        <w:spacing w:after="0" w:line="246" w:lineRule="auto"/>
        <w:rPr>
          <w:sz w:val="20"/>
          <w:szCs w:val="20"/>
          <w:color w:val="auto"/>
        </w:rPr>
      </w:pPr>
      <w:r>
        <w:rPr>
          <w:rFonts w:ascii="Arial" w:cs="Arial" w:eastAsia="Arial" w:hAnsi="Arial"/>
          <w:sz w:val="14"/>
          <w:szCs w:val="14"/>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75" w:lineRule="exact"/>
        <w:rPr>
          <w:sz w:val="20"/>
          <w:szCs w:val="20"/>
          <w:color w:val="auto"/>
        </w:rPr>
      </w:pPr>
    </w:p>
    <w:p>
      <w:pPr>
        <w:ind w:left="1360" w:right="339"/>
        <w:spacing w:after="0" w:line="252" w:lineRule="auto"/>
        <w:rPr>
          <w:sz w:val="20"/>
          <w:szCs w:val="20"/>
          <w:color w:val="auto"/>
        </w:rPr>
      </w:pPr>
      <w:r>
        <w:rPr>
          <w:rFonts w:ascii="Arial" w:cs="Arial" w:eastAsia="Arial" w:hAnsi="Arial"/>
          <w:sz w:val="14"/>
          <w:szCs w:val="14"/>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 or pre-funded warrants.</w:t>
      </w:r>
    </w:p>
    <w:p>
      <w:pPr>
        <w:spacing w:after="0" w:line="81" w:lineRule="exact"/>
        <w:rPr>
          <w:sz w:val="20"/>
          <w:szCs w:val="20"/>
          <w:color w:val="auto"/>
        </w:rPr>
      </w:pPr>
    </w:p>
    <w:p>
      <w:pPr>
        <w:ind w:left="1360" w:right="359"/>
        <w:spacing w:after="0" w:line="241" w:lineRule="auto"/>
        <w:rPr>
          <w:sz w:val="20"/>
          <w:szCs w:val="20"/>
          <w:color w:val="auto"/>
        </w:rPr>
      </w:pPr>
      <w:r>
        <w:rPr>
          <w:rFonts w:ascii="Arial" w:cs="Arial" w:eastAsia="Arial" w:hAnsi="Arial"/>
          <w:sz w:val="14"/>
          <w:szCs w:val="14"/>
          <w:color w:val="auto"/>
        </w:rPr>
        <w:t>PERSONS CONSIDERING THE PURCHASE OF OUR COMMON STOCK OR PRE-FUNDED WARRANTS PURSUANT TO THIS OFFERING SHOULD CONSULT THEIR OWN TAX ADVISORS CONCERNING THE U.S. FEDERAL INCOME TAX CONSEQUENCES OF ACQUIRING, OWNING AND DISPOSING OF OUR COMMON STOCK OR PRE-FUNDED WARRANTS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189"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Characterization of the pre-funded warrants for tax purposes</w:t>
      </w:r>
    </w:p>
    <w:p>
      <w:pPr>
        <w:spacing w:after="0" w:line="115" w:lineRule="exact"/>
        <w:rPr>
          <w:sz w:val="20"/>
          <w:szCs w:val="20"/>
          <w:color w:val="auto"/>
        </w:rPr>
      </w:pPr>
    </w:p>
    <w:p>
      <w:pPr>
        <w:ind w:left="1360" w:right="319"/>
        <w:spacing w:after="0" w:line="246" w:lineRule="auto"/>
        <w:rPr>
          <w:sz w:val="20"/>
          <w:szCs w:val="20"/>
          <w:color w:val="auto"/>
        </w:rPr>
      </w:pPr>
      <w:r>
        <w:rPr>
          <w:rFonts w:ascii="Arial" w:cs="Arial" w:eastAsia="Arial" w:hAnsi="Arial"/>
          <w:sz w:val="14"/>
          <w:szCs w:val="14"/>
          <w:color w:val="auto"/>
        </w:rPr>
        <w:t>Although the characterization of the pre-funded warrants for U.S. federal income tax purposes is not entirely clear, because the exercise price of the pre-funded warrants is a nominal amount, we expect to treat the pre-funded warrants as our common stock for U.S. federal income tax purposes and a holder of pre-funded warrants should generally be taxed in the same manner as a holder of common stock as described below.</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S-26</w:t>
      </w:r>
    </w:p>
    <w:p>
      <w:pPr>
        <w:sectPr>
          <w:pgSz w:w="11900" w:h="16838" w:orient="portrait"/>
          <w:cols w:equalWidth="0" w:num="1">
            <w:col w:w="10159"/>
          </w:cols>
          <w:pgMar w:left="300" w:top="385"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4" w:lineRule="auto"/>
        <w:rPr>
          <w:sz w:val="20"/>
          <w:szCs w:val="20"/>
          <w:color w:val="auto"/>
        </w:rPr>
      </w:pPr>
      <w:r>
        <w:rPr>
          <w:rFonts w:ascii="Arial" w:cs="Arial" w:eastAsia="Arial" w:hAnsi="Arial"/>
          <w:sz w:val="13"/>
          <w:szCs w:val="13"/>
          <w:color w:val="auto"/>
        </w:rPr>
        <w:t>Accordingly, for U.S. federal income tax purposes, no gain or loss should be recognized upon the exercise of a pre-funded warrant (other than with respect to cash paid in lieu of a fractional share), and upon exercise, the holding period of the share of common stock received should include the holding period of the pre-funded warrant. Similarly, the tax basis of a share of common stock received upon exercise of a pre-funded warrant should include the tax basis of the pre-funded warrant increased by the exercise price of $0.001 per share. The balance of this discussion generally assumes that the characterization described above is respected for U.S. federal income tax purposes, and the discussion below, to the extent it pertains to our common stock, is generally intended to also pertain to the pre-funded warrants.</w:t>
      </w:r>
    </w:p>
    <w:p>
      <w:pPr>
        <w:spacing w:after="0" w:line="64" w:lineRule="exact"/>
        <w:rPr>
          <w:sz w:val="20"/>
          <w:szCs w:val="20"/>
          <w:color w:val="auto"/>
        </w:rPr>
      </w:pPr>
    </w:p>
    <w:p>
      <w:pPr>
        <w:ind w:left="1360" w:right="379"/>
        <w:spacing w:after="0" w:line="243" w:lineRule="auto"/>
        <w:rPr>
          <w:sz w:val="20"/>
          <w:szCs w:val="20"/>
          <w:color w:val="auto"/>
        </w:rPr>
      </w:pPr>
      <w:r>
        <w:rPr>
          <w:rFonts w:ascii="Arial" w:cs="Arial" w:eastAsia="Arial" w:hAnsi="Arial"/>
          <w:sz w:val="14"/>
          <w:szCs w:val="14"/>
          <w:color w:val="auto"/>
        </w:rPr>
        <w:t>Our position with respect to the characterization of pre-funded warrants is not binding on the IRS and the IRS may treat the pre-funded warrants as warrants to acquire our common stock and, if so, the amount and character of your gain with respect to an investment in our pre-funded warrants could change. You should consult your tax advisor regarding the characterization of pre-funded warrants for U.S. federal income tax purposes, and the consequences to you of an investment in the pre-funded warrants based on your own particular facts and circumstances.</w:t>
      </w:r>
    </w:p>
    <w:p>
      <w:pPr>
        <w:spacing w:after="0" w:line="197"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Tax consequences to U.S. holders</w:t>
      </w:r>
    </w:p>
    <w:p>
      <w:pPr>
        <w:spacing w:after="0" w:line="1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Distributions on common stock and pre-funded warrants</w:t>
      </w:r>
    </w:p>
    <w:p>
      <w:pPr>
        <w:spacing w:after="0" w:line="110" w:lineRule="exact"/>
        <w:rPr>
          <w:sz w:val="20"/>
          <w:szCs w:val="20"/>
          <w:color w:val="auto"/>
        </w:rPr>
      </w:pPr>
    </w:p>
    <w:p>
      <w:pPr>
        <w:ind w:left="1360" w:right="259"/>
        <w:spacing w:after="0" w:line="238" w:lineRule="auto"/>
        <w:rPr>
          <w:sz w:val="20"/>
          <w:szCs w:val="20"/>
          <w:color w:val="auto"/>
        </w:rPr>
      </w:pPr>
      <w:r>
        <w:rPr>
          <w:rFonts w:ascii="Arial" w:cs="Arial" w:eastAsia="Arial" w:hAnsi="Arial"/>
          <w:sz w:val="14"/>
          <w:szCs w:val="14"/>
          <w:color w:val="auto"/>
        </w:rPr>
        <w:t>As stated under “</w:t>
      </w:r>
      <w:r>
        <w:rPr>
          <w:rFonts w:ascii="Arial" w:cs="Arial" w:eastAsia="Arial" w:hAnsi="Arial"/>
          <w:sz w:val="14"/>
          <w:szCs w:val="14"/>
          <w:i w:val="1"/>
          <w:iCs w:val="1"/>
          <w:color w:val="auto"/>
        </w:rPr>
        <w:t>Dividend Policy</w:t>
      </w:r>
      <w:r>
        <w:rPr>
          <w:rFonts w:ascii="Arial" w:cs="Arial" w:eastAsia="Arial" w:hAnsi="Arial"/>
          <w:sz w:val="14"/>
          <w:szCs w:val="14"/>
          <w:color w:val="auto"/>
        </w:rPr>
        <w:t>,” we do not expect to make distributions on our common stock (or pre-funded warrants) in the foreseeable future. In the event that we do make distributions of cash or other property, distributions paid on common stock (or pre-funded warrants) will be treated as a dividend to the extent paid out of our current or accumulated earnings and profits (as determined under U.S. federal income tax principles). Dividends received by individuals may be eligible to be taxed at the lower applicable qualified dividends rate, provided certain holding period requirements are satisfied. Distributions in excess of our current and accumulated earnings and profits will be treated as a return of capital to the extent of a U.S. Holder’s tax basis in the common stock (or pre-funded warrant) and thereafter as capital gain from the sale or exchange of such common stock (or pre-funded warrant). The tax treatment of such gain is further described in “—</w:t>
      </w:r>
      <w:r>
        <w:rPr>
          <w:rFonts w:ascii="Arial" w:cs="Arial" w:eastAsia="Arial" w:hAnsi="Arial"/>
          <w:sz w:val="14"/>
          <w:szCs w:val="14"/>
          <w:i w:val="1"/>
          <w:iCs w:val="1"/>
          <w:color w:val="auto"/>
        </w:rPr>
        <w:t>Sale or Other Disposition of Common Stock or pre-funded warrants</w:t>
      </w:r>
      <w:r>
        <w:rPr>
          <w:rFonts w:ascii="Arial" w:cs="Arial" w:eastAsia="Arial" w:hAnsi="Arial"/>
          <w:sz w:val="14"/>
          <w:szCs w:val="14"/>
          <w:color w:val="auto"/>
        </w:rPr>
        <w:t>” below. Dividends received by a corporation may be eligible for a dividends received deduction, subject to applicable limitations. Any such distributions will also be subject to the discussions below under the section titled “—</w:t>
      </w:r>
      <w:r>
        <w:rPr>
          <w:rFonts w:ascii="Arial" w:cs="Arial" w:eastAsia="Arial" w:hAnsi="Arial"/>
          <w:sz w:val="14"/>
          <w:szCs w:val="14"/>
          <w:i w:val="1"/>
          <w:iCs w:val="1"/>
          <w:color w:val="auto"/>
        </w:rPr>
        <w:t>Information Reporting and Backup Withholding</w:t>
      </w:r>
      <w:r>
        <w:rPr>
          <w:rFonts w:ascii="Arial" w:cs="Arial" w:eastAsia="Arial" w:hAnsi="Arial"/>
          <w:sz w:val="14"/>
          <w:szCs w:val="14"/>
          <w:color w:val="auto"/>
        </w:rPr>
        <w:t>.”</w:t>
      </w:r>
    </w:p>
    <w:p>
      <w:pPr>
        <w:spacing w:after="0" w:line="84" w:lineRule="exact"/>
        <w:rPr>
          <w:sz w:val="20"/>
          <w:szCs w:val="20"/>
          <w:color w:val="auto"/>
        </w:rPr>
      </w:pPr>
    </w:p>
    <w:p>
      <w:pPr>
        <w:ind w:left="1360" w:right="239"/>
        <w:spacing w:after="0" w:line="238" w:lineRule="auto"/>
        <w:rPr>
          <w:sz w:val="20"/>
          <w:szCs w:val="20"/>
          <w:color w:val="auto"/>
        </w:rPr>
      </w:pPr>
      <w:r>
        <w:rPr>
          <w:rFonts w:ascii="Arial" w:cs="Arial" w:eastAsia="Arial" w:hAnsi="Arial"/>
          <w:sz w:val="14"/>
          <w:szCs w:val="14"/>
          <w:color w:val="auto"/>
        </w:rPr>
        <w:t>A U.S. Holder of a pre-funded warrant is expected to receive any distributions paid with respect to common stock prior to the exercise of the pre-funded warrant and, in such case, would be taxed in the same manner as a U.S. Holder of common stock that receives such a distribution. However, under certain circumstances, it is possible for cash to be held in abeyance for the U.S. Holder until a pre-funded warrant is exercised or the ownership limitations (described under “Description of Pre-Funded Warrants”) would not be exceeded, at which time such U.S. Holder shall be entitled to receive distributions. It is possible that such entitlement to distributions could cause the declaration of a distribution on our common stock to be currently taxable to U.S. Holders of pre-funded warrants, including under the principles governing Section 305 of the Code, even though the holders will not receive such distributions until a future date. Additionally, it is possible that other adjustments to the terms of the pre-funded warrant can be considered a constructive distribution under Section 305 of the Code. A holder of a pre-funded warrant should consult its tax advisor regarding the tax treatment of any distribution with respect to such pre-funded warrant that is held in abeyance in connection with any applicable limitation on the holder’s beneficial ownership of our common stock.</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S-27</w:t>
      </w:r>
    </w:p>
    <w:p>
      <w:pPr>
        <w:sectPr>
          <w:pgSz w:w="11900" w:h="16838" w:orient="portrait"/>
          <w:cols w:equalWidth="0" w:num="1">
            <w:col w:w="10159"/>
          </w:cols>
          <w:pgMar w:left="300" w:top="385"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Sale or other disposition of common stock or pre-funded warrants</w:t>
      </w:r>
    </w:p>
    <w:p>
      <w:pPr>
        <w:spacing w:after="0" w:line="100" w:lineRule="exact"/>
        <w:rPr>
          <w:sz w:val="20"/>
          <w:szCs w:val="20"/>
          <w:color w:val="auto"/>
        </w:rPr>
      </w:pPr>
    </w:p>
    <w:p>
      <w:pPr>
        <w:jc w:val="both"/>
        <w:ind w:left="1360" w:right="239"/>
        <w:spacing w:after="0" w:line="243" w:lineRule="auto"/>
        <w:rPr>
          <w:sz w:val="20"/>
          <w:szCs w:val="20"/>
          <w:color w:val="auto"/>
        </w:rPr>
      </w:pPr>
      <w:r>
        <w:rPr>
          <w:rFonts w:ascii="Arial" w:cs="Arial" w:eastAsia="Arial" w:hAnsi="Arial"/>
          <w:sz w:val="14"/>
          <w:szCs w:val="14"/>
          <w:color w:val="auto"/>
        </w:rPr>
        <w:t>For U.S. federal income tax purposes, gain or loss realized on the sale or other disposition of common stock or pre-funded warrants will be capital gain or loss, and will be long-term capital gain or loss if you have held the common stock or pre-funded warrants for more than one year. The amount of the gain or loss will equal the difference between your adjusted tax basis in the common stock or pre-funded warrants disposed of and the amount realized on the disposition. Long-term capital gains recognized by non-corporate U.S. Holders will be subject to reduced tax rates. The deductibility of capital losses is subject to limitations.</w:t>
      </w:r>
    </w:p>
    <w:p>
      <w:pPr>
        <w:spacing w:after="0" w:line="9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Information reporting and backup withholding</w:t>
      </w:r>
    </w:p>
    <w:p>
      <w:pPr>
        <w:spacing w:after="0" w:line="110" w:lineRule="exact"/>
        <w:rPr>
          <w:sz w:val="20"/>
          <w:szCs w:val="20"/>
          <w:color w:val="auto"/>
        </w:rPr>
      </w:pPr>
    </w:p>
    <w:p>
      <w:pPr>
        <w:ind w:left="1360" w:right="359"/>
        <w:spacing w:after="0"/>
        <w:rPr>
          <w:sz w:val="20"/>
          <w:szCs w:val="20"/>
          <w:color w:val="auto"/>
        </w:rPr>
      </w:pPr>
      <w:r>
        <w:rPr>
          <w:rFonts w:ascii="Arial" w:cs="Arial" w:eastAsia="Arial" w:hAnsi="Arial"/>
          <w:sz w:val="14"/>
          <w:szCs w:val="14"/>
          <w:color w:val="auto"/>
        </w:rPr>
        <w:t>Information reporting requirements generally will apply to any distributions on our common stock and pre-funded warrants and gross proceeds on the sale or other disposition of our common stock and pre-funded warrants, unless the U.S. Holder is an exempt recipient (such as a corporation), regardless of whether any tax was actually withheld.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U.S. federal income tax liability provided the required information is furnished timely to the IRS.</w:t>
      </w:r>
    </w:p>
    <w:p>
      <w:pPr>
        <w:spacing w:after="0" w:line="8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If backup withholding is applied to you, you should consult with your own tax advisor to determine whether you have overpaid your U.S.</w:t>
      </w:r>
    </w:p>
    <w:p>
      <w:pPr>
        <w:spacing w:after="0" w:line="1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federal income tax, and whether you are able to obtain a tax refund or credit of the overpaid amount.</w:t>
      </w:r>
    </w:p>
    <w:p>
      <w:pPr>
        <w:spacing w:after="0" w:line="197"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Tax consequences to non-U.S. holders</w:t>
      </w:r>
    </w:p>
    <w:p>
      <w:pPr>
        <w:spacing w:after="0" w:line="115" w:lineRule="exact"/>
        <w:rPr>
          <w:sz w:val="20"/>
          <w:szCs w:val="20"/>
          <w:color w:val="auto"/>
        </w:rPr>
      </w:pPr>
    </w:p>
    <w:p>
      <w:pPr>
        <w:ind w:left="1360" w:right="279"/>
        <w:spacing w:after="0" w:line="252" w:lineRule="auto"/>
        <w:rPr>
          <w:sz w:val="20"/>
          <w:szCs w:val="20"/>
          <w:color w:val="auto"/>
        </w:rPr>
      </w:pPr>
      <w:r>
        <w:rPr>
          <w:rFonts w:ascii="Arial" w:cs="Arial" w:eastAsia="Arial" w:hAnsi="Arial"/>
          <w:sz w:val="14"/>
          <w:szCs w:val="14"/>
          <w:color w:val="auto"/>
        </w:rPr>
        <w:t>For purposes of this discussion, a “Non-U.S. Holder” is a beneficial owner of our common stock (or pre-funded warrants) that, for U.S. federal income tax purposes is not a U.S. Holder or a partnership (including any entity or arrangement treated as a partnership). If you are not a Non-U.S. Holder, this section does not apply to you.</w:t>
      </w:r>
    </w:p>
    <w:p>
      <w:pPr>
        <w:spacing w:after="0" w:line="8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Distributions on common stock and pre-funded warrants</w:t>
      </w:r>
    </w:p>
    <w:p>
      <w:pPr>
        <w:spacing w:after="0" w:line="100" w:lineRule="exact"/>
        <w:rPr>
          <w:sz w:val="20"/>
          <w:szCs w:val="20"/>
          <w:color w:val="auto"/>
        </w:rPr>
      </w:pPr>
    </w:p>
    <w:p>
      <w:pPr>
        <w:ind w:left="1360" w:right="299"/>
        <w:spacing w:after="0"/>
        <w:rPr>
          <w:sz w:val="20"/>
          <w:szCs w:val="20"/>
          <w:color w:val="auto"/>
        </w:rPr>
      </w:pPr>
      <w:r>
        <w:rPr>
          <w:rFonts w:ascii="Arial" w:cs="Arial" w:eastAsia="Arial" w:hAnsi="Arial"/>
          <w:sz w:val="14"/>
          <w:szCs w:val="14"/>
          <w:color w:val="auto"/>
        </w:rPr>
        <w:t>As stated under “</w:t>
      </w:r>
      <w:r>
        <w:rPr>
          <w:rFonts w:ascii="Arial" w:cs="Arial" w:eastAsia="Arial" w:hAnsi="Arial"/>
          <w:sz w:val="14"/>
          <w:szCs w:val="14"/>
          <w:i w:val="1"/>
          <w:iCs w:val="1"/>
          <w:color w:val="auto"/>
        </w:rPr>
        <w:t>Dividend Policy</w:t>
      </w:r>
      <w:r>
        <w:rPr>
          <w:rFonts w:ascii="Arial" w:cs="Arial" w:eastAsia="Arial" w:hAnsi="Arial"/>
          <w:sz w:val="14"/>
          <w:szCs w:val="14"/>
          <w:color w:val="auto"/>
        </w:rPr>
        <w:t>,” we do not expect to make any distributions on our common stock (or pre-funded warrants) in the foreseeable future. If we do make distributions on our common stock (or pre-funded warrants),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(or pre-funded warrants). Any remaining excess will be treated as gain realized as described below under the section titled “—</w:t>
      </w:r>
      <w:r>
        <w:rPr>
          <w:rFonts w:ascii="Arial" w:cs="Arial" w:eastAsia="Arial" w:hAnsi="Arial"/>
          <w:sz w:val="14"/>
          <w:szCs w:val="14"/>
          <w:i w:val="1"/>
          <w:iCs w:val="1"/>
          <w:color w:val="auto"/>
        </w:rPr>
        <w:t>Sale or Other Disposition of Common Stock and pre-funded warrants</w:t>
      </w:r>
      <w:r>
        <w:rPr>
          <w:rFonts w:ascii="Arial" w:cs="Arial" w:eastAsia="Arial" w:hAnsi="Arial"/>
          <w:sz w:val="14"/>
          <w:szCs w:val="14"/>
          <w:color w:val="auto"/>
        </w:rPr>
        <w:t>.”</w:t>
      </w:r>
    </w:p>
    <w:p>
      <w:pPr>
        <w:spacing w:after="0" w:line="91" w:lineRule="exact"/>
        <w:rPr>
          <w:sz w:val="20"/>
          <w:szCs w:val="20"/>
          <w:color w:val="auto"/>
        </w:rPr>
      </w:pPr>
    </w:p>
    <w:p>
      <w:pPr>
        <w:ind w:left="1360" w:right="239"/>
        <w:spacing w:after="0" w:line="239" w:lineRule="auto"/>
        <w:rPr>
          <w:sz w:val="20"/>
          <w:szCs w:val="20"/>
          <w:color w:val="auto"/>
        </w:rPr>
      </w:pPr>
      <w:r>
        <w:rPr>
          <w:rFonts w:ascii="Arial" w:cs="Arial" w:eastAsia="Arial" w:hAnsi="Arial"/>
          <w:sz w:val="14"/>
          <w:szCs w:val="14"/>
          <w:color w:val="auto"/>
        </w:rPr>
        <w:t>Subject to the discussion below under the sections titled “—</w:t>
      </w:r>
      <w:r>
        <w:rPr>
          <w:rFonts w:ascii="Arial" w:cs="Arial" w:eastAsia="Arial" w:hAnsi="Arial"/>
          <w:sz w:val="14"/>
          <w:szCs w:val="14"/>
          <w:i w:val="1"/>
          <w:iCs w:val="1"/>
          <w:color w:val="auto"/>
        </w:rPr>
        <w:t>Information Reporting and Backup Withholding</w:t>
      </w:r>
      <w:r>
        <w:rPr>
          <w:rFonts w:ascii="Arial" w:cs="Arial" w:eastAsia="Arial" w:hAnsi="Arial"/>
          <w:sz w:val="14"/>
          <w:szCs w:val="14"/>
          <w:color w:val="auto"/>
        </w:rPr>
        <w:t>” and “—</w:t>
      </w:r>
      <w:r>
        <w:rPr>
          <w:rFonts w:ascii="Arial" w:cs="Arial" w:eastAsia="Arial" w:hAnsi="Arial"/>
          <w:sz w:val="14"/>
          <w:szCs w:val="14"/>
          <w:i w:val="1"/>
          <w:iCs w:val="1"/>
          <w:color w:val="auto"/>
        </w:rPr>
        <w:t>Foreign Accounts</w:t>
      </w:r>
      <w:r>
        <w:rPr>
          <w:rFonts w:ascii="Arial" w:cs="Arial" w:eastAsia="Arial" w:hAnsi="Arial"/>
          <w:sz w:val="14"/>
          <w:szCs w:val="14"/>
          <w:color w:val="auto"/>
        </w:rPr>
        <w:t>,” any distribution on our common stock (or pre-funded warrants)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S-28</w:t>
      </w:r>
    </w:p>
    <w:p>
      <w:pPr>
        <w:sectPr>
          <w:pgSz w:w="11900" w:h="16838" w:orient="portrait"/>
          <w:cols w:equalWidth="0" w:num="1">
            <w:col w:w="10159"/>
          </w:cols>
          <w:pgMar w:left="300" w:top="385"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43" w:lineRule="auto"/>
        <w:rPr>
          <w:sz w:val="20"/>
          <w:szCs w:val="20"/>
          <w:color w:val="auto"/>
        </w:rPr>
      </w:pPr>
      <w:r>
        <w:rPr>
          <w:rFonts w:ascii="Arial" w:cs="Arial" w:eastAsia="Arial" w:hAnsi="Arial"/>
          <w:sz w:val="14"/>
          <w:szCs w:val="14"/>
          <w:color w:val="auto"/>
        </w:rPr>
        <w:t>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or credit of any excess amounts withheld by timely filing an appropriate claim for a refund with the IRS.</w:t>
      </w:r>
    </w:p>
    <w:p>
      <w:pPr>
        <w:spacing w:after="0" w:line="78" w:lineRule="exact"/>
        <w:rPr>
          <w:sz w:val="20"/>
          <w:szCs w:val="20"/>
          <w:color w:val="auto"/>
        </w:rPr>
      </w:pPr>
    </w:p>
    <w:p>
      <w:pPr>
        <w:ind w:left="1360" w:right="239"/>
        <w:spacing w:after="0" w:line="238" w:lineRule="auto"/>
        <w:rPr>
          <w:sz w:val="20"/>
          <w:szCs w:val="20"/>
          <w:color w:val="auto"/>
        </w:rPr>
      </w:pPr>
      <w:r>
        <w:rPr>
          <w:rFonts w:ascii="Arial" w:cs="Arial" w:eastAsia="Arial" w:hAnsi="Arial"/>
          <w:sz w:val="14"/>
          <w:szCs w:val="14"/>
          <w:color w:val="auto"/>
        </w:rPr>
        <w:t>We generally are not required to withhold tax on dividends paid (or constructive dividends deemed paid) to a Non-U.S. Holder that are effectively connected with the holder’s conduct of a trade or business within the United States (and, if required by an applicable income tax treaty, are attributable to a permanent establishment or fixed base that the holder maintains in the United States) if a properly executed IRS Form W-8ECI, stating that the dividends are so connected, is furnished to us (or, if shares of our common stock are held through a financial institution or other agent, to the applicable withholding agent). In general, such effectively connected dividends will be subject to U.S. federal income tax on a net income basis at the regular graduated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94" w:lineRule="exact"/>
        <w:rPr>
          <w:sz w:val="20"/>
          <w:szCs w:val="20"/>
          <w:color w:val="auto"/>
        </w:rPr>
      </w:pPr>
    </w:p>
    <w:p>
      <w:pPr>
        <w:ind w:left="1360" w:right="499"/>
        <w:spacing w:after="0" w:line="270" w:lineRule="auto"/>
        <w:rPr>
          <w:sz w:val="20"/>
          <w:szCs w:val="20"/>
          <w:color w:val="auto"/>
        </w:rPr>
      </w:pPr>
      <w:r>
        <w:rPr>
          <w:rFonts w:ascii="Arial" w:cs="Arial" w:eastAsia="Arial" w:hAnsi="Arial"/>
          <w:sz w:val="14"/>
          <w:szCs w:val="14"/>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68" w:lineRule="exact"/>
        <w:rPr>
          <w:sz w:val="20"/>
          <w:szCs w:val="20"/>
          <w:color w:val="auto"/>
        </w:rPr>
      </w:pPr>
    </w:p>
    <w:p>
      <w:pPr>
        <w:ind w:left="1360" w:right="239"/>
        <w:spacing w:after="0" w:line="238" w:lineRule="auto"/>
        <w:rPr>
          <w:sz w:val="20"/>
          <w:szCs w:val="20"/>
          <w:color w:val="auto"/>
        </w:rPr>
      </w:pPr>
      <w:r>
        <w:rPr>
          <w:rFonts w:ascii="Arial" w:cs="Arial" w:eastAsia="Arial" w:hAnsi="Arial"/>
          <w:sz w:val="14"/>
          <w:szCs w:val="14"/>
          <w:color w:val="auto"/>
        </w:rPr>
        <w:t>A Non-U.S. Holder of a pre-funded warrant is expected to receive any distributions paid with respect to common stock prior to the exercise of the pre-funded warrant and, in such case, would be taxed in the same manner as Non-U.S. Holder of common stock that receives such a distribution. However, under certain circumstances, it is possible for cash to be held in abeyance for a Non-U.S. Holder until a pre-funded warrant is exercised or the ownership limitations (described under “Description of Pre-Funded Warrants”) would not be exceeded, at which time the Non-U.S. Holder shall be entitled to receive distributions. It is possible that such entitlement to distributions could cause the declaration of a distribution on our common stock to be currently taxable to Non-U.S. Holders of pre-funded warrants, including under the principles governing Section 305 of the Code, even though such holders will not receive the distributions until a future date. Additionally, it is possible that other adjustments to the terms of the pre-funded warrant can be considered a constructive distribution under Section 305 of the Code. A holder of a pre-funded warrant should consult its tax advisor regarding the tax treatment of any distribution with respect to such pre-funded warrant that is held in abeyance in connection with any applicable limitation on the holder’s beneficial ownership of our common stock.</w:t>
      </w:r>
    </w:p>
    <w:p>
      <w:pPr>
        <w:spacing w:after="0" w:line="82" w:lineRule="exact"/>
        <w:rPr>
          <w:sz w:val="20"/>
          <w:szCs w:val="20"/>
          <w:color w:val="auto"/>
        </w:rPr>
      </w:pPr>
    </w:p>
    <w:p>
      <w:pPr>
        <w:ind w:left="1360" w:right="399"/>
        <w:spacing w:after="0" w:line="270" w:lineRule="auto"/>
        <w:rPr>
          <w:sz w:val="20"/>
          <w:szCs w:val="20"/>
          <w:color w:val="auto"/>
        </w:rPr>
      </w:pPr>
      <w:r>
        <w:rPr>
          <w:rFonts w:ascii="Arial" w:cs="Arial" w:eastAsia="Arial" w:hAnsi="Arial"/>
          <w:sz w:val="14"/>
          <w:szCs w:val="14"/>
          <w:color w:val="auto"/>
        </w:rPr>
        <w:t>See also the section below titled “—</w:t>
      </w:r>
      <w:r>
        <w:rPr>
          <w:rFonts w:ascii="Arial" w:cs="Arial" w:eastAsia="Arial" w:hAnsi="Arial"/>
          <w:sz w:val="14"/>
          <w:szCs w:val="14"/>
          <w:i w:val="1"/>
          <w:iCs w:val="1"/>
          <w:color w:val="auto"/>
        </w:rPr>
        <w:t>Foreign Accounts</w:t>
      </w:r>
      <w:r>
        <w:rPr>
          <w:rFonts w:ascii="Arial" w:cs="Arial" w:eastAsia="Arial" w:hAnsi="Arial"/>
          <w:sz w:val="14"/>
          <w:szCs w:val="14"/>
          <w:color w:val="auto"/>
        </w:rPr>
        <w:t>” for additional withholding rules that may apply to dividends paid to certain foreign financial institutions or non-financial foreign entities.</w:t>
      </w:r>
    </w:p>
    <w:p>
      <w:pPr>
        <w:spacing w:after="0" w:line="7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Sale or other disposition of common stock and pre-funded warrants</w:t>
      </w:r>
    </w:p>
    <w:p>
      <w:pPr>
        <w:spacing w:after="0" w:line="100" w:lineRule="exact"/>
        <w:rPr>
          <w:sz w:val="20"/>
          <w:szCs w:val="20"/>
          <w:color w:val="auto"/>
        </w:rPr>
      </w:pPr>
    </w:p>
    <w:p>
      <w:pPr>
        <w:ind w:left="1360" w:right="279"/>
        <w:spacing w:after="0" w:line="241" w:lineRule="auto"/>
        <w:rPr>
          <w:sz w:val="20"/>
          <w:szCs w:val="20"/>
          <w:color w:val="auto"/>
        </w:rPr>
      </w:pPr>
      <w:r>
        <w:rPr>
          <w:rFonts w:ascii="Arial" w:cs="Arial" w:eastAsia="Arial" w:hAnsi="Arial"/>
          <w:sz w:val="14"/>
          <w:szCs w:val="14"/>
          <w:color w:val="auto"/>
        </w:rPr>
        <w:t>Subject to the discussion below under the sections titled “—</w:t>
      </w:r>
      <w:r>
        <w:rPr>
          <w:rFonts w:ascii="Arial" w:cs="Arial" w:eastAsia="Arial" w:hAnsi="Arial"/>
          <w:sz w:val="14"/>
          <w:szCs w:val="14"/>
          <w:i w:val="1"/>
          <w:iCs w:val="1"/>
          <w:color w:val="auto"/>
        </w:rPr>
        <w:t>Information Reporting and Backup Withholding</w:t>
      </w:r>
      <w:r>
        <w:rPr>
          <w:rFonts w:ascii="Arial" w:cs="Arial" w:eastAsia="Arial" w:hAnsi="Arial"/>
          <w:sz w:val="14"/>
          <w:szCs w:val="14"/>
          <w:color w:val="auto"/>
        </w:rPr>
        <w:t>” and “—</w:t>
      </w:r>
      <w:r>
        <w:rPr>
          <w:rFonts w:ascii="Arial" w:cs="Arial" w:eastAsia="Arial" w:hAnsi="Arial"/>
          <w:sz w:val="14"/>
          <w:szCs w:val="14"/>
          <w:i w:val="1"/>
          <w:iCs w:val="1"/>
          <w:color w:val="auto"/>
        </w:rPr>
        <w:t>Foreign Accounts</w:t>
      </w:r>
      <w:r>
        <w:rPr>
          <w:rFonts w:ascii="Arial" w:cs="Arial" w:eastAsia="Arial" w:hAnsi="Arial"/>
          <w:sz w:val="14"/>
          <w:szCs w:val="14"/>
          <w:color w:val="auto"/>
        </w:rPr>
        <w:t>,” a Non-U.S. Holder generally will not be subject to U.S. federal income or withholding tax with respect to gain realized on a sale or other disposition of our common stock or pre-funded warrants unless (a) the gain is effectively connected with a trade or business of the holder in the United States (and, if required by an applicable income tax treaty, is attributable to a permanent establishment that the holder maintains in the United States), (b) the Non-U.S. Holder is a nonresident alien individual and is present in the United States for a period or periods aggregating 183 or more days in the taxable year of the disposition and certain other</w:t>
      </w:r>
    </w:p>
    <w:p>
      <w:pPr>
        <w:spacing w:after="0" w:line="9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S-29</w:t>
      </w:r>
    </w:p>
    <w:p>
      <w:pPr>
        <w:sectPr>
          <w:pgSz w:w="11900" w:h="16838" w:orient="portrait"/>
          <w:cols w:equalWidth="0" w:num="1">
            <w:col w:w="10159"/>
          </w:cols>
          <w:pgMar w:left="300" w:top="385"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conditions are met, or (c) we are or have been a “United States real property holding corporation” within the meaning of Code</w:t>
      </w:r>
    </w:p>
    <w:p>
      <w:pPr>
        <w:spacing w:after="0" w:line="11" w:lineRule="exact"/>
        <w:rPr>
          <w:sz w:val="20"/>
          <w:szCs w:val="20"/>
          <w:color w:val="auto"/>
        </w:rPr>
      </w:pPr>
    </w:p>
    <w:p>
      <w:pPr>
        <w:ind w:left="1360" w:right="359"/>
        <w:spacing w:after="0" w:line="242" w:lineRule="auto"/>
        <w:rPr>
          <w:sz w:val="20"/>
          <w:szCs w:val="20"/>
          <w:color w:val="auto"/>
        </w:rPr>
      </w:pPr>
      <w:r>
        <w:rPr>
          <w:rFonts w:ascii="Arial" w:cs="Arial" w:eastAsia="Arial" w:hAnsi="Arial"/>
          <w:sz w:val="14"/>
          <w:szCs w:val="14"/>
          <w:color w:val="auto"/>
        </w:rPr>
        <w:t>Section 897(c)(2) during the shorter of the 5-year period ending on the date of the disposition or the period that the Non-U.S. Holder held such class of stock, unless any class of our stock is regularly traded on an established securities market and the Non-U.S. Holder disposes of such class of stock and holds no more than 5% of such class of stock, directly or indirectly, actually or constructively.</w:t>
      </w:r>
    </w:p>
    <w:p>
      <w:pPr>
        <w:spacing w:after="0" w:line="77" w:lineRule="exact"/>
        <w:rPr>
          <w:sz w:val="20"/>
          <w:szCs w:val="20"/>
          <w:color w:val="auto"/>
        </w:rPr>
      </w:pPr>
    </w:p>
    <w:p>
      <w:pPr>
        <w:ind w:left="1360" w:right="239"/>
        <w:spacing w:after="0" w:line="238" w:lineRule="auto"/>
        <w:rPr>
          <w:sz w:val="20"/>
          <w:szCs w:val="20"/>
          <w:color w:val="auto"/>
        </w:rPr>
      </w:pPr>
      <w:r>
        <w:rPr>
          <w:rFonts w:ascii="Arial" w:cs="Arial" w:eastAsia="Arial" w:hAnsi="Arial"/>
          <w:sz w:val="14"/>
          <w:szCs w:val="14"/>
          <w:color w:val="auto"/>
        </w:rPr>
        <w:t>If you are a Non-U.S. Holder described in (a) above, you will be required to pay tax on the net gain derived from the sale at the regular graduated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U.S. real property holding corporation if interests in U.S. real estate comprised (by fair market value) at least half of our worldwide real property interests plus our other assets used or held for use in a trade or business. We believe that we are not, and do not anticipate becoming, a U.S. real property holding corporation. However, there can be no assurance that we will not become a U.S. real property holding corporation in the future. Our pre-funded warrants are expected to constitute a class of stock for purposes of the rules described above. However, we do not expect our pre-funded warrants to be regularly traded on an established securities market for purposes of such rule.</w:t>
      </w:r>
    </w:p>
    <w:p>
      <w:pPr>
        <w:spacing w:after="0" w:line="92"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Information reporting and backup withholding</w:t>
      </w:r>
    </w:p>
    <w:p>
      <w:pPr>
        <w:spacing w:after="0" w:line="110" w:lineRule="exact"/>
        <w:rPr>
          <w:sz w:val="20"/>
          <w:szCs w:val="20"/>
          <w:color w:val="auto"/>
        </w:rPr>
      </w:pPr>
    </w:p>
    <w:p>
      <w:pPr>
        <w:ind w:left="1360" w:right="359"/>
        <w:spacing w:after="0" w:line="243" w:lineRule="auto"/>
        <w:rPr>
          <w:sz w:val="20"/>
          <w:szCs w:val="20"/>
          <w:color w:val="auto"/>
        </w:rPr>
      </w:pPr>
      <w:r>
        <w:rPr>
          <w:rFonts w:ascii="Arial" w:cs="Arial" w:eastAsia="Arial" w:hAnsi="Arial"/>
          <w:sz w:val="14"/>
          <w:szCs w:val="14"/>
          <w:color w:val="auto"/>
        </w:rPr>
        <w:t>Generally, we or certain financial middlemen must report information to the IRS with respect to any distributions we pay on our common stock or pre-funded warrants and any constructive distributions deemed paid on pre-funded warrants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78" w:lineRule="exact"/>
        <w:rPr>
          <w:sz w:val="20"/>
          <w:szCs w:val="20"/>
          <w:color w:val="auto"/>
        </w:rPr>
      </w:pPr>
    </w:p>
    <w:p>
      <w:pPr>
        <w:ind w:left="1360" w:right="399"/>
        <w:spacing w:after="0" w:line="246" w:lineRule="auto"/>
        <w:rPr>
          <w:sz w:val="20"/>
          <w:szCs w:val="20"/>
          <w:color w:val="auto"/>
        </w:rPr>
      </w:pPr>
      <w:r>
        <w:rPr>
          <w:rFonts w:ascii="Arial" w:cs="Arial" w:eastAsia="Arial" w:hAnsi="Arial"/>
          <w:sz w:val="14"/>
          <w:szCs w:val="14"/>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86" w:lineRule="exact"/>
        <w:rPr>
          <w:sz w:val="20"/>
          <w:szCs w:val="20"/>
          <w:color w:val="auto"/>
        </w:rPr>
      </w:pPr>
    </w:p>
    <w:p>
      <w:pPr>
        <w:ind w:left="1360" w:right="239"/>
        <w:spacing w:after="0" w:line="239" w:lineRule="auto"/>
        <w:rPr>
          <w:sz w:val="20"/>
          <w:szCs w:val="20"/>
          <w:color w:val="auto"/>
        </w:rPr>
      </w:pPr>
      <w:r>
        <w:rPr>
          <w:rFonts w:ascii="Arial" w:cs="Arial" w:eastAsia="Arial" w:hAnsi="Arial"/>
          <w:sz w:val="14"/>
          <w:szCs w:val="14"/>
          <w:color w:val="auto"/>
        </w:rPr>
        <w:t>Under current U.S. federal income tax law, U.S. information reporting and backup withholding requirements generally will apply to the proceeds of a disposition of our common stock or pre-funded warrants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S-30</w:t>
      </w:r>
    </w:p>
    <w:p>
      <w:pPr>
        <w:sectPr>
          <w:pgSz w:w="11900" w:h="16838" w:orient="portrait"/>
          <w:cols w:equalWidth="0" w:num="1">
            <w:col w:w="10159"/>
          </w:cols>
          <w:pgMar w:left="300" w:top="385"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699"/>
        <w:spacing w:after="0" w:line="252" w:lineRule="auto"/>
        <w:rPr>
          <w:sz w:val="20"/>
          <w:szCs w:val="20"/>
          <w:color w:val="auto"/>
        </w:rPr>
      </w:pPr>
      <w:r>
        <w:rPr>
          <w:rFonts w:ascii="Arial" w:cs="Arial" w:eastAsia="Arial" w:hAnsi="Arial"/>
          <w:sz w:val="14"/>
          <w:szCs w:val="14"/>
          <w:color w:val="auto"/>
        </w:rPr>
        <w:t>Backup withholding is not an additional tax. If backup withholding is applied to you, you should consult with your own tax advisor to determine whether you have overpaid your U.S. federal income tax, and whether you are able to obtain a tax refund or credit of the overpaid amount.</w:t>
      </w:r>
    </w:p>
    <w:p>
      <w:pPr>
        <w:spacing w:after="0" w:line="180"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Foreign accounts</w:t>
      </w:r>
    </w:p>
    <w:p>
      <w:pPr>
        <w:spacing w:after="0" w:line="115" w:lineRule="exact"/>
        <w:rPr>
          <w:sz w:val="20"/>
          <w:szCs w:val="20"/>
          <w:color w:val="auto"/>
        </w:rPr>
      </w:pPr>
    </w:p>
    <w:p>
      <w:pPr>
        <w:ind w:left="1360" w:right="259"/>
        <w:spacing w:after="0" w:line="256" w:lineRule="auto"/>
        <w:rPr>
          <w:sz w:val="20"/>
          <w:szCs w:val="20"/>
          <w:color w:val="auto"/>
        </w:rPr>
      </w:pPr>
      <w:r>
        <w:rPr>
          <w:rFonts w:ascii="Arial" w:cs="Arial" w:eastAsia="Arial" w:hAnsi="Arial"/>
          <w:sz w:val="13"/>
          <w:szCs w:val="13"/>
          <w:color w:val="auto"/>
        </w:rPr>
        <w:t>In addition to, and separately from the withholding rules described above, U.S. federal withholding taxes may apply under the Foreign Account Tax Compliance Act, or FATCA, on certain types of payments, including dividends (and deemed dividends) to non-U.S. financial institutions and certain other non-U.S. entities. Specifically, a 30% withholding tax may be imposed on dividends paid in respect of our common stock or pre-funded warrants, constructive distributions deemed paid with respect to pre-funded warrants and the gross proceeds of the disposition on our common stock or pre-funded warrants paid to a “foreign financial institution” or a “non-financial foreign entity” (each as defined in the Code), unless (1) the foreign financial institution agrees to undertake certain diligence and reporting obligations,</w:t>
      </w:r>
    </w:p>
    <w:p>
      <w:pPr>
        <w:spacing w:after="0" w:line="2" w:lineRule="exact"/>
        <w:rPr>
          <w:sz w:val="20"/>
          <w:szCs w:val="20"/>
          <w:color w:val="auto"/>
        </w:rPr>
      </w:pPr>
    </w:p>
    <w:p>
      <w:pPr>
        <w:ind w:left="1360" w:right="239" w:hanging="1"/>
        <w:spacing w:after="0" w:line="237" w:lineRule="auto"/>
        <w:tabs>
          <w:tab w:leader="none" w:pos="157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78" w:lineRule="exact"/>
        <w:rPr>
          <w:sz w:val="20"/>
          <w:szCs w:val="20"/>
          <w:color w:val="auto"/>
        </w:rPr>
      </w:pPr>
    </w:p>
    <w:p>
      <w:pPr>
        <w:ind w:left="1360" w:right="299"/>
        <w:spacing w:after="0" w:line="246" w:lineRule="auto"/>
        <w:rPr>
          <w:sz w:val="20"/>
          <w:szCs w:val="20"/>
          <w:color w:val="auto"/>
        </w:rPr>
      </w:pPr>
      <w:r>
        <w:rPr>
          <w:rFonts w:ascii="Arial" w:cs="Arial" w:eastAsia="Arial" w:hAnsi="Arial"/>
          <w:sz w:val="14"/>
          <w:szCs w:val="14"/>
          <w:color w:val="auto"/>
        </w:rPr>
        <w:t>The Treasury Secretary has issued proposed regulations providing that the withholding provisions under FATCA do not apply with respect to payment of gross proceeds from a sale or other disposition of our common stock or pre-funded warrants, which may be relied upon by taxpayers until final regulations are issued. Prospective investors should consult their tax advisors regarding the potential application of withholding under FATCA to their investment in our common stock or pre-funded warrants.</w:t>
      </w:r>
    </w:p>
    <w:p>
      <w:pPr>
        <w:spacing w:after="0" w:line="86" w:lineRule="exact"/>
        <w:rPr>
          <w:sz w:val="20"/>
          <w:szCs w:val="20"/>
          <w:color w:val="auto"/>
        </w:rPr>
      </w:pPr>
    </w:p>
    <w:p>
      <w:pPr>
        <w:ind w:left="1360" w:right="259"/>
        <w:spacing w:after="0" w:line="246" w:lineRule="auto"/>
        <w:rPr>
          <w:sz w:val="20"/>
          <w:szCs w:val="20"/>
          <w:color w:val="auto"/>
        </w:rPr>
      </w:pPr>
      <w:r>
        <w:rPr>
          <w:rFonts w:ascii="Arial" w:cs="Arial" w:eastAsia="Arial" w:hAnsi="Arial"/>
          <w:sz w:val="14"/>
          <w:szCs w:val="14"/>
          <w:color w:val="auto"/>
        </w:rPr>
        <w:t>EACH PROSPECTIVE INVESTOR SHOULD CONSULT ITS OWN TAX ADVISOR REGARDING THE TAX CONSEQUENCES OF PURCHASING, HOLDING AND DISPOSING OF OUR COMMON STOCK AND PRE-FUNDED WARRANTS, INCLUDING THE CONSEQUENCES OF ANY PROPOSED CHANGE IN APPLICABLE LAW, AS WELL AS TAX CONSEQUENCES ARISING UNDER ANY STATE, LOCAL, NON-U.S. OR U.S. FEDERAL NON-INCOME TAX LAWS SUCH AS ESTATE AND GIFT TAX.</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S-31</w:t>
      </w:r>
    </w:p>
    <w:p>
      <w:pPr>
        <w:sectPr>
          <w:pgSz w:w="11900" w:h="16838" w:orient="portrait"/>
          <w:cols w:equalWidth="0" w:num="1">
            <w:col w:w="10159"/>
          </w:cols>
          <w:pgMar w:left="300" w:top="385"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0"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Underwriting</w:t>
      </w:r>
    </w:p>
    <w:p>
      <w:pPr>
        <w:spacing w:after="0" w:line="125" w:lineRule="exact"/>
        <w:rPr>
          <w:sz w:val="20"/>
          <w:szCs w:val="20"/>
          <w:color w:val="auto"/>
        </w:rPr>
      </w:pPr>
    </w:p>
    <w:p>
      <w:pPr>
        <w:ind w:left="1360" w:right="279"/>
        <w:spacing w:after="0"/>
        <w:rPr>
          <w:sz w:val="20"/>
          <w:szCs w:val="20"/>
          <w:color w:val="auto"/>
        </w:rPr>
      </w:pPr>
      <w:r>
        <w:rPr>
          <w:rFonts w:ascii="Arial" w:cs="Arial" w:eastAsia="Arial" w:hAnsi="Arial"/>
          <w:sz w:val="14"/>
          <w:szCs w:val="14"/>
          <w:color w:val="auto"/>
        </w:rPr>
        <w:t>We are offering the shares of common stock and pre-funded warrants described in this prospectus supplement through a number of underwriters. J.P. Morgan Securities LLC, Leerink Partners LLC, Cantor Fitzgerald &amp; Co. and Stifel, Nicolaus &amp; Company, Incorporated are acting as joint book-running managers of the offering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number of shares of common stock and pre-funded warrants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67310</wp:posOffset>
            </wp:positionV>
            <wp:extent cx="544195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41950" cy="13335"/>
                    </a:xfrm>
                    <a:prstGeom prst="rect">
                      <a:avLst/>
                    </a:prstGeom>
                    <a:noFill/>
                  </pic:spPr>
                </pic:pic>
              </a:graphicData>
            </a:graphic>
          </wp:anchor>
        </w:drawing>
      </w:r>
    </w:p>
    <w:p>
      <w:pPr>
        <w:spacing w:after="0" w:line="126"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Number of</w:t>
            </w:r>
          </w:p>
        </w:tc>
      </w:tr>
      <w:tr>
        <w:trPr>
          <w:trHeight w:val="147"/>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00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auto"/>
              </w:rPr>
              <w:t>Number of</w:t>
            </w:r>
          </w:p>
        </w:tc>
        <w:tc>
          <w:tcPr>
            <w:tcW w:w="880" w:type="dxa"/>
            <w:vAlign w:val="bottom"/>
            <w:gridSpan w:val="2"/>
          </w:tcPr>
          <w:p>
            <w:pPr>
              <w:jc w:val="right"/>
              <w:ind w:right="40"/>
              <w:spacing w:after="0" w:line="148" w:lineRule="exact"/>
              <w:rPr>
                <w:sz w:val="20"/>
                <w:szCs w:val="20"/>
                <w:color w:val="auto"/>
              </w:rPr>
            </w:pPr>
            <w:r>
              <w:rPr>
                <w:rFonts w:ascii="Arial" w:cs="Arial" w:eastAsia="Arial" w:hAnsi="Arial"/>
                <w:sz w:val="13"/>
                <w:szCs w:val="13"/>
                <w:b w:val="1"/>
                <w:bCs w:val="1"/>
                <w:color w:val="auto"/>
              </w:rPr>
              <w:t>pre-funded</w:t>
            </w:r>
          </w:p>
        </w:tc>
      </w:tr>
      <w:tr>
        <w:trPr>
          <w:trHeight w:val="158"/>
        </w:trPr>
        <w:tc>
          <w:tcPr>
            <w:tcW w:w="66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shares</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warrants</w:t>
            </w:r>
          </w:p>
        </w:tc>
      </w:tr>
      <w:tr>
        <w:trPr>
          <w:trHeight w:val="148"/>
        </w:trPr>
        <w:tc>
          <w:tcPr>
            <w:tcW w:w="20" w:type="dxa"/>
            <w:vAlign w:val="bottom"/>
          </w:tcPr>
          <w:p>
            <w:pPr>
              <w:spacing w:after="0"/>
              <w:rPr>
                <w:sz w:val="12"/>
                <w:szCs w:val="12"/>
                <w:color w:val="auto"/>
              </w:rPr>
            </w:pPr>
          </w:p>
        </w:tc>
        <w:tc>
          <w:tcPr>
            <w:tcW w:w="66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J.P. Morgan Securities LLC</w:t>
            </w:r>
          </w:p>
        </w:tc>
        <w:tc>
          <w:tcPr>
            <w:tcW w:w="1000" w:type="dxa"/>
            <w:vAlign w:val="bottom"/>
            <w:tcBorders>
              <w:top w:val="single" w:sz="8" w:color="auto"/>
            </w:tcBorders>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6,358,334</w:t>
            </w: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641,689</w:t>
            </w:r>
          </w:p>
        </w:tc>
        <w:tc>
          <w:tcPr>
            <w:tcW w:w="40" w:type="dxa"/>
            <w:vAlign w:val="bottom"/>
            <w:tcBorders>
              <w:top w:val="single" w:sz="8" w:color="auto"/>
            </w:tcBorders>
            <w:shd w:val="clear" w:color="auto" w:fill="CCEEFF"/>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6660" w:type="dxa"/>
            <w:vAlign w:val="bottom"/>
          </w:tcPr>
          <w:p>
            <w:pPr>
              <w:spacing w:after="0" w:line="157" w:lineRule="exact"/>
              <w:rPr>
                <w:sz w:val="20"/>
                <w:szCs w:val="20"/>
                <w:color w:val="auto"/>
              </w:rPr>
            </w:pPr>
            <w:r>
              <w:rPr>
                <w:rFonts w:ascii="Arial" w:cs="Arial" w:eastAsia="Arial" w:hAnsi="Arial"/>
                <w:sz w:val="14"/>
                <w:szCs w:val="14"/>
                <w:color w:val="auto"/>
              </w:rPr>
              <w:t>Leerink Partners LLC</w:t>
            </w:r>
          </w:p>
        </w:tc>
        <w:tc>
          <w:tcPr>
            <w:tcW w:w="10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5,450,001</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550,018</w:t>
            </w:r>
          </w:p>
        </w:tc>
        <w:tc>
          <w:tcPr>
            <w:tcW w:w="4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66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Cantor Fitzgerald &amp; Co.</w:t>
            </w:r>
          </w:p>
        </w:tc>
        <w:tc>
          <w:tcPr>
            <w:tcW w:w="10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3,179,166</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320,844</w:t>
            </w:r>
          </w:p>
        </w:tc>
        <w:tc>
          <w:tcPr>
            <w:tcW w:w="40" w:type="dxa"/>
            <w:vAlign w:val="bottom"/>
            <w:shd w:val="clear" w:color="auto" w:fill="CCEEFF"/>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6660" w:type="dxa"/>
            <w:vAlign w:val="bottom"/>
          </w:tcPr>
          <w:p>
            <w:pPr>
              <w:spacing w:after="0" w:line="157" w:lineRule="exact"/>
              <w:rPr>
                <w:sz w:val="20"/>
                <w:szCs w:val="20"/>
                <w:color w:val="auto"/>
              </w:rPr>
            </w:pPr>
            <w:r>
              <w:rPr>
                <w:rFonts w:ascii="Arial" w:cs="Arial" w:eastAsia="Arial" w:hAnsi="Arial"/>
                <w:sz w:val="14"/>
                <w:szCs w:val="14"/>
                <w:color w:val="auto"/>
              </w:rPr>
              <w:t>Stifel, Nicolaus &amp; Company, Incorporated</w:t>
            </w:r>
          </w:p>
        </w:tc>
        <w:tc>
          <w:tcPr>
            <w:tcW w:w="10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3,179,166</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320,844</w:t>
            </w:r>
          </w:p>
        </w:tc>
        <w:tc>
          <w:tcPr>
            <w:tcW w:w="4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66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Total</w:t>
            </w:r>
          </w:p>
        </w:tc>
        <w:tc>
          <w:tcPr>
            <w:tcW w:w="88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18,166,667</w:t>
            </w:r>
          </w:p>
        </w:tc>
        <w:tc>
          <w:tcPr>
            <w:tcW w:w="120" w:type="dxa"/>
            <w:vAlign w:val="bottom"/>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1,833,395</w:t>
            </w:r>
          </w:p>
        </w:tc>
        <w:tc>
          <w:tcPr>
            <w:tcW w:w="4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100330</wp:posOffset>
            </wp:positionV>
            <wp:extent cx="540893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08930" cy="6985"/>
                    </a:xfrm>
                    <a:prstGeom prst="rect">
                      <a:avLst/>
                    </a:prstGeom>
                    <a:noFill/>
                  </pic:spPr>
                </pic:pic>
              </a:graphicData>
            </a:graphic>
          </wp:anchor>
        </w:drawing>
      </w:r>
    </w:p>
    <w:p>
      <w:pPr>
        <w:spacing w:after="0" w:line="249" w:lineRule="exact"/>
        <w:rPr>
          <w:sz w:val="20"/>
          <w:szCs w:val="20"/>
          <w:color w:val="auto"/>
        </w:rPr>
      </w:pPr>
    </w:p>
    <w:p>
      <w:pPr>
        <w:ind w:left="1360" w:right="339"/>
        <w:spacing w:after="0" w:line="252" w:lineRule="auto"/>
        <w:rPr>
          <w:sz w:val="20"/>
          <w:szCs w:val="20"/>
          <w:color w:val="auto"/>
        </w:rPr>
      </w:pPr>
      <w:r>
        <w:rPr>
          <w:rFonts w:ascii="Arial" w:cs="Arial" w:eastAsia="Arial" w:hAnsi="Arial"/>
          <w:sz w:val="14"/>
          <w:szCs w:val="14"/>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81" w:lineRule="exact"/>
        <w:rPr>
          <w:sz w:val="20"/>
          <w:szCs w:val="20"/>
          <w:color w:val="auto"/>
        </w:rPr>
      </w:pPr>
    </w:p>
    <w:p>
      <w:pPr>
        <w:ind w:left="1360" w:right="339"/>
        <w:spacing w:after="0" w:line="243" w:lineRule="auto"/>
        <w:rPr>
          <w:sz w:val="20"/>
          <w:szCs w:val="20"/>
          <w:color w:val="auto"/>
        </w:rPr>
      </w:pPr>
      <w:r>
        <w:rPr>
          <w:rFonts w:ascii="Arial" w:cs="Arial" w:eastAsia="Arial" w:hAnsi="Arial"/>
          <w:sz w:val="14"/>
          <w:szCs w:val="14"/>
          <w:color w:val="auto"/>
        </w:rPr>
        <w:t>The underwriters propose to offer the common shares directly to the public at the initial public offering price set forth on the cover page of this prospectus supplement and to certain dealers at that price less a concession not in excess of $0.99 per share and per pre-funded warrant. After the initial offering of the shares and pre-funded warrants to the public, if all of the securities are not sold at the initial public offering price, the underwriters may change the offering price and the other selling terms. Sales of any shares or pre-funded warrants made outside of the United States may be made by affiliates of the underwriters.</w:t>
      </w:r>
    </w:p>
    <w:p>
      <w:pPr>
        <w:spacing w:after="0" w:line="78" w:lineRule="exact"/>
        <w:rPr>
          <w:sz w:val="20"/>
          <w:szCs w:val="20"/>
          <w:color w:val="auto"/>
        </w:rPr>
      </w:pPr>
    </w:p>
    <w:p>
      <w:pPr>
        <w:ind w:left="1360" w:right="319"/>
        <w:spacing w:after="0" w:line="243" w:lineRule="auto"/>
        <w:rPr>
          <w:sz w:val="20"/>
          <w:szCs w:val="20"/>
          <w:color w:val="auto"/>
        </w:rPr>
      </w:pPr>
      <w:r>
        <w:rPr>
          <w:rFonts w:ascii="Arial" w:cs="Arial" w:eastAsia="Arial" w:hAnsi="Arial"/>
          <w:sz w:val="14"/>
          <w:szCs w:val="14"/>
          <w:color w:val="auto"/>
        </w:rPr>
        <w:t>The underwriters have an option to buy up to 3,000,009 additional shares of common stock from us. The underwriters have 30 days from the date of this prospectus supplement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88" w:lineRule="exact"/>
        <w:rPr>
          <w:sz w:val="20"/>
          <w:szCs w:val="20"/>
          <w:color w:val="auto"/>
        </w:rPr>
      </w:pPr>
    </w:p>
    <w:p>
      <w:pPr>
        <w:ind w:left="1360" w:right="319"/>
        <w:spacing w:after="0" w:line="243" w:lineRule="auto"/>
        <w:rPr>
          <w:sz w:val="20"/>
          <w:szCs w:val="20"/>
          <w:color w:val="auto"/>
        </w:rPr>
      </w:pPr>
      <w:r>
        <w:rPr>
          <w:rFonts w:ascii="Arial" w:cs="Arial" w:eastAsia="Arial" w:hAnsi="Arial"/>
          <w:sz w:val="14"/>
          <w:szCs w:val="14"/>
          <w:color w:val="auto"/>
        </w:rPr>
        <w:t>The underwriting fee is equal to the public offering price per share of common stock and per pre -funded warrant less the amount paid by the underwriters to us per share of common stock and per pre-funded warrant, as the case may be. The underwriting fee is $1.65 per share and per pre-funded warrant. The following table shows the per share, per pre-funded warrant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65405</wp:posOffset>
            </wp:positionV>
            <wp:extent cx="544195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41950" cy="13335"/>
                    </a:xfrm>
                    <a:prstGeom prst="rect">
                      <a:avLst/>
                    </a:prstGeom>
                    <a:noFill/>
                  </pic:spPr>
                </pic:pic>
              </a:graphicData>
            </a:graphic>
          </wp:anchor>
        </w:drawing>
      </w:r>
    </w:p>
    <w:p>
      <w:pPr>
        <w:spacing w:after="0" w:line="122"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7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b w:val="1"/>
                <w:bCs w:val="1"/>
                <w:color w:val="auto"/>
              </w:rPr>
              <w:t>Without</w:t>
            </w:r>
          </w:p>
        </w:tc>
        <w:tc>
          <w:tcPr>
            <w:tcW w:w="220" w:type="dxa"/>
            <w:vAlign w:val="bottom"/>
          </w:tcPr>
          <w:p>
            <w:pPr>
              <w:spacing w:after="0"/>
              <w:rPr>
                <w:sz w:val="12"/>
                <w:szCs w:val="12"/>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With full</w:t>
            </w:r>
          </w:p>
        </w:tc>
      </w:tr>
      <w:tr>
        <w:trPr>
          <w:trHeight w:val="147"/>
        </w:trPr>
        <w:tc>
          <w:tcPr>
            <w:tcW w:w="27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60" w:type="dxa"/>
            <w:vAlign w:val="bottom"/>
          </w:tcPr>
          <w:p>
            <w:pPr>
              <w:jc w:val="right"/>
              <w:ind w:right="34"/>
              <w:spacing w:after="0" w:line="148" w:lineRule="exact"/>
              <w:rPr>
                <w:sz w:val="20"/>
                <w:szCs w:val="20"/>
                <w:color w:val="auto"/>
              </w:rPr>
            </w:pPr>
            <w:r>
              <w:rPr>
                <w:rFonts w:ascii="Arial" w:cs="Arial" w:eastAsia="Arial" w:hAnsi="Arial"/>
                <w:sz w:val="13"/>
                <w:szCs w:val="13"/>
                <w:b w:val="1"/>
                <w:bCs w:val="1"/>
                <w:color w:val="auto"/>
              </w:rPr>
              <w:t>option to</w:t>
            </w:r>
          </w:p>
        </w:tc>
        <w:tc>
          <w:tcPr>
            <w:tcW w:w="220" w:type="dxa"/>
            <w:vAlign w:val="bottom"/>
          </w:tcPr>
          <w:p>
            <w:pPr>
              <w:spacing w:after="0"/>
              <w:rPr>
                <w:sz w:val="12"/>
                <w:szCs w:val="12"/>
                <w:color w:val="auto"/>
              </w:rPr>
            </w:pPr>
          </w:p>
        </w:tc>
        <w:tc>
          <w:tcPr>
            <w:tcW w:w="1100" w:type="dxa"/>
            <w:vAlign w:val="bottom"/>
            <w:gridSpan w:val="2"/>
          </w:tcPr>
          <w:p>
            <w:pPr>
              <w:jc w:val="right"/>
              <w:ind w:right="40"/>
              <w:spacing w:after="0" w:line="148" w:lineRule="exact"/>
              <w:rPr>
                <w:sz w:val="20"/>
                <w:szCs w:val="20"/>
                <w:color w:val="auto"/>
              </w:rPr>
            </w:pPr>
            <w:r>
              <w:rPr>
                <w:rFonts w:ascii="Arial" w:cs="Arial" w:eastAsia="Arial" w:hAnsi="Arial"/>
                <w:sz w:val="13"/>
                <w:szCs w:val="13"/>
                <w:b w:val="1"/>
                <w:bCs w:val="1"/>
                <w:color w:val="auto"/>
              </w:rPr>
              <w:t>option to</w:t>
            </w:r>
          </w:p>
        </w:tc>
      </w:tr>
      <w:tr>
        <w:trPr>
          <w:trHeight w:val="147"/>
        </w:trPr>
        <w:tc>
          <w:tcPr>
            <w:tcW w:w="27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60" w:type="dxa"/>
            <w:vAlign w:val="bottom"/>
          </w:tcPr>
          <w:p>
            <w:pPr>
              <w:jc w:val="right"/>
              <w:ind w:right="34"/>
              <w:spacing w:after="0" w:line="148" w:lineRule="exact"/>
              <w:rPr>
                <w:sz w:val="20"/>
                <w:szCs w:val="20"/>
                <w:color w:val="auto"/>
              </w:rPr>
            </w:pPr>
            <w:r>
              <w:rPr>
                <w:rFonts w:ascii="Arial" w:cs="Arial" w:eastAsia="Arial" w:hAnsi="Arial"/>
                <w:sz w:val="13"/>
                <w:szCs w:val="13"/>
                <w:b w:val="1"/>
                <w:bCs w:val="1"/>
                <w:color w:val="auto"/>
              </w:rPr>
              <w:t>purchase</w:t>
            </w:r>
          </w:p>
        </w:tc>
        <w:tc>
          <w:tcPr>
            <w:tcW w:w="220" w:type="dxa"/>
            <w:vAlign w:val="bottom"/>
          </w:tcPr>
          <w:p>
            <w:pPr>
              <w:spacing w:after="0"/>
              <w:rPr>
                <w:sz w:val="12"/>
                <w:szCs w:val="12"/>
                <w:color w:val="auto"/>
              </w:rPr>
            </w:pPr>
          </w:p>
        </w:tc>
        <w:tc>
          <w:tcPr>
            <w:tcW w:w="1100" w:type="dxa"/>
            <w:vAlign w:val="bottom"/>
            <w:gridSpan w:val="2"/>
          </w:tcPr>
          <w:p>
            <w:pPr>
              <w:jc w:val="right"/>
              <w:ind w:right="40"/>
              <w:spacing w:after="0" w:line="148" w:lineRule="exact"/>
              <w:rPr>
                <w:sz w:val="20"/>
                <w:szCs w:val="20"/>
                <w:color w:val="auto"/>
              </w:rPr>
            </w:pPr>
            <w:r>
              <w:rPr>
                <w:rFonts w:ascii="Arial" w:cs="Arial" w:eastAsia="Arial" w:hAnsi="Arial"/>
                <w:sz w:val="13"/>
                <w:szCs w:val="13"/>
                <w:b w:val="1"/>
                <w:bCs w:val="1"/>
                <w:color w:val="auto"/>
              </w:rPr>
              <w:t>purchase</w:t>
            </w:r>
          </w:p>
        </w:tc>
      </w:tr>
      <w:tr>
        <w:trPr>
          <w:trHeight w:val="147"/>
        </w:trPr>
        <w:tc>
          <w:tcPr>
            <w:tcW w:w="27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60" w:type="dxa"/>
            <w:vAlign w:val="bottom"/>
          </w:tcPr>
          <w:p>
            <w:pPr>
              <w:jc w:val="right"/>
              <w:ind w:right="34"/>
              <w:spacing w:after="0" w:line="148" w:lineRule="exact"/>
              <w:rPr>
                <w:sz w:val="20"/>
                <w:szCs w:val="20"/>
                <w:color w:val="auto"/>
              </w:rPr>
            </w:pPr>
            <w:r>
              <w:rPr>
                <w:rFonts w:ascii="Arial" w:cs="Arial" w:eastAsia="Arial" w:hAnsi="Arial"/>
                <w:sz w:val="13"/>
                <w:szCs w:val="13"/>
                <w:b w:val="1"/>
                <w:bCs w:val="1"/>
                <w:color w:val="auto"/>
                <w:w w:val="97"/>
              </w:rPr>
              <w:t>additional shares</w:t>
            </w:r>
          </w:p>
        </w:tc>
        <w:tc>
          <w:tcPr>
            <w:tcW w:w="220" w:type="dxa"/>
            <w:vAlign w:val="bottom"/>
          </w:tcPr>
          <w:p>
            <w:pPr>
              <w:spacing w:after="0"/>
              <w:rPr>
                <w:sz w:val="12"/>
                <w:szCs w:val="12"/>
                <w:color w:val="auto"/>
              </w:rPr>
            </w:pPr>
          </w:p>
        </w:tc>
        <w:tc>
          <w:tcPr>
            <w:tcW w:w="1100" w:type="dxa"/>
            <w:vAlign w:val="bottom"/>
            <w:gridSpan w:val="2"/>
          </w:tcPr>
          <w:p>
            <w:pPr>
              <w:jc w:val="right"/>
              <w:ind w:right="40"/>
              <w:spacing w:after="0" w:line="148" w:lineRule="exact"/>
              <w:rPr>
                <w:sz w:val="20"/>
                <w:szCs w:val="20"/>
                <w:color w:val="auto"/>
              </w:rPr>
            </w:pPr>
            <w:r>
              <w:rPr>
                <w:rFonts w:ascii="Arial" w:cs="Arial" w:eastAsia="Arial" w:hAnsi="Arial"/>
                <w:sz w:val="13"/>
                <w:szCs w:val="13"/>
                <w:b w:val="1"/>
                <w:bCs w:val="1"/>
                <w:color w:val="auto"/>
                <w:w w:val="97"/>
              </w:rPr>
              <w:t>additional shares</w:t>
            </w:r>
          </w:p>
        </w:tc>
      </w:tr>
      <w:tr>
        <w:trPr>
          <w:trHeight w:val="168"/>
        </w:trPr>
        <w:tc>
          <w:tcPr>
            <w:tcW w:w="27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exercise</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exercise</w:t>
            </w:r>
          </w:p>
        </w:tc>
      </w:tr>
      <w:tr>
        <w:trPr>
          <w:trHeight w:val="148"/>
        </w:trPr>
        <w:tc>
          <w:tcPr>
            <w:tcW w:w="27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Per Share</w:t>
            </w:r>
          </w:p>
        </w:tc>
        <w:tc>
          <w:tcPr>
            <w:tcW w:w="33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34"/>
              <w:spacing w:after="0" w:line="148" w:lineRule="exact"/>
              <w:rPr>
                <w:sz w:val="20"/>
                <w:szCs w:val="20"/>
                <w:color w:val="auto"/>
              </w:rPr>
            </w:pPr>
            <w:r>
              <w:rPr>
                <w:rFonts w:ascii="Arial" w:cs="Arial" w:eastAsia="Arial" w:hAnsi="Arial"/>
                <w:sz w:val="14"/>
                <w:szCs w:val="14"/>
                <w:color w:val="auto"/>
              </w:rPr>
              <w:t>1.65</w:t>
            </w:r>
          </w:p>
        </w:tc>
        <w:tc>
          <w:tcPr>
            <w:tcW w:w="2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1.65</w:t>
            </w:r>
          </w:p>
        </w:tc>
        <w:tc>
          <w:tcPr>
            <w:tcW w:w="40" w:type="dxa"/>
            <w:vAlign w:val="bottom"/>
            <w:shd w:val="clear" w:color="auto" w:fill="CCEEFF"/>
          </w:tcPr>
          <w:p>
            <w:pPr>
              <w:spacing w:after="0"/>
              <w:rPr>
                <w:sz w:val="12"/>
                <w:szCs w:val="12"/>
                <w:color w:val="auto"/>
              </w:rPr>
            </w:pPr>
          </w:p>
        </w:tc>
      </w:tr>
      <w:tr>
        <w:trPr>
          <w:trHeight w:val="158"/>
        </w:trPr>
        <w:tc>
          <w:tcPr>
            <w:tcW w:w="2780" w:type="dxa"/>
            <w:vAlign w:val="bottom"/>
          </w:tcPr>
          <w:p>
            <w:pPr>
              <w:spacing w:after="0" w:line="157" w:lineRule="exact"/>
              <w:rPr>
                <w:sz w:val="20"/>
                <w:szCs w:val="20"/>
                <w:color w:val="auto"/>
              </w:rPr>
            </w:pPr>
            <w:r>
              <w:rPr>
                <w:rFonts w:ascii="Arial" w:cs="Arial" w:eastAsia="Arial" w:hAnsi="Arial"/>
                <w:sz w:val="14"/>
                <w:szCs w:val="14"/>
                <w:color w:val="auto"/>
              </w:rPr>
              <w:t>Per pre-funded warrant</w:t>
            </w:r>
          </w:p>
        </w:tc>
        <w:tc>
          <w:tcPr>
            <w:tcW w:w="33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34"/>
              <w:spacing w:after="0" w:line="157" w:lineRule="exact"/>
              <w:rPr>
                <w:sz w:val="20"/>
                <w:szCs w:val="20"/>
                <w:color w:val="auto"/>
              </w:rPr>
            </w:pPr>
            <w:r>
              <w:rPr>
                <w:rFonts w:ascii="Arial" w:cs="Arial" w:eastAsia="Arial" w:hAnsi="Arial"/>
                <w:sz w:val="14"/>
                <w:szCs w:val="14"/>
                <w:color w:val="auto"/>
              </w:rPr>
              <w:t>1.65</w:t>
            </w:r>
          </w:p>
        </w:tc>
        <w:tc>
          <w:tcPr>
            <w:tcW w:w="2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1.65</w:t>
            </w:r>
          </w:p>
        </w:tc>
        <w:tc>
          <w:tcPr>
            <w:tcW w:w="40" w:type="dxa"/>
            <w:vAlign w:val="bottom"/>
          </w:tcPr>
          <w:p>
            <w:pPr>
              <w:spacing w:after="0"/>
              <w:rPr>
                <w:sz w:val="13"/>
                <w:szCs w:val="13"/>
                <w:color w:val="auto"/>
              </w:rPr>
            </w:pPr>
          </w:p>
        </w:tc>
      </w:tr>
      <w:tr>
        <w:trPr>
          <w:trHeight w:val="158"/>
        </w:trPr>
        <w:tc>
          <w:tcPr>
            <w:tcW w:w="27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Total</w:t>
            </w:r>
          </w:p>
        </w:tc>
        <w:tc>
          <w:tcPr>
            <w:tcW w:w="33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34"/>
              <w:spacing w:after="0" w:line="157" w:lineRule="exact"/>
              <w:rPr>
                <w:sz w:val="20"/>
                <w:szCs w:val="20"/>
                <w:color w:val="auto"/>
              </w:rPr>
            </w:pPr>
            <w:r>
              <w:rPr>
                <w:rFonts w:ascii="Arial" w:cs="Arial" w:eastAsia="Arial" w:hAnsi="Arial"/>
                <w:sz w:val="14"/>
                <w:szCs w:val="14"/>
                <w:color w:val="auto"/>
              </w:rPr>
              <w:t>33,000,102.30</w:t>
            </w:r>
          </w:p>
        </w:tc>
        <w:tc>
          <w:tcPr>
            <w:tcW w:w="2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37,950,117.15</w:t>
            </w:r>
          </w:p>
        </w:tc>
      </w:tr>
      <w:tr>
        <w:trPr>
          <w:trHeight w:val="158"/>
        </w:trPr>
        <w:tc>
          <w:tcPr>
            <w:tcW w:w="278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76"/>
        </w:trPr>
        <w:tc>
          <w:tcPr>
            <w:tcW w:w="2780" w:type="dxa"/>
            <w:vAlign w:val="bottom"/>
          </w:tcPr>
          <w:p>
            <w:pPr>
              <w:spacing w:after="0"/>
              <w:rPr>
                <w:sz w:val="24"/>
                <w:szCs w:val="24"/>
                <w:color w:val="auto"/>
              </w:rPr>
            </w:pPr>
          </w:p>
        </w:tc>
        <w:tc>
          <w:tcPr>
            <w:tcW w:w="3300" w:type="dxa"/>
            <w:vAlign w:val="bottom"/>
          </w:tcPr>
          <w:p>
            <w:pPr>
              <w:jc w:val="right"/>
              <w:ind w:right="1570"/>
              <w:spacing w:after="0"/>
              <w:rPr>
                <w:sz w:val="20"/>
                <w:szCs w:val="20"/>
                <w:color w:val="auto"/>
              </w:rPr>
            </w:pPr>
            <w:r>
              <w:rPr>
                <w:rFonts w:ascii="Arial" w:cs="Arial" w:eastAsia="Arial" w:hAnsi="Arial"/>
                <w:sz w:val="14"/>
                <w:szCs w:val="14"/>
                <w:color w:val="auto"/>
              </w:rPr>
              <w:t>S-32</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59"/>
          </w:cols>
          <w:pgMar w:left="300" w:top="385"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519"/>
        <w:spacing w:after="0" w:line="270" w:lineRule="auto"/>
        <w:rPr>
          <w:sz w:val="20"/>
          <w:szCs w:val="20"/>
          <w:color w:val="auto"/>
        </w:rPr>
      </w:pPr>
      <w:r>
        <w:rPr>
          <w:rFonts w:ascii="Arial" w:cs="Arial" w:eastAsia="Arial" w:hAnsi="Arial"/>
          <w:sz w:val="14"/>
          <w:szCs w:val="14"/>
          <w:color w:val="auto"/>
        </w:rPr>
        <w:t>We estimate that the total expenses of this offering, including registration, filing and listing fees, printing fees and legal and accounting expenses, but excluding the underwriting discounts and commissions, will be approximately $467,000.</w:t>
      </w:r>
    </w:p>
    <w:p>
      <w:pPr>
        <w:spacing w:after="0" w:line="58" w:lineRule="exact"/>
        <w:rPr>
          <w:sz w:val="20"/>
          <w:szCs w:val="20"/>
          <w:color w:val="auto"/>
        </w:rPr>
      </w:pPr>
    </w:p>
    <w:p>
      <w:pPr>
        <w:ind w:left="1360" w:right="239"/>
        <w:spacing w:after="0" w:line="243" w:lineRule="auto"/>
        <w:rPr>
          <w:sz w:val="20"/>
          <w:szCs w:val="20"/>
          <w:color w:val="auto"/>
        </w:rPr>
      </w:pPr>
      <w:r>
        <w:rPr>
          <w:rFonts w:ascii="Arial" w:cs="Arial" w:eastAsia="Arial" w:hAnsi="Arial"/>
          <w:sz w:val="14"/>
          <w:szCs w:val="14"/>
          <w:color w:val="auto"/>
        </w:rPr>
        <w:t>A prospectus supplement and the accompanying prospectus in electronic format may be made available on the web sites maintained by one or more underwriters, or selling group members, if any, participating in the offering. The underwriters may agree to allocate a number of shares or pre-funded warrants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88" w:lineRule="exact"/>
        <w:rPr>
          <w:sz w:val="20"/>
          <w:szCs w:val="20"/>
          <w:color w:val="auto"/>
        </w:rPr>
      </w:pPr>
    </w:p>
    <w:p>
      <w:pPr>
        <w:ind w:left="1360" w:right="259"/>
        <w:spacing w:after="0" w:line="239" w:lineRule="auto"/>
        <w:rPr>
          <w:sz w:val="20"/>
          <w:szCs w:val="20"/>
          <w:color w:val="auto"/>
        </w:rPr>
      </w:pPr>
      <w:r>
        <w:rPr>
          <w:rFonts w:ascii="Arial" w:cs="Arial" w:eastAsia="Arial" w:hAnsi="Arial"/>
          <w:sz w:val="14"/>
          <w:szCs w:val="14"/>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any shares of our common stock or securities convertible into or exercisable or exchangeable for any shares of our common stock, or confidentially submit any registration statement under the Securities Act in connection with any of the foregoing, (ii) enter into any swap or any other agreement or any transaction that transfers, in whole or in part, directly or indirectly, the economic consequence of ownership of any shares of common stock or any such other securities, whether any such swap or transaction is to be settled by delivery of shares of common stock or such other securities, or (iii) publicly announce an intention to effect any of the foregoing, in cash or otherwise, in each case without the prior written consent of J.P. Morgan Securities LLC and Leerink Partners LLC for a period of 60 days from the date of this prospectus supplement, other than the shares of our common stock to be sold in this offering.</w:t>
      </w:r>
    </w:p>
    <w:p>
      <w:pPr>
        <w:spacing w:after="0" w:line="90" w:lineRule="exact"/>
        <w:rPr>
          <w:sz w:val="20"/>
          <w:szCs w:val="20"/>
          <w:color w:val="auto"/>
        </w:rPr>
      </w:pPr>
    </w:p>
    <w:p>
      <w:pPr>
        <w:ind w:left="1360" w:right="239"/>
        <w:spacing w:after="0" w:line="237" w:lineRule="auto"/>
        <w:rPr>
          <w:sz w:val="20"/>
          <w:szCs w:val="20"/>
          <w:color w:val="auto"/>
        </w:rPr>
      </w:pPr>
      <w:r>
        <w:rPr>
          <w:rFonts w:ascii="Arial" w:cs="Arial" w:eastAsia="Arial" w:hAnsi="Arial"/>
          <w:sz w:val="14"/>
          <w:szCs w:val="14"/>
          <w:color w:val="auto"/>
        </w:rPr>
        <w:t>The restrictions on our actions, as described above, do not apply to certain transactions, including (A) the securities sold pursuant to the underwriting agreement, (B) any shares of our common stock issued by us upon the exercise (including any net exercise or exercise by delivery of already owned shares of our common stock) of an option or warrant or the conversion of a convertible security or settlement of restricted stock units, outstanding on the date hereof and described herein; (C) any shares of our common stock issued or options to purchase our common stock granted pursuant to existing employee benefit plans of ours referred to herein; (D) any shares of our common stock issued or options to purchase shares of our common stock or restricted stock units granted pursuant to any existing non-employee director stock plan or dividend reinvestment plan referred to herein; (E) our filing of any registration statement on Form S-8 or a successor form thereto; or (F) our filing of a prospectus supplement under Rule 424(b) in connection with, and issuance of shares of our common stock pursuant to that certain sales agreement, dated November 21, 2025, by and between us and Leerink Partners LLC; provided, however that no filing or sales shall be made until the earlier of (i) the full exercise by the underwriters of their option to purchase additional securities and (ii) 30 days from the date hereof. The restrictions described in the immediately preceding paragraph will also not apply to issuance of common stock upon the exercise of the pre-funded warrants during the 60 day period following the date of this prospectus, provided that the common stock received upon such exercise shall be subject to such restrictions.</w:t>
      </w:r>
    </w:p>
    <w:p>
      <w:pPr>
        <w:spacing w:after="0" w:line="86" w:lineRule="exact"/>
        <w:rPr>
          <w:sz w:val="20"/>
          <w:szCs w:val="20"/>
          <w:color w:val="auto"/>
        </w:rPr>
      </w:pPr>
    </w:p>
    <w:p>
      <w:pPr>
        <w:ind w:left="1360" w:right="239"/>
        <w:spacing w:after="0" w:line="239" w:lineRule="auto"/>
        <w:rPr>
          <w:sz w:val="20"/>
          <w:szCs w:val="20"/>
          <w:color w:val="auto"/>
        </w:rPr>
      </w:pPr>
      <w:r>
        <w:rPr>
          <w:rFonts w:ascii="Arial" w:cs="Arial" w:eastAsia="Arial" w:hAnsi="Arial"/>
          <w:sz w:val="14"/>
          <w:szCs w:val="14"/>
          <w:color w:val="auto"/>
        </w:rPr>
        <w:t>Our directors and executive officers (such persons, the “lock-up parties”) have entered into lock-up agreements with the underwriters prior to the commencement of this offering pursuant to which each lock-up party, with limited exceptions, for a period of 60 days from the date of the Underwriting Agreement (such period, the “restricted period”), may not (and may not cause any of their direct or indirect affiliates to), without the prior written consent of J.P. Morgan Securities LLC and Leerink Partners LLC, (1) offer, pledge, sell, contract to sell, sell any option or contract to purchase, purchase any option or contract to sell, grant any option, right or warrant for the sale of, lend, or otherwise dispose of or transfer, directly or indirectly, any shares of our common stock or any securities convertible into or exercisable or exchangeable for our common stock (including, without limitation, common stock or such other securities which may be deemed to be beneficially</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S-33</w:t>
      </w:r>
    </w:p>
    <w:p>
      <w:pPr>
        <w:sectPr>
          <w:pgSz w:w="11900" w:h="16838" w:orient="portrait"/>
          <w:cols w:equalWidth="0" w:num="1">
            <w:col w:w="10159"/>
          </w:cols>
          <w:pgMar w:left="300" w:top="385"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38" w:lineRule="auto"/>
        <w:rPr>
          <w:sz w:val="20"/>
          <w:szCs w:val="20"/>
          <w:color w:val="auto"/>
        </w:rPr>
      </w:pPr>
      <w:r>
        <w:rPr>
          <w:rFonts w:ascii="Arial" w:cs="Arial" w:eastAsia="Arial" w:hAnsi="Arial"/>
          <w:sz w:val="14"/>
          <w:szCs w:val="14"/>
          <w:color w:val="auto"/>
        </w:rPr>
        <w:t>owned by such lock-up parties in accordance with the rules and regulations of the SEC and securities which may be issued upon exercise of a stock option or warrant (collectively with the common stock, the “lock-up securities”)), or exercise any right with respect to the registration of any of the lock-up securities, or file or cause to be filed any registration statement in connection therewith, under the Securities Act, or (2) enter into any swap or any other agreement or any transaction that transfers, in whole or in part, directly or indirectly, any of the economic consequence of ownership of the lock-up securities, whether any such swap or transaction is to be settled by delivery of lock-up securities or other securities, in cash or otherwise. Such lock-up parties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such lock-up party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80" w:lineRule="exact"/>
        <w:rPr>
          <w:sz w:val="20"/>
          <w:szCs w:val="20"/>
          <w:color w:val="auto"/>
        </w:rPr>
      </w:pPr>
    </w:p>
    <w:p>
      <w:pPr>
        <w:ind w:left="1360" w:right="239"/>
        <w:spacing w:after="0" w:line="236" w:lineRule="auto"/>
        <w:rPr>
          <w:sz w:val="20"/>
          <w:szCs w:val="20"/>
          <w:color w:val="auto"/>
        </w:rPr>
      </w:pPr>
      <w:r>
        <w:rPr>
          <w:rFonts w:ascii="Arial" w:cs="Arial" w:eastAsia="Arial" w:hAnsi="Arial"/>
          <w:sz w:val="14"/>
          <w:szCs w:val="14"/>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a bona fide gift or gifts, (ii) to any trust for the direct or indirect benefit of the lock-up party or the immediate family of the lock-up party (“immediate family” shall mean any relationship by blood, marriage or adoption, not more remote than first cousin), (iii) distributions by a trust to its beneficiaries, (iv) transfers or dispositions to any corporation, partnership, limited liability company or other entity, all of the beneficial ownership interests of which are held by the lock-up party, (v) as a distribution or other transfer by a partnership to its partners or former partners or by a limited liability company to its members or retired members or by a corporation to its stockholders or former stockholders or to any wholly-owned subsidiary of such corporation, (vi) to the lock-up party’s affiliates or to any investment fund or other entity controlled or managed by the lock-up party; (vii) pursuant to a qualified domestic relations order or in connection with a divorce settlement, (viii) by will or intestate succession upon the death of the lock-up party, (ix) to the Company in satisfaction of any tax withholding obligation, (x) transactions relating to securities acquired in the offering or in open market transactions after the completion of the offering, or (xi) pursuant to any trading plan, adopted prior to the date hereof, providing for the sale of common stock by the lock-up party, which trading plan meets the requirements of Rule 10b5-1(c) under the Exchange Act, provided, however, that the existence and details of such trading plan were communicated to the representatives prior to the date of the lock-up agreement and such trading plan will not be amended or otherwise modified during the lock-up period; (b) exercise of the options, settlement of RSUs or other equity awards, or the exercise of warrants granted pursuant to plans described in in this prospectus supplement,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(d) the establishment by lock-up parties of trading plans under Rule 10b5-1 under the Exchange Act, provided that such plan does not provide for the transfer of lock-up securities during the restricted period; and (e) the sale of our common stock pursuant to the terms of the underwriting agreement.</w:t>
      </w:r>
    </w:p>
    <w:p>
      <w:pPr>
        <w:spacing w:after="0" w:line="99" w:lineRule="exact"/>
        <w:rPr>
          <w:sz w:val="20"/>
          <w:szCs w:val="20"/>
          <w:color w:val="auto"/>
        </w:rPr>
      </w:pPr>
    </w:p>
    <w:p>
      <w:pPr>
        <w:ind w:left="1360" w:right="599"/>
        <w:spacing w:after="0" w:line="270" w:lineRule="auto"/>
        <w:rPr>
          <w:sz w:val="20"/>
          <w:szCs w:val="20"/>
          <w:color w:val="auto"/>
        </w:rPr>
      </w:pPr>
      <w:r>
        <w:rPr>
          <w:rFonts w:ascii="Arial" w:cs="Arial" w:eastAsia="Arial" w:hAnsi="Arial"/>
          <w:sz w:val="14"/>
          <w:szCs w:val="14"/>
          <w:color w:val="auto"/>
        </w:rPr>
        <w:t>J.P. Morgan Securities LLC and Leerink Partners LLC in their sole discretion, may release the securities subject to any of the lock-up agreements with the underwriters described above, in whole or in part at any time.</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S-34</w:t>
      </w:r>
    </w:p>
    <w:p>
      <w:pPr>
        <w:sectPr>
          <w:pgSz w:w="11900" w:h="16838" w:orient="portrait"/>
          <w:cols w:equalWidth="0" w:num="1">
            <w:col w:w="10159"/>
          </w:cols>
          <w:pgMar w:left="300" w:top="385"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We have agreed to indemnify the underwriters against certain liabilities, including liabilities under the Securities Act.</w:t>
      </w:r>
    </w:p>
    <w:p>
      <w:pPr>
        <w:spacing w:after="0" w:line="102" w:lineRule="exact"/>
        <w:rPr>
          <w:sz w:val="20"/>
          <w:szCs w:val="20"/>
          <w:color w:val="auto"/>
        </w:rPr>
      </w:pPr>
    </w:p>
    <w:p>
      <w:pPr>
        <w:ind w:left="1360" w:right="399"/>
        <w:spacing w:after="0" w:line="270" w:lineRule="auto"/>
        <w:rPr>
          <w:sz w:val="20"/>
          <w:szCs w:val="20"/>
          <w:color w:val="auto"/>
        </w:rPr>
      </w:pPr>
      <w:r>
        <w:rPr>
          <w:rFonts w:ascii="Arial" w:cs="Arial" w:eastAsia="Arial" w:hAnsi="Arial"/>
          <w:sz w:val="14"/>
          <w:szCs w:val="14"/>
          <w:color w:val="auto"/>
        </w:rPr>
        <w:t>Our common stock is listed on the Nasdaq Global Market under the symbol “TNGX”. We do not intend to list the pre-funded warrants on the Nasdaq Global Market or any other national securities exchange or nationally recognized trading system.</w:t>
      </w:r>
    </w:p>
    <w:p>
      <w:pPr>
        <w:spacing w:after="0" w:line="68" w:lineRule="exact"/>
        <w:rPr>
          <w:sz w:val="20"/>
          <w:szCs w:val="20"/>
          <w:color w:val="auto"/>
        </w:rPr>
      </w:pPr>
    </w:p>
    <w:p>
      <w:pPr>
        <w:ind w:left="1360" w:right="259"/>
        <w:spacing w:after="0" w:line="237" w:lineRule="auto"/>
        <w:rPr>
          <w:sz w:val="20"/>
          <w:szCs w:val="20"/>
          <w:color w:val="auto"/>
        </w:rPr>
      </w:pPr>
      <w:r>
        <w:rPr>
          <w:rFonts w:ascii="Arial" w:cs="Arial" w:eastAsia="Arial" w:hAnsi="Arial"/>
          <w:sz w:val="14"/>
          <w:szCs w:val="14"/>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97" w:lineRule="exact"/>
        <w:rPr>
          <w:sz w:val="20"/>
          <w:szCs w:val="20"/>
          <w:color w:val="auto"/>
        </w:rPr>
      </w:pPr>
    </w:p>
    <w:p>
      <w:pPr>
        <w:ind w:left="1360" w:right="379"/>
        <w:spacing w:after="0" w:line="243" w:lineRule="auto"/>
        <w:rPr>
          <w:sz w:val="20"/>
          <w:szCs w:val="20"/>
          <w:color w:val="auto"/>
        </w:rPr>
      </w:pPr>
      <w:r>
        <w:rPr>
          <w:rFonts w:ascii="Arial" w:cs="Arial" w:eastAsia="Arial" w:hAnsi="Arial"/>
          <w:sz w:val="14"/>
          <w:szCs w:val="14"/>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78" w:lineRule="exact"/>
        <w:rPr>
          <w:sz w:val="20"/>
          <w:szCs w:val="20"/>
          <w:color w:val="auto"/>
        </w:rPr>
      </w:pPr>
    </w:p>
    <w:p>
      <w:pPr>
        <w:ind w:left="1360" w:right="319"/>
        <w:spacing w:after="0" w:line="246" w:lineRule="auto"/>
        <w:rPr>
          <w:sz w:val="20"/>
          <w:szCs w:val="20"/>
          <w:color w:val="auto"/>
        </w:rPr>
      </w:pPr>
      <w:r>
        <w:rPr>
          <w:rFonts w:ascii="Arial" w:cs="Arial" w:eastAsia="Arial" w:hAnsi="Arial"/>
          <w:sz w:val="14"/>
          <w:szCs w:val="14"/>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w:t>
      </w:r>
    </w:p>
    <w:p>
      <w:pPr>
        <w:spacing w:after="0" w:line="184"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Selling restrictions</w:t>
      </w:r>
    </w:p>
    <w:p>
      <w:pPr>
        <w:spacing w:after="0" w:line="115" w:lineRule="exact"/>
        <w:rPr>
          <w:sz w:val="20"/>
          <w:szCs w:val="20"/>
          <w:color w:val="auto"/>
        </w:rPr>
      </w:pPr>
    </w:p>
    <w:p>
      <w:pPr>
        <w:ind w:left="1360" w:right="279"/>
        <w:spacing w:after="0" w:line="260" w:lineRule="auto"/>
        <w:rPr>
          <w:sz w:val="20"/>
          <w:szCs w:val="20"/>
          <w:color w:val="auto"/>
        </w:rPr>
      </w:pPr>
      <w:r>
        <w:rPr>
          <w:rFonts w:ascii="Arial" w:cs="Arial" w:eastAsia="Arial" w:hAnsi="Arial"/>
          <w:sz w:val="13"/>
          <w:szCs w:val="13"/>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S-35</w:t>
      </w:r>
    </w:p>
    <w:p>
      <w:pPr>
        <w:sectPr>
          <w:pgSz w:w="11900" w:h="16838" w:orient="portrait"/>
          <w:cols w:equalWidth="0" w:num="1">
            <w:col w:w="10159"/>
          </w:cols>
          <w:pgMar w:left="300" w:top="385"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41" w:lineRule="auto"/>
        <w:rPr>
          <w:sz w:val="20"/>
          <w:szCs w:val="20"/>
          <w:color w:val="auto"/>
        </w:rPr>
      </w:pPr>
      <w:r>
        <w:rPr>
          <w:rFonts w:ascii="Arial" w:cs="Arial" w:eastAsia="Arial" w:hAnsi="Arial"/>
          <w:sz w:val="14"/>
          <w:szCs w:val="14"/>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89"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Canada</w:t>
      </w:r>
    </w:p>
    <w:p>
      <w:pPr>
        <w:spacing w:after="0" w:line="115" w:lineRule="exact"/>
        <w:rPr>
          <w:sz w:val="20"/>
          <w:szCs w:val="20"/>
          <w:color w:val="auto"/>
        </w:rPr>
      </w:pPr>
    </w:p>
    <w:p>
      <w:pPr>
        <w:ind w:left="1360" w:right="599"/>
        <w:spacing w:after="0" w:line="243" w:lineRule="auto"/>
        <w:rPr>
          <w:sz w:val="20"/>
          <w:szCs w:val="20"/>
          <w:color w:val="auto"/>
        </w:rPr>
      </w:pPr>
      <w:r>
        <w:rPr>
          <w:rFonts w:ascii="Arial" w:cs="Arial" w:eastAsia="Arial" w:hAnsi="Arial"/>
          <w:sz w:val="14"/>
          <w:szCs w:val="14"/>
          <w:color w:val="auto"/>
        </w:rPr>
        <w:t>The shares or pre-funded warrants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or pre-funded warrants must be made in accordance with an exemption from, or in a transaction not subject to, the prospectus requirements of applicable securities laws.</w:t>
      </w:r>
    </w:p>
    <w:p>
      <w:pPr>
        <w:spacing w:after="0" w:line="78" w:lineRule="exact"/>
        <w:rPr>
          <w:sz w:val="20"/>
          <w:szCs w:val="20"/>
          <w:color w:val="auto"/>
        </w:rPr>
      </w:pPr>
    </w:p>
    <w:p>
      <w:pPr>
        <w:ind w:left="1360" w:right="319"/>
        <w:spacing w:after="0" w:line="243"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8" w:lineRule="exact"/>
        <w:rPr>
          <w:sz w:val="20"/>
          <w:szCs w:val="20"/>
          <w:color w:val="auto"/>
        </w:rPr>
      </w:pPr>
    </w:p>
    <w:p>
      <w:pPr>
        <w:ind w:left="1360" w:right="499"/>
        <w:spacing w:after="0" w:line="270" w:lineRule="auto"/>
        <w:rPr>
          <w:sz w:val="20"/>
          <w:szCs w:val="20"/>
          <w:color w:val="auto"/>
        </w:rPr>
      </w:pPr>
      <w:r>
        <w:rPr>
          <w:rFonts w:ascii="Arial" w:cs="Arial" w:eastAsia="Arial" w:hAnsi="Arial"/>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7"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the European Economic Area</w:t>
      </w:r>
    </w:p>
    <w:p>
      <w:pPr>
        <w:spacing w:after="0" w:line="115" w:lineRule="exact"/>
        <w:rPr>
          <w:sz w:val="20"/>
          <w:szCs w:val="20"/>
          <w:color w:val="auto"/>
        </w:rPr>
      </w:pPr>
    </w:p>
    <w:p>
      <w:pPr>
        <w:ind w:left="1360" w:right="299"/>
        <w:spacing w:after="0" w:line="243" w:lineRule="auto"/>
        <w:rPr>
          <w:sz w:val="20"/>
          <w:szCs w:val="20"/>
          <w:color w:val="auto"/>
        </w:rPr>
      </w:pPr>
      <w:r>
        <w:rPr>
          <w:rFonts w:ascii="Arial" w:cs="Arial" w:eastAsia="Arial" w:hAnsi="Arial"/>
          <w:sz w:val="14"/>
          <w:szCs w:val="14"/>
          <w:color w:val="auto"/>
        </w:rPr>
        <w:t>In relation to each Member State of the European Economic Area (each a “Relevant State”), no shares or pre-funded warrants have been offered or will be offered pursuant to the offering to the public in that Relevant State prior to the publication of a prospectus in relation to the shares or pre-funded warrants which has been approved by the competent authority in that Relevant State or, where appropriate, approved in another Relevant State and notified to the competent authority in that Relevant State, all in accordance with the Prospectus Regulation, except that the shares or pre-funded warrants may be offered to the public in that Relevant State at any time:</w:t>
      </w:r>
    </w:p>
    <w:p>
      <w:pPr>
        <w:spacing w:after="0" w:line="88" w:lineRule="exact"/>
        <w:rPr>
          <w:sz w:val="20"/>
          <w:szCs w:val="20"/>
          <w:color w:val="auto"/>
        </w:rPr>
      </w:pPr>
    </w:p>
    <w:p>
      <w:pPr>
        <w:ind w:left="2120" w:hanging="425"/>
        <w:spacing w:after="0"/>
        <w:tabs>
          <w:tab w:leader="none" w:pos="2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 any qualified investor as defined under Article 2 of the Prospectus Regulation;</w:t>
      </w:r>
    </w:p>
    <w:p>
      <w:pPr>
        <w:spacing w:after="0" w:line="112" w:lineRule="exact"/>
        <w:rPr>
          <w:rFonts w:ascii="Arial" w:cs="Arial" w:eastAsia="Arial" w:hAnsi="Arial"/>
          <w:sz w:val="14"/>
          <w:szCs w:val="14"/>
          <w:color w:val="auto"/>
        </w:rPr>
      </w:pPr>
    </w:p>
    <w:p>
      <w:pPr>
        <w:ind w:left="2120" w:right="839" w:hanging="425"/>
        <w:spacing w:after="0" w:line="270" w:lineRule="auto"/>
        <w:tabs>
          <w:tab w:leader="none" w:pos="2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Article 2 of the Prospectus Regulation), subject to obtaining the prior consent of the underwriters for any such offer; or</w:t>
      </w:r>
    </w:p>
    <w:p>
      <w:pPr>
        <w:spacing w:after="0" w:line="68" w:lineRule="exact"/>
        <w:rPr>
          <w:rFonts w:ascii="Arial" w:cs="Arial" w:eastAsia="Arial" w:hAnsi="Arial"/>
          <w:sz w:val="14"/>
          <w:szCs w:val="14"/>
          <w:color w:val="auto"/>
        </w:rPr>
      </w:pPr>
    </w:p>
    <w:p>
      <w:pPr>
        <w:ind w:left="2120" w:hanging="425"/>
        <w:spacing w:after="0"/>
        <w:tabs>
          <w:tab w:leader="none" w:pos="2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1(4) of the Prospectus Regulation,</w:t>
      </w:r>
    </w:p>
    <w:p>
      <w:pPr>
        <w:spacing w:after="0" w:line="102" w:lineRule="exact"/>
        <w:rPr>
          <w:sz w:val="20"/>
          <w:szCs w:val="20"/>
          <w:color w:val="auto"/>
        </w:rPr>
      </w:pPr>
    </w:p>
    <w:p>
      <w:pPr>
        <w:ind w:left="1360" w:right="239"/>
        <w:spacing w:after="0" w:line="252" w:lineRule="auto"/>
        <w:rPr>
          <w:sz w:val="20"/>
          <w:szCs w:val="20"/>
          <w:color w:val="auto"/>
        </w:rPr>
      </w:pP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no such offer of the shares or pre-funded warrants shall require the Company or any underwriter to publish a prospectus</w:t>
      </w:r>
      <w:r>
        <w:rPr>
          <w:rFonts w:ascii="Arial" w:cs="Arial" w:eastAsia="Arial" w:hAnsi="Arial"/>
          <w:sz w:val="14"/>
          <w:szCs w:val="14"/>
          <w:i w:val="1"/>
          <w:iCs w:val="1"/>
          <w:color w:val="auto"/>
        </w:rPr>
        <w:t xml:space="preserve"> </w:t>
      </w:r>
      <w:r>
        <w:rPr>
          <w:rFonts w:ascii="Arial" w:cs="Arial" w:eastAsia="Arial" w:hAnsi="Arial"/>
          <w:sz w:val="14"/>
          <w:szCs w:val="14"/>
          <w:color w:val="auto"/>
        </w:rPr>
        <w:t>pursuant to Article 3 of the Prospectus Regulation, supplement a prospectus pursuant to Article 23 of the Prospectus Regulation or publish an Annex IX document pursuant to Article 1(4) of the Prospectus Regulation.</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S-36</w:t>
      </w:r>
    </w:p>
    <w:p>
      <w:pPr>
        <w:sectPr>
          <w:pgSz w:w="11900" w:h="16838" w:orient="portrait"/>
          <w:cols w:equalWidth="0" w:num="1">
            <w:col w:w="10159"/>
          </w:cols>
          <w:pgMar w:left="300" w:top="385"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99"/>
        <w:spacing w:after="0" w:line="246" w:lineRule="auto"/>
        <w:rPr>
          <w:sz w:val="20"/>
          <w:szCs w:val="20"/>
          <w:color w:val="auto"/>
        </w:rPr>
      </w:pPr>
      <w:r>
        <w:rPr>
          <w:rFonts w:ascii="Arial" w:cs="Arial" w:eastAsia="Arial" w:hAnsi="Arial"/>
          <w:sz w:val="14"/>
          <w:szCs w:val="14"/>
          <w:color w:val="auto"/>
        </w:rPr>
        <w:t>For the purposes of this provision, the expression an “offer to the public” in relation to the shares or pre-funded warrants in any Relevant State means the communication in any form and by any means of sufficient information on the terms of the offer and any shares or pre-funded warrants to be offered so as to enable an investor to decide to purchase or subscribe for any shares or pre-funded warrants, and the expression “Prospectus Regulation” means Regulation (EU) 2017/1129.</w:t>
      </w:r>
    </w:p>
    <w:p>
      <w:pPr>
        <w:spacing w:after="0" w:line="184"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the United Kingdom</w:t>
      </w:r>
    </w:p>
    <w:p>
      <w:pPr>
        <w:spacing w:after="0" w:line="115" w:lineRule="exact"/>
        <w:rPr>
          <w:sz w:val="20"/>
          <w:szCs w:val="20"/>
          <w:color w:val="auto"/>
        </w:rPr>
      </w:pPr>
    </w:p>
    <w:p>
      <w:pPr>
        <w:ind w:left="1360" w:right="339"/>
        <w:spacing w:after="0" w:line="270" w:lineRule="auto"/>
        <w:rPr>
          <w:sz w:val="20"/>
          <w:szCs w:val="20"/>
          <w:color w:val="auto"/>
        </w:rPr>
      </w:pPr>
      <w:r>
        <w:rPr>
          <w:rFonts w:ascii="Arial" w:cs="Arial" w:eastAsia="Arial" w:hAnsi="Arial"/>
          <w:sz w:val="14"/>
          <w:szCs w:val="14"/>
          <w:color w:val="auto"/>
        </w:rPr>
        <w:t>No shares or pre-funded warrants have been offered or will be offered pursuant to the offering to the public in the United Kingdom except that the shares or pre-funded warrants may be offered to the public in the United Kingdom at any time:</w:t>
      </w:r>
    </w:p>
    <w:p>
      <w:pPr>
        <w:spacing w:after="0" w:line="68" w:lineRule="exact"/>
        <w:rPr>
          <w:sz w:val="20"/>
          <w:szCs w:val="20"/>
          <w:color w:val="auto"/>
        </w:rPr>
      </w:pPr>
    </w:p>
    <w:p>
      <w:pPr>
        <w:ind w:left="2120" w:right="239" w:hanging="425"/>
        <w:spacing w:after="0" w:line="246" w:lineRule="auto"/>
        <w:tabs>
          <w:tab w:leader="none" w:pos="2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where (i) the offer is conditional on the admission of the shares to trading on the London Stock Exchange plc’s main market (in reliance on the exception in paragraph 6(a) of Schedule 1 of the POATR) or (ii) the shares or pre-funded warrants being offered are at the time of the offer already admitted to trading on London Stock Exchange plc’s main market (in reliance on the exception in paragraph 6(b) of Schedule 1 of the POATR);</w:t>
      </w:r>
    </w:p>
    <w:p>
      <w:pPr>
        <w:spacing w:after="0" w:line="85" w:lineRule="exact"/>
        <w:rPr>
          <w:rFonts w:ascii="Arial" w:cs="Arial" w:eastAsia="Arial" w:hAnsi="Arial"/>
          <w:sz w:val="14"/>
          <w:szCs w:val="14"/>
          <w:color w:val="auto"/>
        </w:rPr>
      </w:pPr>
    </w:p>
    <w:p>
      <w:pPr>
        <w:ind w:left="2120" w:hanging="425"/>
        <w:spacing w:after="0"/>
        <w:tabs>
          <w:tab w:leader="none" w:pos="2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 any qualified investor as defined in paragraph 15 of Schedule 1 of the POATR;</w:t>
      </w:r>
    </w:p>
    <w:p>
      <w:pPr>
        <w:spacing w:after="0" w:line="112" w:lineRule="exact"/>
        <w:rPr>
          <w:rFonts w:ascii="Arial" w:cs="Arial" w:eastAsia="Arial" w:hAnsi="Arial"/>
          <w:sz w:val="14"/>
          <w:szCs w:val="14"/>
          <w:color w:val="auto"/>
        </w:rPr>
      </w:pPr>
    </w:p>
    <w:p>
      <w:pPr>
        <w:ind w:left="2120" w:right="319" w:hanging="425"/>
        <w:spacing w:after="0" w:line="270" w:lineRule="auto"/>
        <w:tabs>
          <w:tab w:leader="none" w:pos="2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 fewer than 150 persons (other than qualified investors as defined in paragraph 15 of Schedule 1 of the POATR), subject to obtaining the prior consent of the underwriters for any such offer; or</w:t>
      </w:r>
    </w:p>
    <w:p>
      <w:pPr>
        <w:spacing w:after="0" w:line="68" w:lineRule="exact"/>
        <w:rPr>
          <w:rFonts w:ascii="Arial" w:cs="Arial" w:eastAsia="Arial" w:hAnsi="Arial"/>
          <w:sz w:val="14"/>
          <w:szCs w:val="14"/>
          <w:color w:val="auto"/>
        </w:rPr>
      </w:pPr>
    </w:p>
    <w:p>
      <w:pPr>
        <w:ind w:left="2120" w:hanging="425"/>
        <w:spacing w:after="0"/>
        <w:tabs>
          <w:tab w:leader="none" w:pos="2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any other circumstances falling within Part 1 of Schedule 1 of the POATR.</w:t>
      </w:r>
    </w:p>
    <w:p>
      <w:pPr>
        <w:spacing w:after="0" w:line="102" w:lineRule="exact"/>
        <w:rPr>
          <w:sz w:val="20"/>
          <w:szCs w:val="20"/>
          <w:color w:val="auto"/>
        </w:rPr>
      </w:pPr>
    </w:p>
    <w:p>
      <w:pPr>
        <w:ind w:left="1360" w:right="279"/>
        <w:spacing w:after="0" w:line="246" w:lineRule="auto"/>
        <w:rPr>
          <w:sz w:val="20"/>
          <w:szCs w:val="20"/>
          <w:color w:val="auto"/>
        </w:rPr>
      </w:pPr>
      <w:r>
        <w:rPr>
          <w:rFonts w:ascii="Arial" w:cs="Arial" w:eastAsia="Arial" w:hAnsi="Arial"/>
          <w:sz w:val="14"/>
          <w:szCs w:val="14"/>
          <w:color w:val="auto"/>
        </w:rPr>
        <w:t>For the purposes of this provision, the expression an “offer to the public” in relation to the shares or pre-funded warrants in the United Kingdom means the communication to any person which presents sufficient information on: (a) the shares or pre-funded warrants to be offered; and (b) the terms on which they are to be offered, to enable an investor to decide to buy or subscribe for the shares or pre-funded warrants and the expression “POATR” means the Public Offers and Admissions to Trading Regulations 2024.</w:t>
      </w:r>
    </w:p>
    <w:p>
      <w:pPr>
        <w:spacing w:after="0" w:line="195"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Italy</w:t>
      </w:r>
    </w:p>
    <w:p>
      <w:pPr>
        <w:spacing w:after="0" w:line="105" w:lineRule="exact"/>
        <w:rPr>
          <w:sz w:val="20"/>
          <w:szCs w:val="20"/>
          <w:color w:val="auto"/>
        </w:rPr>
      </w:pPr>
    </w:p>
    <w:p>
      <w:pPr>
        <w:ind w:left="1360" w:right="439"/>
        <w:spacing w:after="0" w:line="252" w:lineRule="auto"/>
        <w:rPr>
          <w:sz w:val="20"/>
          <w:szCs w:val="20"/>
          <w:color w:val="auto"/>
        </w:rPr>
      </w:pPr>
      <w:r>
        <w:rPr>
          <w:rFonts w:ascii="Arial" w:cs="Arial" w:eastAsia="Arial" w:hAnsi="Arial"/>
          <w:sz w:val="14"/>
          <w:szCs w:val="14"/>
          <w:color w:val="auto"/>
        </w:rPr>
        <w:t>The offering of the shares or pre-funded warrants has not been registered pursuant to Italian securities legislation. Any offer, sale or delivery of the shares or pre-funded warrants in the Republic of Italy or distribution of copies of this prospectus supplement or any other document relating to the shares or pre-funded warrants in the Republic of Italy must be:</w:t>
      </w:r>
    </w:p>
    <w:p>
      <w:pPr>
        <w:spacing w:after="0" w:line="81" w:lineRule="exact"/>
        <w:rPr>
          <w:sz w:val="20"/>
          <w:szCs w:val="20"/>
          <w:color w:val="auto"/>
        </w:rPr>
      </w:pPr>
    </w:p>
    <w:p>
      <w:pPr>
        <w:ind w:left="2120" w:right="539" w:hanging="425"/>
        <w:spacing w:after="0" w:line="252" w:lineRule="auto"/>
        <w:tabs>
          <w:tab w:leader="none" w:pos="2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made by an investment firm, bank or financial intermediary permitted to conduct such activities in the Republic of Italy in accordance with the Financial Services Act, CONSOB Regulation No. 20307 of 15 February 2018 and Legislative Decree No. 385 of 1 September 1993, as amended; and</w:t>
      </w:r>
    </w:p>
    <w:p>
      <w:pPr>
        <w:spacing w:after="0" w:line="81" w:lineRule="exact"/>
        <w:rPr>
          <w:rFonts w:ascii="Arial" w:cs="Arial" w:eastAsia="Arial" w:hAnsi="Arial"/>
          <w:sz w:val="14"/>
          <w:szCs w:val="14"/>
          <w:color w:val="auto"/>
        </w:rPr>
      </w:pPr>
    </w:p>
    <w:p>
      <w:pPr>
        <w:ind w:left="2120" w:hanging="425"/>
        <w:spacing w:after="0"/>
        <w:tabs>
          <w:tab w:leader="none" w:pos="2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compliance with any other applicable laws and regulations.</w:t>
      </w:r>
    </w:p>
    <w:p>
      <w:pPr>
        <w:spacing w:after="0" w:line="112" w:lineRule="exact"/>
        <w:rPr>
          <w:sz w:val="20"/>
          <w:szCs w:val="20"/>
          <w:color w:val="auto"/>
        </w:rPr>
      </w:pPr>
    </w:p>
    <w:p>
      <w:pPr>
        <w:ind w:left="1360" w:right="339"/>
        <w:spacing w:after="0" w:line="243" w:lineRule="auto"/>
        <w:rPr>
          <w:sz w:val="20"/>
          <w:szCs w:val="20"/>
          <w:color w:val="auto"/>
        </w:rPr>
      </w:pPr>
      <w:r>
        <w:rPr>
          <w:rFonts w:ascii="Arial" w:cs="Arial" w:eastAsia="Arial" w:hAnsi="Arial"/>
          <w:sz w:val="14"/>
          <w:szCs w:val="14"/>
          <w:color w:val="auto"/>
        </w:rPr>
        <w:t>Please note that, in accordance with Article 100-bis of the Financial Services Act, the subsequent distribution of the shares or pre-funded warrants on the secondary market in Italy must be made in compliance with the rules on offers of securities to be made to the public provided under the Financial Services Act and the Regulation 11971/1999. Failure to comply with such rules may result, inter alia, in the sale of such shares or pre-funded warrants being declared null and void and in the liability of the intermediary transferring the shares or pre-funded warrants for any damages suffered by the investors.</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S-37</w:t>
      </w:r>
    </w:p>
    <w:p>
      <w:pPr>
        <w:sectPr>
          <w:pgSz w:w="11900" w:h="16838" w:orient="portrait"/>
          <w:cols w:equalWidth="0" w:num="1">
            <w:col w:w="10159"/>
          </w:cols>
          <w:pgMar w:left="300" w:top="385"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4"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Switzerland</w:t>
      </w:r>
    </w:p>
    <w:p>
      <w:pPr>
        <w:spacing w:after="0" w:line="105" w:lineRule="exact"/>
        <w:rPr>
          <w:sz w:val="20"/>
          <w:szCs w:val="20"/>
          <w:color w:val="auto"/>
        </w:rPr>
      </w:pPr>
    </w:p>
    <w:p>
      <w:pPr>
        <w:ind w:left="1360" w:right="239"/>
        <w:spacing w:after="0" w:line="246" w:lineRule="auto"/>
        <w:rPr>
          <w:sz w:val="20"/>
          <w:szCs w:val="20"/>
          <w:color w:val="auto"/>
        </w:rPr>
      </w:pPr>
      <w:r>
        <w:rPr>
          <w:rFonts w:ascii="Arial" w:cs="Arial" w:eastAsia="Arial" w:hAnsi="Arial"/>
          <w:sz w:val="14"/>
          <w:szCs w:val="14"/>
          <w:color w:val="auto"/>
        </w:rPr>
        <w:t>This prospectus supplement does not constitute an offer to the public or a solicitation to purchase or invest in any shares or pre-funded warrants. No shares or pre-funded warrants have been offered or will be offered to the public in Switzerland, except that offers of shares or pre-funded warrants may be made to the public in Switzerland at any time under the following exemptions under the Swiss Financial Services Act (“FinSA”):</w:t>
      </w:r>
    </w:p>
    <w:p>
      <w:pPr>
        <w:spacing w:after="0" w:line="86" w:lineRule="exact"/>
        <w:rPr>
          <w:sz w:val="20"/>
          <w:szCs w:val="20"/>
          <w:color w:val="auto"/>
        </w:rPr>
      </w:pPr>
    </w:p>
    <w:p>
      <w:pPr>
        <w:ind w:left="2120" w:hanging="425"/>
        <w:spacing w:after="0"/>
        <w:tabs>
          <w:tab w:leader="none" w:pos="2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to any person which is a professional client as defined under the FinSA;</w:t>
      </w:r>
    </w:p>
    <w:p>
      <w:pPr>
        <w:spacing w:after="0" w:line="112" w:lineRule="exact"/>
        <w:rPr>
          <w:rFonts w:ascii="Arial" w:cs="Arial" w:eastAsia="Arial" w:hAnsi="Arial"/>
          <w:sz w:val="14"/>
          <w:szCs w:val="14"/>
          <w:color w:val="auto"/>
        </w:rPr>
      </w:pPr>
    </w:p>
    <w:p>
      <w:pPr>
        <w:ind w:left="2120" w:right="339" w:hanging="425"/>
        <w:spacing w:after="0" w:line="270" w:lineRule="auto"/>
        <w:tabs>
          <w:tab w:leader="none" w:pos="2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to fewer than 500 persons (other than professional clients as defined under the FinSA), subject to obtaining the prior consent of the representatives of the underwriters for any such offer; or</w:t>
      </w:r>
    </w:p>
    <w:p>
      <w:pPr>
        <w:spacing w:after="0" w:line="68" w:lineRule="exact"/>
        <w:rPr>
          <w:rFonts w:ascii="Arial" w:cs="Arial" w:eastAsia="Arial" w:hAnsi="Arial"/>
          <w:sz w:val="14"/>
          <w:szCs w:val="14"/>
          <w:color w:val="auto"/>
        </w:rPr>
      </w:pPr>
    </w:p>
    <w:p>
      <w:pPr>
        <w:ind w:left="2120" w:right="799" w:hanging="425"/>
        <w:spacing w:after="0" w:line="270" w:lineRule="auto"/>
        <w:tabs>
          <w:tab w:leader="none" w:pos="2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36 FinSA in connection with Article 44 of the Swiss Financial Services Ordinance,</w:t>
      </w:r>
    </w:p>
    <w:p>
      <w:pPr>
        <w:spacing w:after="0" w:line="68" w:lineRule="exact"/>
        <w:rPr>
          <w:sz w:val="20"/>
          <w:szCs w:val="20"/>
          <w:color w:val="auto"/>
        </w:rPr>
      </w:pPr>
    </w:p>
    <w:p>
      <w:pPr>
        <w:ind w:left="1360" w:right="439"/>
        <w:spacing w:after="0" w:line="270" w:lineRule="auto"/>
        <w:rPr>
          <w:sz w:val="20"/>
          <w:szCs w:val="20"/>
          <w:color w:val="auto"/>
        </w:rPr>
      </w:pPr>
      <w:r>
        <w:rPr>
          <w:rFonts w:ascii="Arial" w:cs="Arial" w:eastAsia="Arial" w:hAnsi="Arial"/>
          <w:sz w:val="14"/>
          <w:szCs w:val="14"/>
          <w:color w:val="auto"/>
        </w:rPr>
        <w:t>provided that no such offer of shares or pre-funded warrants shall require the Company or any investment bank to publish a prospectus pursuant to Article 35 FinSA.</w:t>
      </w:r>
    </w:p>
    <w:p>
      <w:pPr>
        <w:spacing w:after="0" w:line="68"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The shares or pre-funded warrants have not been and will not be listed or admitted to trading on a trading venue in Switzerland.</w:t>
      </w:r>
    </w:p>
    <w:p>
      <w:pPr>
        <w:spacing w:after="0" w:line="102" w:lineRule="exact"/>
        <w:rPr>
          <w:sz w:val="20"/>
          <w:szCs w:val="20"/>
          <w:color w:val="auto"/>
        </w:rPr>
      </w:pPr>
    </w:p>
    <w:p>
      <w:pPr>
        <w:ind w:left="1360" w:right="359"/>
        <w:spacing w:after="0" w:line="252" w:lineRule="auto"/>
        <w:rPr>
          <w:sz w:val="20"/>
          <w:szCs w:val="20"/>
          <w:color w:val="auto"/>
        </w:rPr>
      </w:pPr>
      <w:r>
        <w:rPr>
          <w:rFonts w:ascii="Arial" w:cs="Arial" w:eastAsia="Arial" w:hAnsi="Arial"/>
          <w:sz w:val="14"/>
          <w:szCs w:val="14"/>
          <w:color w:val="auto"/>
        </w:rPr>
        <w:t>Neither this document nor any other offering or marketing material relating to the shares or pre-funded warrants constitutes a prospectus as such term is understood pursuant to the FinSA and neither this document nor any other offering or marketing material relating to the shares or pre-funded warrants may be publicly distributed or otherwise made publicly available in Switzerland.</w:t>
      </w:r>
    </w:p>
    <w:p>
      <w:pPr>
        <w:spacing w:after="0" w:line="180"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Monaco</w:t>
      </w:r>
    </w:p>
    <w:p>
      <w:pPr>
        <w:spacing w:after="0" w:line="115" w:lineRule="exact"/>
        <w:rPr>
          <w:sz w:val="20"/>
          <w:szCs w:val="20"/>
          <w:color w:val="auto"/>
        </w:rPr>
      </w:pPr>
    </w:p>
    <w:p>
      <w:pPr>
        <w:ind w:left="1360" w:right="279"/>
        <w:spacing w:after="0" w:line="241" w:lineRule="auto"/>
        <w:rPr>
          <w:sz w:val="20"/>
          <w:szCs w:val="20"/>
          <w:color w:val="auto"/>
        </w:rPr>
      </w:pPr>
      <w:r>
        <w:rPr>
          <w:rFonts w:ascii="Arial" w:cs="Arial" w:eastAsia="Arial" w:hAnsi="Arial"/>
          <w:sz w:val="14"/>
          <w:szCs w:val="14"/>
          <w:color w:val="auto"/>
        </w:rPr>
        <w:t>The shares or pre-funded warrants may not be offered or sold, directly or indirectly, to the public in Monaco other than by a Monaco Bank or a duly authorized Monegasque intermediary acting as a professional institutional investor which has such knowledge and experience in financial and business matters as to be capable of evaluating the risks and merits of an investment in the Fund. Consequently, this prospectus supplement may only be communicated to (i) banks, and (ii) portfolio management companies duly licensed by the “Commission de Contrôle des Activités Financières” by virtue of Law n° 1.338, of September 7, 2007, and authorized under Law n° 1.144 of July 26, 1991. Such regulated intermediaries may in turn communicate this prospectus supplement to potential investors.</w:t>
      </w:r>
    </w:p>
    <w:p>
      <w:pPr>
        <w:spacing w:after="0" w:line="189"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the Dubai International Financial Centre</w:t>
      </w:r>
    </w:p>
    <w:p>
      <w:pPr>
        <w:spacing w:after="0" w:line="115" w:lineRule="exact"/>
        <w:rPr>
          <w:sz w:val="20"/>
          <w:szCs w:val="20"/>
          <w:color w:val="auto"/>
        </w:rPr>
      </w:pPr>
    </w:p>
    <w:p>
      <w:pPr>
        <w:ind w:left="1360" w:right="399"/>
        <w:spacing w:after="0"/>
        <w:rPr>
          <w:sz w:val="20"/>
          <w:szCs w:val="20"/>
          <w:color w:val="auto"/>
        </w:rPr>
      </w:pPr>
      <w:r>
        <w:rPr>
          <w:rFonts w:ascii="Arial" w:cs="Arial" w:eastAsia="Arial" w:hAnsi="Arial"/>
          <w:sz w:val="14"/>
          <w:szCs w:val="14"/>
          <w:color w:val="auto"/>
        </w:rPr>
        <w:t>This document relates to an Exempt Offer in accordance with the Markets Law, DIFC Law No. 1 of 2012, as amended. This document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9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S-38</w:t>
      </w:r>
    </w:p>
    <w:p>
      <w:pPr>
        <w:sectPr>
          <w:pgSz w:w="11900" w:h="16838" w:orient="portrait"/>
          <w:cols w:equalWidth="0" w:num="1">
            <w:col w:w="10159"/>
          </w:cols>
          <w:pgMar w:left="300" w:top="385"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79"/>
        <w:spacing w:after="0" w:line="252" w:lineRule="auto"/>
        <w:rPr>
          <w:sz w:val="20"/>
          <w:szCs w:val="20"/>
          <w:color w:val="auto"/>
        </w:rPr>
      </w:pPr>
      <w:r>
        <w:rPr>
          <w:rFonts w:ascii="Arial" w:cs="Arial" w:eastAsia="Arial" w:hAnsi="Arial"/>
          <w:sz w:val="14"/>
          <w:szCs w:val="14"/>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80"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the United Arab Emirates</w:t>
      </w:r>
    </w:p>
    <w:p>
      <w:pPr>
        <w:spacing w:after="0" w:line="115" w:lineRule="exact"/>
        <w:rPr>
          <w:sz w:val="20"/>
          <w:szCs w:val="20"/>
          <w:color w:val="auto"/>
        </w:rPr>
      </w:pPr>
    </w:p>
    <w:p>
      <w:pPr>
        <w:ind w:left="1360" w:right="259"/>
        <w:spacing w:after="0"/>
        <w:rPr>
          <w:sz w:val="20"/>
          <w:szCs w:val="20"/>
          <w:color w:val="auto"/>
        </w:rPr>
      </w:pPr>
      <w:r>
        <w:rPr>
          <w:rFonts w:ascii="Arial" w:cs="Arial" w:eastAsia="Arial" w:hAnsi="Arial"/>
          <w:sz w:val="14"/>
          <w:szCs w:val="14"/>
          <w:color w:val="auto"/>
        </w:rPr>
        <w:t>The shares or pre-funded warrants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Financial Services Regulatory Authority (“FSRA”) or the Dubai Financial Services Authority (“DFSA”).</w:t>
      </w:r>
    </w:p>
    <w:p>
      <w:pPr>
        <w:spacing w:after="0" w:line="190"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Australia</w:t>
      </w:r>
    </w:p>
    <w:p>
      <w:pPr>
        <w:spacing w:after="0" w:line="115"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This prospectus supplement:</w:t>
      </w:r>
    </w:p>
    <w:p>
      <w:pPr>
        <w:spacing w:after="0" w:line="112" w:lineRule="exact"/>
        <w:rPr>
          <w:sz w:val="20"/>
          <w:szCs w:val="20"/>
          <w:color w:val="auto"/>
        </w:rPr>
      </w:pPr>
    </w:p>
    <w:p>
      <w:pPr>
        <w:ind w:left="1520" w:right="399" w:hanging="161"/>
        <w:spacing w:after="0" w:line="270" w:lineRule="auto"/>
        <w:tabs>
          <w:tab w:leader="none" w:pos="1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does not constitute a disclosure document or a prospectus under Chapter 6D.2 of the Corporations Act 2001 (Cth) (the “Corporations Act”);</w:t>
      </w:r>
    </w:p>
    <w:p>
      <w:pPr>
        <w:spacing w:after="0" w:line="68" w:lineRule="exact"/>
        <w:rPr>
          <w:rFonts w:ascii="Arial" w:cs="Arial" w:eastAsia="Arial" w:hAnsi="Arial"/>
          <w:sz w:val="14"/>
          <w:szCs w:val="14"/>
          <w:color w:val="auto"/>
        </w:rPr>
      </w:pPr>
    </w:p>
    <w:p>
      <w:pPr>
        <w:ind w:left="1520" w:right="419" w:hanging="161"/>
        <w:spacing w:after="0" w:line="252" w:lineRule="auto"/>
        <w:tabs>
          <w:tab w:leader="none" w:pos="1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1" w:lineRule="exact"/>
        <w:rPr>
          <w:rFonts w:ascii="Arial" w:cs="Arial" w:eastAsia="Arial" w:hAnsi="Arial"/>
          <w:sz w:val="14"/>
          <w:szCs w:val="14"/>
          <w:color w:val="auto"/>
        </w:rPr>
      </w:pPr>
    </w:p>
    <w:p>
      <w:pPr>
        <w:ind w:left="1520" w:right="379" w:hanging="161"/>
        <w:spacing w:after="0" w:line="270" w:lineRule="auto"/>
        <w:tabs>
          <w:tab w:leader="none" w:pos="1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may only be provided in Australia to select investors who are able to demonstrate that they fall within one or more of the categories of investors, available under section 708 of the Corporations Act (“Exempt Investors”).</w:t>
      </w:r>
    </w:p>
    <w:p>
      <w:pPr>
        <w:spacing w:after="0" w:line="58" w:lineRule="exact"/>
        <w:rPr>
          <w:sz w:val="20"/>
          <w:szCs w:val="20"/>
          <w:color w:val="auto"/>
        </w:rPr>
      </w:pPr>
    </w:p>
    <w:p>
      <w:pPr>
        <w:ind w:left="1360" w:right="299"/>
        <w:spacing w:after="0" w:line="243" w:lineRule="auto"/>
        <w:rPr>
          <w:sz w:val="20"/>
          <w:szCs w:val="20"/>
          <w:color w:val="auto"/>
        </w:rPr>
      </w:pPr>
      <w:r>
        <w:rPr>
          <w:rFonts w:ascii="Arial" w:cs="Arial" w:eastAsia="Arial" w:hAnsi="Arial"/>
          <w:sz w:val="14"/>
          <w:szCs w:val="14"/>
          <w:color w:val="auto"/>
        </w:rPr>
        <w:t>The shares or pre-funded warrants may not be directly or indirectly offered for subscription or purchased or sold, and no invitations to subscribe for or buy the shares or pre-funded warrants may be issued, and no draft or definitive offering memorandum, advertisement or other offering material relating to any shares or pre-funded warrants may be distributed in Australia, except where disclosure to investors is not required under Chapter 6D of the Corporations Act or is otherwise in compliance with all applicable Australian laws and regulations. By submitting an application for the shares or pre-funded warrants, you represent and warrant to us that you are an Exempt Investor.</w:t>
      </w:r>
    </w:p>
    <w:p>
      <w:pPr>
        <w:spacing w:after="0" w:line="88" w:lineRule="exact"/>
        <w:rPr>
          <w:sz w:val="20"/>
          <w:szCs w:val="20"/>
          <w:color w:val="auto"/>
        </w:rPr>
      </w:pPr>
    </w:p>
    <w:p>
      <w:pPr>
        <w:ind w:left="1360" w:right="239"/>
        <w:spacing w:after="0"/>
        <w:rPr>
          <w:sz w:val="20"/>
          <w:szCs w:val="20"/>
          <w:color w:val="auto"/>
        </w:rPr>
      </w:pPr>
      <w:r>
        <w:rPr>
          <w:rFonts w:ascii="Arial" w:cs="Arial" w:eastAsia="Arial" w:hAnsi="Arial"/>
          <w:sz w:val="14"/>
          <w:szCs w:val="14"/>
          <w:color w:val="auto"/>
        </w:rPr>
        <w:t>As any offer of shares of our common stock or pre-funded warrants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our common stock or pre-funded warrants you undertake to us that you will not, for a period of 12 months from the date of issue of the shares or pre-funded warrants, offer, transfer, assign or otherwise alienate those shares of our common stock or pre-funded warrants to investors in Australia except in circumstances where disclosure to investors is not required under Chapter 6D.2 of the Corporations Act or where a compliant disclosure document is prepared and lodged with ASIC.</w:t>
      </w:r>
    </w:p>
    <w:p>
      <w:pPr>
        <w:spacing w:after="0" w:line="9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S-39</w:t>
      </w:r>
    </w:p>
    <w:p>
      <w:pPr>
        <w:sectPr>
          <w:pgSz w:w="11900" w:h="16838" w:orient="portrait"/>
          <w:cols w:equalWidth="0" w:num="1">
            <w:col w:w="10159"/>
          </w:cols>
          <w:pgMar w:left="300" w:top="385"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4"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New Zealand</w:t>
      </w:r>
    </w:p>
    <w:p>
      <w:pPr>
        <w:spacing w:after="0" w:line="105" w:lineRule="exact"/>
        <w:rPr>
          <w:sz w:val="20"/>
          <w:szCs w:val="20"/>
          <w:color w:val="auto"/>
        </w:rPr>
      </w:pPr>
    </w:p>
    <w:p>
      <w:pPr>
        <w:ind w:left="1360" w:right="319"/>
        <w:spacing w:after="0" w:line="252" w:lineRule="auto"/>
        <w:rPr>
          <w:sz w:val="20"/>
          <w:szCs w:val="20"/>
          <w:color w:val="auto"/>
        </w:rPr>
      </w:pPr>
      <w:r>
        <w:rPr>
          <w:rFonts w:ascii="Arial" w:cs="Arial" w:eastAsia="Arial" w:hAnsi="Arial"/>
          <w:sz w:val="14"/>
          <w:szCs w:val="14"/>
          <w:color w:val="auto"/>
        </w:rPr>
        <w:t>This document has not been registered, filed with or approved by any New Zealand regulatory authority under the Financial Markets Conduct Act 2013 (the “FMA Act”). The shares or pre -funded warrants may only be offered or sold in New Zealand (or allotted with a view to being offered for sale in New Zealand) to a person who:</w:t>
      </w:r>
    </w:p>
    <w:p>
      <w:pPr>
        <w:spacing w:after="0" w:line="81" w:lineRule="exact"/>
        <w:rPr>
          <w:sz w:val="20"/>
          <w:szCs w:val="20"/>
          <w:color w:val="auto"/>
        </w:rPr>
      </w:pPr>
    </w:p>
    <w:p>
      <w:pPr>
        <w:ind w:left="1520" w:hanging="161"/>
        <w:spacing w:after="0"/>
        <w:tabs>
          <w:tab w:leader="none" w:pos="1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is an investment business within the meaning of clause 37 of Schedule 1 of the FMC Act;</w:t>
      </w:r>
    </w:p>
    <w:p>
      <w:pPr>
        <w:spacing w:after="0" w:line="10" w:lineRule="exact"/>
        <w:rPr>
          <w:rFonts w:ascii="Arial" w:cs="Arial" w:eastAsia="Arial" w:hAnsi="Arial"/>
          <w:sz w:val="14"/>
          <w:szCs w:val="14"/>
          <w:color w:val="auto"/>
        </w:rPr>
      </w:pPr>
    </w:p>
    <w:p>
      <w:pPr>
        <w:ind w:left="1520" w:hanging="161"/>
        <w:spacing w:after="0" w:line="234" w:lineRule="auto"/>
        <w:tabs>
          <w:tab w:leader="none" w:pos="1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meets the investment activity criteria specified in clause 38 of Schedule 1 of the FMC Act;</w:t>
      </w:r>
    </w:p>
    <w:p>
      <w:pPr>
        <w:ind w:left="1520" w:hanging="161"/>
        <w:spacing w:after="0" w:line="234" w:lineRule="auto"/>
        <w:tabs>
          <w:tab w:leader="none" w:pos="1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is large within the meaning of clause 39 of Schedule 1 of the FMC Act;</w:t>
      </w:r>
    </w:p>
    <w:p>
      <w:pPr>
        <w:ind w:left="1520" w:hanging="161"/>
        <w:spacing w:after="0" w:line="234" w:lineRule="auto"/>
        <w:tabs>
          <w:tab w:leader="none" w:pos="1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is a government agency within the meaning of clause 40 of Schedule 1 of the FMC Act; or</w:t>
      </w:r>
    </w:p>
    <w:p>
      <w:pPr>
        <w:ind w:left="1520" w:hanging="161"/>
        <w:spacing w:after="0"/>
        <w:tabs>
          <w:tab w:leader="none" w:pos="1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is an eligible investor within the meaning of clause 41 of Schedule 1 of the FMC Act.</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Japan</w:t>
      </w:r>
    </w:p>
    <w:p>
      <w:pPr>
        <w:spacing w:after="0" w:line="105" w:lineRule="exact"/>
        <w:rPr>
          <w:sz w:val="20"/>
          <w:szCs w:val="20"/>
          <w:color w:val="auto"/>
        </w:rPr>
      </w:pPr>
    </w:p>
    <w:p>
      <w:pPr>
        <w:ind w:left="1360" w:right="239"/>
        <w:spacing w:after="0"/>
        <w:rPr>
          <w:sz w:val="20"/>
          <w:szCs w:val="20"/>
          <w:color w:val="auto"/>
        </w:rPr>
      </w:pPr>
      <w:r>
        <w:rPr>
          <w:rFonts w:ascii="Arial" w:cs="Arial" w:eastAsia="Arial" w:hAnsi="Arial"/>
          <w:sz w:val="14"/>
          <w:szCs w:val="14"/>
          <w:color w:val="auto"/>
        </w:rPr>
        <w:t>The shares or pre-funded warrants have not been and will not be registered pursuant to Article 4, Paragraph 1 of the Financial Instruments and Exchange Act. Accordingly, none of the shares or pre-funded warrants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01"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Hong Kong</w:t>
      </w:r>
    </w:p>
    <w:p>
      <w:pPr>
        <w:spacing w:after="0" w:line="105" w:lineRule="exact"/>
        <w:rPr>
          <w:sz w:val="20"/>
          <w:szCs w:val="20"/>
          <w:color w:val="auto"/>
        </w:rPr>
      </w:pPr>
    </w:p>
    <w:p>
      <w:pPr>
        <w:ind w:left="1360" w:right="239"/>
        <w:spacing w:after="0" w:line="238" w:lineRule="auto"/>
        <w:rPr>
          <w:sz w:val="20"/>
          <w:szCs w:val="20"/>
          <w:color w:val="auto"/>
        </w:rPr>
      </w:pPr>
      <w:r>
        <w:rPr>
          <w:rFonts w:ascii="Arial" w:cs="Arial" w:eastAsia="Arial" w:hAnsi="Arial"/>
          <w:sz w:val="14"/>
          <w:szCs w:val="14"/>
          <w:color w:val="auto"/>
        </w:rPr>
        <w:t>The shares or pre-funded warrants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or pre-funded warrants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or pre-funded warrants which are or are intended to be disposed of only to persons outside Hong Kong or only to “professional investors” as defined in the SFO and any rules made thereunder.</w:t>
      </w:r>
    </w:p>
    <w:p>
      <w:pPr>
        <w:spacing w:after="0" w:line="193"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Singapore</w:t>
      </w:r>
    </w:p>
    <w:p>
      <w:pPr>
        <w:spacing w:after="0" w:line="115" w:lineRule="exact"/>
        <w:rPr>
          <w:sz w:val="20"/>
          <w:szCs w:val="20"/>
          <w:color w:val="auto"/>
        </w:rPr>
      </w:pPr>
    </w:p>
    <w:p>
      <w:pPr>
        <w:ind w:left="1360" w:right="259"/>
        <w:spacing w:after="0" w:line="243" w:lineRule="auto"/>
        <w:rPr>
          <w:sz w:val="20"/>
          <w:szCs w:val="20"/>
          <w:color w:val="auto"/>
        </w:rPr>
      </w:pPr>
      <w:r>
        <w:rPr>
          <w:rFonts w:ascii="Arial" w:cs="Arial" w:eastAsia="Arial" w:hAnsi="Arial"/>
          <w:sz w:val="14"/>
          <w:szCs w:val="14"/>
          <w:color w:val="auto"/>
        </w:rPr>
        <w:t>Each underwriter has acknowledged that this prospectus supplement has not been registered as a prospectus with the Monetary Authority of Singapore. Accordingly, each underwriter has represented and agreed that it has not offered or sold any shares or pre-funded warrants or caused the shares to be made the subject of an invitation for subscription or purchase and will not offer or sell any shares or pre-funded warrants or cause the shares or pre-funded warrants to be made the subject of an invitation for subscription or purchase, and has not circulated or distributed, nor will it circulate or distribute, this prospectus supplement or any other document</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S-40</w:t>
      </w:r>
    </w:p>
    <w:p>
      <w:pPr>
        <w:sectPr>
          <w:pgSz w:w="11900" w:h="16838" w:orient="portrait"/>
          <w:cols w:equalWidth="0" w:num="1">
            <w:col w:w="10159"/>
          </w:cols>
          <w:pgMar w:left="300" w:top="385"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99"/>
        <w:spacing w:after="0" w:line="270" w:lineRule="auto"/>
        <w:rPr>
          <w:sz w:val="20"/>
          <w:szCs w:val="20"/>
          <w:color w:val="auto"/>
        </w:rPr>
      </w:pPr>
      <w:r>
        <w:rPr>
          <w:rFonts w:ascii="Arial" w:cs="Arial" w:eastAsia="Arial" w:hAnsi="Arial"/>
          <w:sz w:val="14"/>
          <w:szCs w:val="14"/>
          <w:color w:val="auto"/>
        </w:rPr>
        <w:t>or material in connection with the offer or sale, or invitation for subscription or purchase, of the shares or pre-funded warrants, whether directly or indirectly, to any person in Singapore other than:</w:t>
      </w:r>
    </w:p>
    <w:p>
      <w:pPr>
        <w:spacing w:after="0" w:line="68" w:lineRule="exact"/>
        <w:rPr>
          <w:sz w:val="20"/>
          <w:szCs w:val="20"/>
          <w:color w:val="auto"/>
        </w:rPr>
      </w:pPr>
    </w:p>
    <w:p>
      <w:pPr>
        <w:ind w:left="2120" w:right="279" w:hanging="425"/>
        <w:spacing w:after="0" w:line="270" w:lineRule="auto"/>
        <w:tabs>
          <w:tab w:leader="none" w:pos="21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 an institutional investor (as defined in Section 4A of the Securities and Futures Act (Chapter 289) of Singapore, as modified or amended from time to time (the “SFA”)) pursuant to Section 274 of the SFA;</w:t>
      </w:r>
    </w:p>
    <w:p>
      <w:pPr>
        <w:spacing w:after="0" w:line="68" w:lineRule="exact"/>
        <w:rPr>
          <w:rFonts w:ascii="Arial" w:cs="Arial" w:eastAsia="Arial" w:hAnsi="Arial"/>
          <w:sz w:val="14"/>
          <w:szCs w:val="14"/>
          <w:color w:val="auto"/>
        </w:rPr>
      </w:pPr>
    </w:p>
    <w:p>
      <w:pPr>
        <w:ind w:left="2120" w:right="339" w:hanging="425"/>
        <w:spacing w:after="0" w:line="270" w:lineRule="auto"/>
        <w:tabs>
          <w:tab w:leader="none" w:pos="21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8" w:lineRule="exact"/>
        <w:rPr>
          <w:rFonts w:ascii="Arial" w:cs="Arial" w:eastAsia="Arial" w:hAnsi="Arial"/>
          <w:sz w:val="14"/>
          <w:szCs w:val="14"/>
          <w:color w:val="auto"/>
        </w:rPr>
      </w:pPr>
    </w:p>
    <w:p>
      <w:pPr>
        <w:ind w:left="2120" w:hanging="425"/>
        <w:spacing w:after="0"/>
        <w:tabs>
          <w:tab w:leader="none" w:pos="21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otherwise pursuant to, and in accordance with the conditions of, any other applicable provision of the SFA.</w:t>
      </w:r>
    </w:p>
    <w:p>
      <w:pPr>
        <w:spacing w:after="0" w:line="112" w:lineRule="exact"/>
        <w:rPr>
          <w:rFonts w:ascii="Arial" w:cs="Arial" w:eastAsia="Arial" w:hAnsi="Arial"/>
          <w:sz w:val="14"/>
          <w:szCs w:val="14"/>
          <w:color w:val="auto"/>
        </w:rPr>
      </w:pPr>
    </w:p>
    <w:p>
      <w:pPr>
        <w:ind w:left="2120" w:hanging="425"/>
        <w:spacing w:after="0"/>
        <w:tabs>
          <w:tab w:leader="none" w:pos="21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Where the shares are subscribed or purchased under Section 275 of the SFA by a relevant person which is:</w:t>
      </w:r>
    </w:p>
    <w:p>
      <w:pPr>
        <w:spacing w:after="0" w:line="112" w:lineRule="exact"/>
        <w:rPr>
          <w:rFonts w:ascii="Arial" w:cs="Arial" w:eastAsia="Arial" w:hAnsi="Arial"/>
          <w:sz w:val="14"/>
          <w:szCs w:val="14"/>
          <w:color w:val="auto"/>
        </w:rPr>
      </w:pPr>
    </w:p>
    <w:p>
      <w:pPr>
        <w:ind w:left="2120" w:right="339" w:hanging="425"/>
        <w:spacing w:after="0" w:line="252" w:lineRule="auto"/>
        <w:tabs>
          <w:tab w:leader="none" w:pos="21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81" w:lineRule="exact"/>
        <w:rPr>
          <w:rFonts w:ascii="Arial" w:cs="Arial" w:eastAsia="Arial" w:hAnsi="Arial"/>
          <w:sz w:val="14"/>
          <w:szCs w:val="14"/>
          <w:color w:val="auto"/>
        </w:rPr>
      </w:pPr>
    </w:p>
    <w:p>
      <w:pPr>
        <w:ind w:left="2120" w:right="279" w:hanging="425"/>
        <w:spacing w:after="0" w:line="270" w:lineRule="auto"/>
        <w:tabs>
          <w:tab w:leader="none" w:pos="21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trust (where the trustee is not an accredited investor) whose sole purpose is to hold investments and each beneficiary of the trust is an individual who is an accredited investor,</w:t>
      </w:r>
    </w:p>
    <w:p>
      <w:pPr>
        <w:spacing w:after="0" w:line="58" w:lineRule="exact"/>
        <w:rPr>
          <w:sz w:val="20"/>
          <w:szCs w:val="20"/>
          <w:color w:val="auto"/>
        </w:rPr>
      </w:pPr>
    </w:p>
    <w:p>
      <w:pPr>
        <w:ind w:left="1360" w:right="299"/>
        <w:spacing w:after="0" w:line="252" w:lineRule="auto"/>
        <w:rPr>
          <w:sz w:val="20"/>
          <w:szCs w:val="20"/>
          <w:color w:val="auto"/>
        </w:rPr>
      </w:pPr>
      <w:r>
        <w:rPr>
          <w:rFonts w:ascii="Arial" w:cs="Arial" w:eastAsia="Arial" w:hAnsi="Arial"/>
          <w:sz w:val="14"/>
          <w:szCs w:val="14"/>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1" w:lineRule="exact"/>
        <w:rPr>
          <w:sz w:val="20"/>
          <w:szCs w:val="20"/>
          <w:color w:val="auto"/>
        </w:rPr>
      </w:pPr>
    </w:p>
    <w:p>
      <w:pPr>
        <w:ind w:left="2120" w:right="619" w:hanging="425"/>
        <w:spacing w:after="0" w:line="270" w:lineRule="auto"/>
        <w:tabs>
          <w:tab w:leader="none" w:pos="21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 an institutional investor or to a relevant person, or to any person arising from an offer referred to in Section 275(1A) or Section 276(4)(c)(ii) of the SFA;</w:t>
      </w:r>
    </w:p>
    <w:p>
      <w:pPr>
        <w:spacing w:after="0" w:line="68" w:lineRule="exact"/>
        <w:rPr>
          <w:rFonts w:ascii="Arial" w:cs="Arial" w:eastAsia="Arial" w:hAnsi="Arial"/>
          <w:sz w:val="14"/>
          <w:szCs w:val="14"/>
          <w:color w:val="auto"/>
        </w:rPr>
      </w:pPr>
    </w:p>
    <w:p>
      <w:pPr>
        <w:ind w:left="2120" w:hanging="425"/>
        <w:spacing w:after="0"/>
        <w:tabs>
          <w:tab w:leader="none" w:pos="21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where no consideration is or will be given for the transfer;</w:t>
      </w:r>
    </w:p>
    <w:p>
      <w:pPr>
        <w:spacing w:after="0" w:line="112" w:lineRule="exact"/>
        <w:rPr>
          <w:rFonts w:ascii="Arial" w:cs="Arial" w:eastAsia="Arial" w:hAnsi="Arial"/>
          <w:sz w:val="14"/>
          <w:szCs w:val="14"/>
          <w:color w:val="auto"/>
        </w:rPr>
      </w:pPr>
    </w:p>
    <w:p>
      <w:pPr>
        <w:ind w:left="2120" w:hanging="425"/>
        <w:spacing w:after="0"/>
        <w:tabs>
          <w:tab w:leader="none" w:pos="21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where the transfer is by operation of law;</w:t>
      </w:r>
    </w:p>
    <w:p>
      <w:pPr>
        <w:spacing w:after="0" w:line="112" w:lineRule="exact"/>
        <w:rPr>
          <w:rFonts w:ascii="Arial" w:cs="Arial" w:eastAsia="Arial" w:hAnsi="Arial"/>
          <w:sz w:val="14"/>
          <w:szCs w:val="14"/>
          <w:color w:val="auto"/>
        </w:rPr>
      </w:pPr>
    </w:p>
    <w:p>
      <w:pPr>
        <w:ind w:left="2120" w:hanging="425"/>
        <w:spacing w:after="0"/>
        <w:tabs>
          <w:tab w:leader="none" w:pos="21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specified in Section 276(7) of the SFA; or</w:t>
      </w:r>
    </w:p>
    <w:p>
      <w:pPr>
        <w:spacing w:after="0" w:line="112" w:lineRule="exact"/>
        <w:rPr>
          <w:rFonts w:ascii="Arial" w:cs="Arial" w:eastAsia="Arial" w:hAnsi="Arial"/>
          <w:sz w:val="14"/>
          <w:szCs w:val="14"/>
          <w:color w:val="auto"/>
        </w:rPr>
      </w:pPr>
    </w:p>
    <w:p>
      <w:pPr>
        <w:ind w:left="2120" w:right="819" w:hanging="425"/>
        <w:spacing w:after="0" w:line="270" w:lineRule="auto"/>
        <w:tabs>
          <w:tab w:leader="none" w:pos="21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specified in Regulation 37A of the Securities and Futures (Offers of Investments) (Securities and Securities-based Derivatives Contracts) Regulations 2018.</w:t>
      </w:r>
    </w:p>
    <w:p>
      <w:pPr>
        <w:spacing w:after="0" w:line="68" w:lineRule="exact"/>
        <w:rPr>
          <w:sz w:val="20"/>
          <w:szCs w:val="20"/>
          <w:color w:val="auto"/>
        </w:rPr>
      </w:pPr>
    </w:p>
    <w:p>
      <w:pPr>
        <w:ind w:left="1360" w:right="339"/>
        <w:spacing w:after="0" w:line="243" w:lineRule="auto"/>
        <w:rPr>
          <w:sz w:val="20"/>
          <w:szCs w:val="20"/>
          <w:color w:val="auto"/>
        </w:rPr>
      </w:pPr>
      <w:r>
        <w:rPr>
          <w:rFonts w:ascii="Arial" w:cs="Arial" w:eastAsia="Arial" w:hAnsi="Arial"/>
          <w:sz w:val="14"/>
          <w:szCs w:val="14"/>
          <w:i w:val="1"/>
          <w:iCs w:val="1"/>
          <w:color w:val="auto"/>
        </w:rPr>
        <w:t xml:space="preserve">Singapore SFA Product Classification </w:t>
      </w:r>
      <w:r>
        <w:rPr>
          <w:rFonts w:ascii="Arial" w:cs="Arial" w:eastAsia="Arial" w:hAnsi="Arial"/>
          <w:sz w:val="14"/>
          <w:szCs w:val="14"/>
          <w:color w:val="auto"/>
        </w:rPr>
        <w:t>— In connection with Section 309B of the SFA and the CMP Regulations 2018, unless otherwise</w:t>
      </w:r>
      <w:r>
        <w:rPr>
          <w:rFonts w:ascii="Arial" w:cs="Arial" w:eastAsia="Arial" w:hAnsi="Arial"/>
          <w:sz w:val="14"/>
          <w:szCs w:val="14"/>
          <w:i w:val="1"/>
          <w:iCs w:val="1"/>
          <w:color w:val="auto"/>
        </w:rPr>
        <w:t xml:space="preserve"> </w:t>
      </w:r>
      <w:r>
        <w:rPr>
          <w:rFonts w:ascii="Arial" w:cs="Arial" w:eastAsia="Arial" w:hAnsi="Arial"/>
          <w:sz w:val="14"/>
          <w:szCs w:val="14"/>
          <w:color w:val="auto"/>
        </w:rPr>
        <w:t>specified before an offer of shares of our common stock or pre-funded warrants, we have determined, and hereby notify all relevant persons (as defined in Section 309A(1) of the SFA), that the shares of common stock or pre-funded warrants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87"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Bermuda</w:t>
      </w:r>
    </w:p>
    <w:p>
      <w:pPr>
        <w:spacing w:after="0" w:line="115" w:lineRule="exact"/>
        <w:rPr>
          <w:sz w:val="20"/>
          <w:szCs w:val="20"/>
          <w:color w:val="auto"/>
        </w:rPr>
      </w:pPr>
    </w:p>
    <w:p>
      <w:pPr>
        <w:ind w:left="1360" w:right="379"/>
        <w:spacing w:after="0" w:line="246" w:lineRule="auto"/>
        <w:rPr>
          <w:sz w:val="20"/>
          <w:szCs w:val="20"/>
          <w:color w:val="auto"/>
        </w:rPr>
      </w:pPr>
      <w:r>
        <w:rPr>
          <w:rFonts w:ascii="Arial" w:cs="Arial" w:eastAsia="Arial" w:hAnsi="Arial"/>
          <w:sz w:val="14"/>
          <w:szCs w:val="14"/>
          <w:color w:val="auto"/>
        </w:rPr>
        <w:t>Shares or pre-funded warrants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S-41</w:t>
      </w:r>
    </w:p>
    <w:p>
      <w:pPr>
        <w:sectPr>
          <w:pgSz w:w="11900" w:h="16838" w:orient="portrait"/>
          <w:cols w:equalWidth="0" w:num="1">
            <w:col w:w="10159"/>
          </w:cols>
          <w:pgMar w:left="300" w:top="385"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4"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China</w:t>
      </w:r>
    </w:p>
    <w:p>
      <w:pPr>
        <w:spacing w:after="0" w:line="105" w:lineRule="exact"/>
        <w:rPr>
          <w:sz w:val="20"/>
          <w:szCs w:val="20"/>
          <w:color w:val="auto"/>
        </w:rPr>
      </w:pPr>
    </w:p>
    <w:p>
      <w:pPr>
        <w:ind w:left="1360" w:right="239"/>
        <w:spacing w:after="0" w:line="243" w:lineRule="auto"/>
        <w:rPr>
          <w:sz w:val="20"/>
          <w:szCs w:val="20"/>
          <w:color w:val="auto"/>
        </w:rPr>
      </w:pPr>
      <w:r>
        <w:rPr>
          <w:rFonts w:ascii="Arial" w:cs="Arial" w:eastAsia="Arial" w:hAnsi="Arial"/>
          <w:sz w:val="14"/>
          <w:szCs w:val="14"/>
          <w:color w:val="auto"/>
        </w:rPr>
        <w:t>This prospectus supplement will not be circulated or distributed in the PRC and the shares or pre-funded warrants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spacing w:after="0" w:line="197"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Korea</w:t>
      </w:r>
    </w:p>
    <w:p>
      <w:pPr>
        <w:spacing w:after="0" w:line="105" w:lineRule="exact"/>
        <w:rPr>
          <w:sz w:val="20"/>
          <w:szCs w:val="20"/>
          <w:color w:val="auto"/>
        </w:rPr>
      </w:pPr>
    </w:p>
    <w:p>
      <w:pPr>
        <w:ind w:left="1360" w:right="239"/>
        <w:spacing w:after="0" w:line="238" w:lineRule="auto"/>
        <w:rPr>
          <w:sz w:val="20"/>
          <w:szCs w:val="20"/>
          <w:color w:val="auto"/>
        </w:rPr>
      </w:pPr>
      <w:r>
        <w:rPr>
          <w:rFonts w:ascii="Arial" w:cs="Arial" w:eastAsia="Arial" w:hAnsi="Arial"/>
          <w:sz w:val="14"/>
          <w:szCs w:val="14"/>
          <w:color w:val="auto"/>
        </w:rPr>
        <w:t>The shares or pre-funded warrants have not been and will not be registered under the Financial Investments Services and Capital Markets Act of Korea and the decrees and regulations thereunder (the “FSCMA”), and the shares or pre-funded warrants have been and will be offered in Korea as a private placement under the FSCMA. None of the shares or pre-funded warrants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or pre-funded warrants shall comply with all applicable regulatory requirements (including but not limited to requirements under the FETL) in connection with the purchase of the shares. By the purchase of the shares or pre-funded warrants, the relevant holder thereof will be deemed to represent and warrant that if it is in Korea or is a resident of Korea, it purchased the shares or pre-funded warrants pursuant to the applicable laws and regulations of Korea.</w:t>
      </w:r>
    </w:p>
    <w:p>
      <w:pPr>
        <w:spacing w:after="0" w:line="204"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Malaysia</w:t>
      </w:r>
    </w:p>
    <w:p>
      <w:pPr>
        <w:spacing w:after="0" w:line="105" w:lineRule="exact"/>
        <w:rPr>
          <w:sz w:val="20"/>
          <w:szCs w:val="20"/>
          <w:color w:val="auto"/>
        </w:rPr>
      </w:pPr>
    </w:p>
    <w:p>
      <w:pPr>
        <w:ind w:left="1360" w:right="319"/>
        <w:spacing w:after="0" w:line="236" w:lineRule="auto"/>
        <w:rPr>
          <w:sz w:val="20"/>
          <w:szCs w:val="20"/>
          <w:color w:val="auto"/>
        </w:rPr>
      </w:pPr>
      <w:r>
        <w:rPr>
          <w:rFonts w:ascii="Arial" w:cs="Arial" w:eastAsia="Arial" w:hAnsi="Arial"/>
          <w:sz w:val="14"/>
          <w:szCs w:val="14"/>
          <w:color w:val="auto"/>
        </w:rPr>
        <w:t>No prospectus or other offering material or document in connection with the offer and sale of the shares or pre-funded warrants has been or will be registered with the Securities Commission of Malaysia (“Commission”) for the Commission’s approval pursuant to the Capital Markets and Services Act 2007. Accordingly, this prospectus supplement and any other document or material in connection with the offer or sale, or invitation for subscription or purchase, of the shares or pre-funded warrants may not be circulated or distributed, nor may the shares or pre-funded warrants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or pre-funded warrants,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12 months; (vi) an individual who, jointly with his or her spouse, has a gross annual income of RM400,000 (or its equivalent in foreign currencies), per annum in the preceding 12 months; (vii) a corporation with total net assets exceeding RM10 million (or its equivalent in a foreign currencies) based on the last audited accounts;</w:t>
      </w:r>
    </w:p>
    <w:p>
      <w:pPr>
        <w:spacing w:after="0" w:line="4" w:lineRule="exact"/>
        <w:rPr>
          <w:sz w:val="20"/>
          <w:szCs w:val="20"/>
          <w:color w:val="auto"/>
        </w:rPr>
      </w:pPr>
    </w:p>
    <w:p>
      <w:pPr>
        <w:jc w:val="both"/>
        <w:ind w:left="1360" w:right="359" w:hanging="1"/>
        <w:spacing w:after="0" w:line="239" w:lineRule="auto"/>
        <w:tabs>
          <w:tab w:leader="none" w:pos="1655" w:val="left"/>
        </w:tabs>
        <w:numPr>
          <w:ilvl w:val="0"/>
          <w:numId w:val="21"/>
        </w:numPr>
        <w:rPr>
          <w:rFonts w:ascii="Arial" w:cs="Arial" w:eastAsia="Arial" w:hAnsi="Arial"/>
          <w:sz w:val="14"/>
          <w:szCs w:val="14"/>
          <w:color w:val="auto"/>
        </w:rPr>
      </w:pPr>
      <w:r>
        <w:rPr>
          <w:rFonts w:ascii="Arial" w:cs="Arial" w:eastAsia="Arial" w:hAnsi="Arial"/>
          <w:sz w:val="14"/>
          <w:szCs w:val="14"/>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or pre-funded warrants is made by a</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S-42</w:t>
      </w:r>
    </w:p>
    <w:p>
      <w:pPr>
        <w:sectPr>
          <w:pgSz w:w="11900" w:h="16838" w:orient="portrait"/>
          <w:cols w:equalWidth="0" w:num="1">
            <w:col w:w="10159"/>
          </w:cols>
          <w:pgMar w:left="300" w:top="385"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46" w:lineRule="auto"/>
        <w:rPr>
          <w:sz w:val="20"/>
          <w:szCs w:val="20"/>
          <w:color w:val="auto"/>
        </w:rPr>
      </w:pPr>
      <w:r>
        <w:rPr>
          <w:rFonts w:ascii="Arial" w:cs="Arial" w:eastAsia="Arial" w:hAnsi="Arial"/>
          <w:sz w:val="14"/>
          <w:szCs w:val="14"/>
          <w:color w:val="auto"/>
        </w:rPr>
        <w:t>holder of a Capital Markets Services License who carries on the business of dealing in securities.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84"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Thailand</w:t>
      </w:r>
    </w:p>
    <w:p>
      <w:pPr>
        <w:spacing w:after="0" w:line="115" w:lineRule="exact"/>
        <w:rPr>
          <w:sz w:val="20"/>
          <w:szCs w:val="20"/>
          <w:color w:val="auto"/>
        </w:rPr>
      </w:pPr>
    </w:p>
    <w:p>
      <w:pPr>
        <w:ind w:left="1360" w:right="239"/>
        <w:spacing w:after="0" w:line="238" w:lineRule="auto"/>
        <w:rPr>
          <w:sz w:val="20"/>
          <w:szCs w:val="20"/>
          <w:color w:val="auto"/>
        </w:rPr>
      </w:pPr>
      <w:r>
        <w:rPr>
          <w:rFonts w:ascii="Arial" w:cs="Arial" w:eastAsia="Arial" w:hAnsi="Arial"/>
          <w:sz w:val="14"/>
          <w:szCs w:val="14"/>
          <w:color w:val="auto"/>
        </w:rPr>
        <w:t>This material is intended to be read by the addressee who is a qualified investor under the private placement exemption pursuant to the Notification of the Securities and Exchange Commission No. KorChor. 18/2551 re: Exemption from Filing of the Registration Statement for the Offer for Sale of Securities (the “Private Placement Exemption”) only and must not be passed to, issued to, or shown to any person generally. This is not intended to be an offer, sale or invitation for subscription or purchase of shares or pre-funded warrants to the public by the Offeror. Neither the offering of the shares or pre-funded warrants nor the shares or pre-funded warrants have been, or will be, approved by or registered with the Office of the Securities and Exchange Commission of Thailand. The shares or pre-funded warrants may not be offered, sold or delivered in Thailand unless pursuant to the Private Placement Exemption. This material or any document relating to the offering of the shares or pre-funded warrants, as well as information contained therein, may not be circulated or distributed, whether directly or indirectly, to any other person or to the public or any member of the public in Thailand, nor may they be used in connection with any offer for subscription or sale of the shares or pre-funded warrants to the public in Thailand, unless permitted otherwise by applicable laws and regulations.</w:t>
      </w:r>
    </w:p>
    <w:p>
      <w:pPr>
        <w:spacing w:after="0" w:line="82" w:lineRule="exact"/>
        <w:rPr>
          <w:sz w:val="20"/>
          <w:szCs w:val="20"/>
          <w:color w:val="auto"/>
        </w:rPr>
      </w:pPr>
    </w:p>
    <w:p>
      <w:pPr>
        <w:ind w:left="1360" w:right="659"/>
        <w:spacing w:after="0" w:line="270" w:lineRule="auto"/>
        <w:rPr>
          <w:sz w:val="20"/>
          <w:szCs w:val="20"/>
          <w:color w:val="auto"/>
        </w:rPr>
      </w:pPr>
      <w:r>
        <w:rPr>
          <w:rFonts w:ascii="Arial" w:cs="Arial" w:eastAsia="Arial" w:hAnsi="Arial"/>
          <w:sz w:val="14"/>
          <w:szCs w:val="14"/>
          <w:color w:val="auto"/>
        </w:rPr>
        <w:t>Please study product characteristics, conditions with respect to investment yields and associated risks before making an investment decision.</w:t>
      </w:r>
    </w:p>
    <w:p>
      <w:pPr>
        <w:spacing w:after="0" w:line="178"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Taiwan</w:t>
      </w:r>
    </w:p>
    <w:p>
      <w:pPr>
        <w:spacing w:after="0" w:line="105" w:lineRule="exact"/>
        <w:rPr>
          <w:sz w:val="20"/>
          <w:szCs w:val="20"/>
          <w:color w:val="auto"/>
        </w:rPr>
      </w:pPr>
    </w:p>
    <w:p>
      <w:pPr>
        <w:ind w:left="1360" w:right="339"/>
        <w:spacing w:after="0" w:line="243" w:lineRule="auto"/>
        <w:rPr>
          <w:sz w:val="20"/>
          <w:szCs w:val="20"/>
          <w:color w:val="auto"/>
        </w:rPr>
      </w:pPr>
      <w:r>
        <w:rPr>
          <w:rFonts w:ascii="Arial" w:cs="Arial" w:eastAsia="Arial" w:hAnsi="Arial"/>
          <w:sz w:val="14"/>
          <w:szCs w:val="14"/>
          <w:color w:val="auto"/>
        </w:rPr>
        <w:t>The shares or pre-funded warrants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or pre-funded warrants in Taiwan.</w:t>
      </w:r>
    </w:p>
    <w:p>
      <w:pPr>
        <w:spacing w:after="0" w:line="187"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Saudi Arabia</w:t>
      </w:r>
    </w:p>
    <w:p>
      <w:pPr>
        <w:spacing w:after="0" w:line="115" w:lineRule="exact"/>
        <w:rPr>
          <w:sz w:val="20"/>
          <w:szCs w:val="20"/>
          <w:color w:val="auto"/>
        </w:rPr>
      </w:pPr>
    </w:p>
    <w:p>
      <w:pPr>
        <w:ind w:left="1360" w:right="259"/>
        <w:spacing w:after="0"/>
        <w:rPr>
          <w:sz w:val="20"/>
          <w:szCs w:val="20"/>
          <w:color w:val="auto"/>
        </w:rPr>
      </w:pPr>
      <w:r>
        <w:rPr>
          <w:rFonts w:ascii="Arial" w:cs="Arial" w:eastAsia="Arial" w:hAnsi="Arial"/>
          <w:sz w:val="14"/>
          <w:szCs w:val="14"/>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90"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Qatar</w:t>
      </w:r>
    </w:p>
    <w:p>
      <w:pPr>
        <w:spacing w:after="0" w:line="115" w:lineRule="exact"/>
        <w:rPr>
          <w:sz w:val="20"/>
          <w:szCs w:val="20"/>
          <w:color w:val="auto"/>
        </w:rPr>
      </w:pPr>
    </w:p>
    <w:p>
      <w:pPr>
        <w:ind w:left="1360" w:right="399"/>
        <w:spacing w:after="0" w:line="270" w:lineRule="auto"/>
        <w:rPr>
          <w:sz w:val="20"/>
          <w:szCs w:val="20"/>
          <w:color w:val="auto"/>
        </w:rPr>
      </w:pPr>
      <w:r>
        <w:rPr>
          <w:rFonts w:ascii="Arial" w:cs="Arial" w:eastAsia="Arial" w:hAnsi="Arial"/>
          <w:sz w:val="14"/>
          <w:szCs w:val="14"/>
          <w:color w:val="auto"/>
        </w:rPr>
        <w:t>The shares or pre-funded warrants described in this prospectus supplement have not been, and will not be, offered, sold or delivered, at any time, directly or indirectly in the State of Qatar in a manner that would</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S-43</w:t>
      </w:r>
    </w:p>
    <w:p>
      <w:pPr>
        <w:sectPr>
          <w:pgSz w:w="11900" w:h="16838" w:orient="portrait"/>
          <w:cols w:equalWidth="0" w:num="1">
            <w:col w:w="10159"/>
          </w:cols>
          <w:pgMar w:left="300" w:top="385"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46" w:lineRule="auto"/>
        <w:rPr>
          <w:sz w:val="20"/>
          <w:szCs w:val="20"/>
          <w:color w:val="auto"/>
        </w:rPr>
      </w:pPr>
      <w:r>
        <w:rPr>
          <w:rFonts w:ascii="Arial" w:cs="Arial" w:eastAsia="Arial" w:hAnsi="Arial"/>
          <w:sz w:val="14"/>
          <w:szCs w:val="14"/>
          <w:color w:val="auto"/>
        </w:rPr>
        <w:t>constitute a public offering. This prospectus supplement has not been, and will not be, registered with or approved by the Qatar Financial Markets Authority or Qatar Central Bank and may not be publicly distributed. This prospectus supplement is intended for the original recipient only and must not be provided to any other person. It is not for general circulation in the State of Qatar and may not be reproduced or used for any other purpose.</w:t>
      </w:r>
    </w:p>
    <w:p>
      <w:pPr>
        <w:spacing w:after="0" w:line="184"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the Abu Dhabi Global Market</w:t>
      </w:r>
    </w:p>
    <w:p>
      <w:pPr>
        <w:spacing w:after="0" w:line="115" w:lineRule="exact"/>
        <w:rPr>
          <w:sz w:val="20"/>
          <w:szCs w:val="20"/>
          <w:color w:val="auto"/>
        </w:rPr>
      </w:pPr>
    </w:p>
    <w:p>
      <w:pPr>
        <w:ind w:left="1360" w:right="239"/>
        <w:spacing w:after="0" w:line="243" w:lineRule="auto"/>
        <w:rPr>
          <w:sz w:val="20"/>
          <w:szCs w:val="20"/>
          <w:color w:val="auto"/>
        </w:rPr>
      </w:pPr>
      <w:r>
        <w:rPr>
          <w:rFonts w:ascii="Arial" w:cs="Arial" w:eastAsia="Arial" w:hAnsi="Arial"/>
          <w:sz w:val="14"/>
          <w:szCs w:val="14"/>
          <w:color w:val="auto"/>
        </w:rPr>
        <w:t>The Abu Dhabi Global Market (ADGM), including the Financial Services Regulatory Authority and the Registration Authority does not accept any responsibility for the content of the information included in this prospectus supplement, including the accuracy or completeness of such information. The liability for the content of this prospectus supplement lies with the issuer of this prospectus supplement and other persons, such as experts, whose opinions are included in this prospectus supplement with their consent. The ADGM has also not assessed the suitability of the securities to which this prospectus supplement relates to any particular investor or type of investor.</w:t>
      </w:r>
    </w:p>
    <w:p>
      <w:pPr>
        <w:spacing w:after="0" w:line="78" w:lineRule="exact"/>
        <w:rPr>
          <w:sz w:val="20"/>
          <w:szCs w:val="20"/>
          <w:color w:val="auto"/>
        </w:rPr>
      </w:pPr>
    </w:p>
    <w:p>
      <w:pPr>
        <w:ind w:left="1360" w:right="719"/>
        <w:spacing w:after="0" w:line="270" w:lineRule="auto"/>
        <w:rPr>
          <w:sz w:val="20"/>
          <w:szCs w:val="20"/>
          <w:color w:val="auto"/>
        </w:rPr>
      </w:pPr>
      <w:r>
        <w:rPr>
          <w:rFonts w:ascii="Arial" w:cs="Arial" w:eastAsia="Arial" w:hAnsi="Arial"/>
          <w:sz w:val="14"/>
          <w:szCs w:val="14"/>
          <w:color w:val="auto"/>
        </w:rPr>
        <w:t>The securities to which this prospectus supplement relates may be illiquid and/or subject to restrictions on their resale. Prospective purchasers of the securities offered should conduct their own due diligence on the securities.</w:t>
      </w:r>
    </w:p>
    <w:p>
      <w:pPr>
        <w:spacing w:after="0" w:line="68" w:lineRule="exact"/>
        <w:rPr>
          <w:sz w:val="20"/>
          <w:szCs w:val="20"/>
          <w:color w:val="auto"/>
        </w:rPr>
      </w:pPr>
    </w:p>
    <w:p>
      <w:pPr>
        <w:ind w:left="1360" w:right="459"/>
        <w:spacing w:after="0" w:line="252" w:lineRule="auto"/>
        <w:rPr>
          <w:sz w:val="20"/>
          <w:szCs w:val="20"/>
          <w:color w:val="auto"/>
        </w:rPr>
      </w:pPr>
      <w:r>
        <w:rPr>
          <w:rFonts w:ascii="Arial" w:cs="Arial" w:eastAsia="Arial" w:hAnsi="Arial"/>
          <w:sz w:val="14"/>
          <w:szCs w:val="14"/>
          <w:color w:val="auto"/>
        </w:rPr>
        <w:t>If you do not understand the contents of this prospectus supplement or are unsure whether the securities to which this prospectus supplement relates are suitable for your individual investment objectives and circumstances, you should consult an authorised financial adviser.</w:t>
      </w:r>
    </w:p>
    <w:p>
      <w:pPr>
        <w:spacing w:after="0" w:line="180"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the British Virgin Islands</w:t>
      </w:r>
    </w:p>
    <w:p>
      <w:pPr>
        <w:spacing w:after="0" w:line="115" w:lineRule="exact"/>
        <w:rPr>
          <w:sz w:val="20"/>
          <w:szCs w:val="20"/>
          <w:color w:val="auto"/>
        </w:rPr>
      </w:pPr>
    </w:p>
    <w:p>
      <w:pPr>
        <w:ind w:left="1360" w:right="399"/>
        <w:spacing w:after="0" w:line="246" w:lineRule="auto"/>
        <w:rPr>
          <w:sz w:val="20"/>
          <w:szCs w:val="20"/>
          <w:color w:val="auto"/>
        </w:rPr>
      </w:pPr>
      <w:r>
        <w:rPr>
          <w:rFonts w:ascii="Arial" w:cs="Arial" w:eastAsia="Arial" w:hAnsi="Arial"/>
          <w:sz w:val="14"/>
          <w:szCs w:val="14"/>
          <w:color w:val="auto"/>
        </w:rPr>
        <w:t>The shares or pre-funded warrants are not being, and may not be offered to the public or to any person in the British Virgin Islands for purchase or subscription by or on behalf of us. The shares or pre-funded warrants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84"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the Bahamas</w:t>
      </w:r>
    </w:p>
    <w:p>
      <w:pPr>
        <w:spacing w:after="0" w:line="115" w:lineRule="exact"/>
        <w:rPr>
          <w:sz w:val="20"/>
          <w:szCs w:val="20"/>
          <w:color w:val="auto"/>
        </w:rPr>
      </w:pPr>
    </w:p>
    <w:p>
      <w:pPr>
        <w:ind w:left="1360" w:right="239"/>
        <w:spacing w:after="0" w:line="252" w:lineRule="auto"/>
        <w:rPr>
          <w:sz w:val="20"/>
          <w:szCs w:val="20"/>
          <w:color w:val="auto"/>
        </w:rPr>
      </w:pPr>
      <w:r>
        <w:rPr>
          <w:rFonts w:ascii="Arial" w:cs="Arial" w:eastAsia="Arial" w:hAnsi="Arial"/>
          <w:sz w:val="14"/>
          <w:szCs w:val="14"/>
          <w:color w:val="auto"/>
        </w:rPr>
        <w:t>Shares or pre-funded warrants may not be offered or sold in The Bahamas via a public offer. Shares or pre-funded warrants may not be offered or sold or otherwise disposed of in any way to any person(s) deemed “resident” for exchange control purposes by the Central Bank of The Bahamas.</w:t>
      </w:r>
    </w:p>
    <w:p>
      <w:pPr>
        <w:spacing w:after="0" w:line="180"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South Africa</w:t>
      </w:r>
    </w:p>
    <w:p>
      <w:pPr>
        <w:spacing w:after="0" w:line="115" w:lineRule="exact"/>
        <w:rPr>
          <w:sz w:val="20"/>
          <w:szCs w:val="20"/>
          <w:color w:val="auto"/>
        </w:rPr>
      </w:pPr>
    </w:p>
    <w:p>
      <w:pPr>
        <w:ind w:left="1360" w:right="319"/>
        <w:spacing w:after="0" w:line="239" w:lineRule="auto"/>
        <w:rPr>
          <w:sz w:val="20"/>
          <w:szCs w:val="20"/>
          <w:color w:val="auto"/>
        </w:rPr>
      </w:pPr>
      <w:r>
        <w:rPr>
          <w:rFonts w:ascii="Arial" w:cs="Arial" w:eastAsia="Arial" w:hAnsi="Arial"/>
          <w:sz w:val="14"/>
          <w:szCs w:val="14"/>
          <w:color w:val="auto"/>
        </w:rPr>
        <w:t>Due to restrictions under the securities laws of South Africa, no “</w:t>
      </w:r>
      <w:r>
        <w:rPr>
          <w:rFonts w:ascii="Arial" w:cs="Arial" w:eastAsia="Arial" w:hAnsi="Arial"/>
          <w:sz w:val="14"/>
          <w:szCs w:val="14"/>
          <w:i w:val="1"/>
          <w:iCs w:val="1"/>
          <w:color w:val="auto"/>
        </w:rPr>
        <w:t>offer to the public</w:t>
      </w:r>
      <w:r>
        <w:rPr>
          <w:rFonts w:ascii="Arial" w:cs="Arial" w:eastAsia="Arial" w:hAnsi="Arial"/>
          <w:sz w:val="14"/>
          <w:szCs w:val="14"/>
          <w:color w:val="auto"/>
        </w:rPr>
        <w:t>” (as such term is defined in the South African Companies Act, No. 71 of 2008 (as amended or re-enacted) (the “South African Companies Act”) is being made in connection with the issue of the shares in South Africa. Accordingly, this document does not, nor is it intended to, constitute a “</w:t>
      </w:r>
      <w:r>
        <w:rPr>
          <w:rFonts w:ascii="Arial" w:cs="Arial" w:eastAsia="Arial" w:hAnsi="Arial"/>
          <w:sz w:val="14"/>
          <w:szCs w:val="14"/>
          <w:i w:val="1"/>
          <w:iCs w:val="1"/>
          <w:color w:val="auto"/>
        </w:rPr>
        <w:t>registered prospectus</w:t>
      </w:r>
      <w:r>
        <w:rPr>
          <w:rFonts w:ascii="Arial" w:cs="Arial" w:eastAsia="Arial" w:hAnsi="Arial"/>
          <w:sz w:val="14"/>
          <w:szCs w:val="14"/>
          <w:color w:val="auto"/>
        </w:rPr>
        <w:t>”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or pre-funded warrants are not offered, and the offer shall not be transferred, sold, renounced or delivered, in South Africa or to a person with an address in South Africa, unless one or other of the following exemptions stipulated in section 96 (1) applies:</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S-44</w:t>
      </w:r>
    </w:p>
    <w:p>
      <w:pPr>
        <w:sectPr>
          <w:pgSz w:w="11900" w:h="16838" w:orient="portrait"/>
          <w:cols w:equalWidth="0" w:num="1">
            <w:col w:w="10159"/>
          </w:cols>
          <w:pgMar w:left="300" w:top="385"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Section 96 (1) (a) the offer, transfer, sale, renunciation or delivery is to:</w:t>
      </w:r>
    </w:p>
    <w:p>
      <w:pPr>
        <w:spacing w:after="0" w:line="112" w:lineRule="exact"/>
        <w:rPr>
          <w:sz w:val="20"/>
          <w:szCs w:val="20"/>
          <w:color w:val="auto"/>
        </w:rPr>
      </w:pPr>
    </w:p>
    <w:p>
      <w:pPr>
        <w:ind w:left="2120" w:hanging="425"/>
        <w:spacing w:after="0"/>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persons whose ordinary business, or part of whose ordinary business, is to deal in securities, as principal or agent;</w:t>
      </w:r>
    </w:p>
    <w:p>
      <w:pPr>
        <w:spacing w:after="0" w:line="112" w:lineRule="exact"/>
        <w:rPr>
          <w:rFonts w:ascii="Arial" w:cs="Arial" w:eastAsia="Arial" w:hAnsi="Arial"/>
          <w:sz w:val="14"/>
          <w:szCs w:val="14"/>
          <w:color w:val="auto"/>
        </w:rPr>
      </w:pPr>
    </w:p>
    <w:p>
      <w:pPr>
        <w:ind w:left="2120" w:hanging="425"/>
        <w:spacing w:after="0"/>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South African Public Investment Corporation;</w:t>
      </w:r>
    </w:p>
    <w:p>
      <w:pPr>
        <w:spacing w:after="0" w:line="112" w:lineRule="exact"/>
        <w:rPr>
          <w:rFonts w:ascii="Arial" w:cs="Arial" w:eastAsia="Arial" w:hAnsi="Arial"/>
          <w:sz w:val="14"/>
          <w:szCs w:val="14"/>
          <w:color w:val="auto"/>
        </w:rPr>
      </w:pPr>
    </w:p>
    <w:p>
      <w:pPr>
        <w:ind w:left="2120" w:hanging="425"/>
        <w:spacing w:after="0"/>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persons or entities regulated by the Reserve Bank of South Africa;</w:t>
      </w:r>
    </w:p>
    <w:p>
      <w:pPr>
        <w:spacing w:after="0" w:line="112" w:lineRule="exact"/>
        <w:rPr>
          <w:rFonts w:ascii="Arial" w:cs="Arial" w:eastAsia="Arial" w:hAnsi="Arial"/>
          <w:sz w:val="14"/>
          <w:szCs w:val="14"/>
          <w:color w:val="auto"/>
        </w:rPr>
      </w:pPr>
    </w:p>
    <w:p>
      <w:pPr>
        <w:ind w:left="2120" w:hanging="425"/>
        <w:spacing w:after="0"/>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authorised financial service providers under South African law;</w:t>
      </w:r>
    </w:p>
    <w:p>
      <w:pPr>
        <w:spacing w:after="0" w:line="112" w:lineRule="exact"/>
        <w:rPr>
          <w:rFonts w:ascii="Arial" w:cs="Arial" w:eastAsia="Arial" w:hAnsi="Arial"/>
          <w:sz w:val="14"/>
          <w:szCs w:val="14"/>
          <w:color w:val="auto"/>
        </w:rPr>
      </w:pPr>
    </w:p>
    <w:p>
      <w:pPr>
        <w:ind w:left="2120" w:hanging="425"/>
        <w:spacing w:after="0"/>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financial institutions recognised as such under South African law;</w:t>
      </w:r>
    </w:p>
    <w:p>
      <w:pPr>
        <w:spacing w:after="0" w:line="112" w:lineRule="exact"/>
        <w:rPr>
          <w:rFonts w:ascii="Arial" w:cs="Arial" w:eastAsia="Arial" w:hAnsi="Arial"/>
          <w:sz w:val="14"/>
          <w:szCs w:val="14"/>
          <w:color w:val="auto"/>
        </w:rPr>
      </w:pPr>
    </w:p>
    <w:p>
      <w:pPr>
        <w:jc w:val="both"/>
        <w:ind w:left="2120" w:right="779" w:hanging="425"/>
        <w:spacing w:after="0" w:line="252" w:lineRule="auto"/>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81" w:lineRule="exact"/>
        <w:rPr>
          <w:rFonts w:ascii="Arial" w:cs="Arial" w:eastAsia="Arial" w:hAnsi="Arial"/>
          <w:sz w:val="14"/>
          <w:szCs w:val="14"/>
          <w:color w:val="auto"/>
        </w:rPr>
      </w:pPr>
    </w:p>
    <w:p>
      <w:pPr>
        <w:ind w:left="2120" w:hanging="425"/>
        <w:spacing w:after="0"/>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any combination of the person in (i) to (vi); or</w:t>
      </w:r>
    </w:p>
    <w:p>
      <w:pPr>
        <w:spacing w:after="0" w:line="102" w:lineRule="exact"/>
        <w:rPr>
          <w:sz w:val="20"/>
          <w:szCs w:val="20"/>
          <w:color w:val="auto"/>
        </w:rPr>
      </w:pPr>
    </w:p>
    <w:p>
      <w:pPr>
        <w:ind w:left="1360" w:right="319"/>
        <w:spacing w:after="0" w:line="252" w:lineRule="auto"/>
        <w:rPr>
          <w:sz w:val="20"/>
          <w:szCs w:val="20"/>
          <w:color w:val="auto"/>
        </w:rPr>
      </w:pPr>
      <w:r>
        <w:rPr>
          <w:rFonts w:ascii="Arial" w:cs="Arial" w:eastAsia="Arial" w:hAnsi="Arial"/>
          <w:sz w:val="14"/>
          <w:szCs w:val="14"/>
          <w:color w:val="auto"/>
        </w:rPr>
        <w:t>Section 96 (1) (b)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81" w:lineRule="exact"/>
        <w:rPr>
          <w:sz w:val="20"/>
          <w:szCs w:val="20"/>
          <w:color w:val="auto"/>
        </w:rPr>
      </w:pPr>
    </w:p>
    <w:p>
      <w:pPr>
        <w:ind w:left="1360" w:right="359"/>
        <w:spacing w:after="0" w:line="270" w:lineRule="auto"/>
        <w:rPr>
          <w:sz w:val="20"/>
          <w:szCs w:val="20"/>
          <w:color w:val="auto"/>
        </w:rPr>
      </w:pPr>
      <w:r>
        <w:rPr>
          <w:rFonts w:ascii="Arial" w:cs="Arial" w:eastAsia="Arial" w:hAnsi="Arial"/>
          <w:sz w:val="14"/>
          <w:szCs w:val="14"/>
          <w:color w:val="auto"/>
        </w:rPr>
        <w:t>Information made available in this prospectus supplement should not be considered as “advice” as defined in the South African Financial Advisory and Intermediary Services Act, 2002.</w:t>
      </w:r>
    </w:p>
    <w:p>
      <w:pPr>
        <w:spacing w:after="0" w:line="167"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Mexico</w:t>
      </w:r>
    </w:p>
    <w:p>
      <w:pPr>
        <w:spacing w:after="0" w:line="115" w:lineRule="exact"/>
        <w:rPr>
          <w:sz w:val="20"/>
          <w:szCs w:val="20"/>
          <w:color w:val="auto"/>
        </w:rPr>
      </w:pPr>
    </w:p>
    <w:p>
      <w:pPr>
        <w:ind w:left="1360" w:right="259"/>
        <w:spacing w:after="0" w:line="259" w:lineRule="auto"/>
        <w:rPr>
          <w:sz w:val="20"/>
          <w:szCs w:val="20"/>
          <w:color w:val="auto"/>
        </w:rPr>
      </w:pPr>
      <w:r>
        <w:rPr>
          <w:rFonts w:ascii="Arial" w:cs="Arial" w:eastAsia="Arial" w:hAnsi="Arial"/>
          <w:sz w:val="13"/>
          <w:szCs w:val="13"/>
          <w:color w:val="auto"/>
        </w:rPr>
        <w:t>The shares or pre-funded warrants have not been and will not be registered with the Mexican National Securities Registry (Registro Nacional de Valores or the “RNV”) maintained by the Mexican National Banking and Securities Commission (Comisión Nacional Bancaria y de Valores, or the “CNBV”), and therefore, may not be offered or sold publicly in Mexico or otherwise be subject to intermediation activities in Mexico, however, the shares or pre-funded warrants may only be offered and sold in Mexico on a private placement basis to investors that qualify as institutional or qualified investors pursuant to the private placement exemption set forth in Article 8 of the Mexican Securities Market Law (Ley del Mercado de Valores) and regulations thereunder. The information contained in this prospectus supplement is solely our responsibility and has not been reviewed or authorized by the CNBV and may not be publicly distributed in Mexico. In making an investment decision, all investors, including any Mexican investor, who may acquire shares or pre-funded warrants from time to time, must rely on their own examination of the Issuer and the terms of this offering and the notes, including the merits and risks involved.</w:t>
      </w:r>
    </w:p>
    <w:p>
      <w:pPr>
        <w:spacing w:after="0" w:line="180"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Chile</w:t>
      </w:r>
    </w:p>
    <w:p>
      <w:pPr>
        <w:spacing w:after="0" w:line="115" w:lineRule="exact"/>
        <w:rPr>
          <w:sz w:val="20"/>
          <w:szCs w:val="20"/>
          <w:color w:val="auto"/>
        </w:rPr>
      </w:pPr>
    </w:p>
    <w:p>
      <w:pPr>
        <w:ind w:left="1360" w:right="399"/>
        <w:spacing w:after="0" w:line="243" w:lineRule="auto"/>
        <w:rPr>
          <w:sz w:val="20"/>
          <w:szCs w:val="20"/>
          <w:color w:val="auto"/>
        </w:rPr>
      </w:pPr>
      <w:r>
        <w:rPr>
          <w:rFonts w:ascii="Arial" w:cs="Arial" w:eastAsia="Arial" w:hAnsi="Arial"/>
          <w:sz w:val="14"/>
          <w:szCs w:val="14"/>
          <w:color w:val="auto"/>
        </w:rPr>
        <w:t>THESE SHARES OR PRE-FUNDED WARRANTS ARE PRIVATELY OFFERED IN CHILE PURSUANT TO THE PROVISIONS OF LAW 18,045, THE SECURITIES MARKET LAW OF CHILE, AND NORMA DE CARÁCTER GENERAL 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S-45</w:t>
      </w:r>
    </w:p>
    <w:p>
      <w:pPr>
        <w:sectPr>
          <w:pgSz w:w="11900" w:h="16838" w:orient="portrait"/>
          <w:cols w:equalWidth="0" w:num="1">
            <w:col w:w="10159"/>
          </w:cols>
          <w:pgMar w:left="300" w:top="385"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70" w:lineRule="auto"/>
        <w:rPr>
          <w:sz w:val="20"/>
          <w:szCs w:val="20"/>
          <w:color w:val="auto"/>
        </w:rPr>
      </w:pPr>
      <w:r>
        <w:rPr>
          <w:rFonts w:ascii="Arial" w:cs="Arial" w:eastAsia="Arial" w:hAnsi="Arial"/>
          <w:sz w:val="14"/>
          <w:szCs w:val="14"/>
          <w:color w:val="auto"/>
        </w:rPr>
        <w:t>PURSUANT TO RULE 336 THE FOLLOWING INFORMATION IS PROVIDED IN CHILE TO PROSPECTIVE RESIDENT INVESTORS IN THE OFFERED SECURITIES:</w:t>
      </w:r>
    </w:p>
    <w:p>
      <w:pPr>
        <w:spacing w:after="0" w:line="68" w:lineRule="exact"/>
        <w:rPr>
          <w:sz w:val="20"/>
          <w:szCs w:val="20"/>
          <w:color w:val="auto"/>
        </w:rPr>
      </w:pPr>
    </w:p>
    <w:p>
      <w:pPr>
        <w:ind w:left="2120" w:hanging="425"/>
        <w:spacing w:after="0"/>
        <w:tabs>
          <w:tab w:leader="none" w:pos="2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INITIATION OF THE OFFER IN CHILE IS June 8, 2026.</w:t>
      </w:r>
    </w:p>
    <w:p>
      <w:pPr>
        <w:spacing w:after="0" w:line="112" w:lineRule="exact"/>
        <w:rPr>
          <w:rFonts w:ascii="Arial" w:cs="Arial" w:eastAsia="Arial" w:hAnsi="Arial"/>
          <w:sz w:val="14"/>
          <w:szCs w:val="14"/>
          <w:color w:val="auto"/>
        </w:rPr>
      </w:pPr>
    </w:p>
    <w:p>
      <w:pPr>
        <w:ind w:left="2120" w:right="699" w:hanging="425"/>
        <w:spacing w:after="0" w:line="270" w:lineRule="auto"/>
        <w:tabs>
          <w:tab w:leader="none" w:pos="2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OFFER IS SUBJECT TO NCG 336 OF JUNE 27, 2012 ISSUED BY THE SUPERINTENDENCIA DE VALORES Y SEGUROS DE CHILE (SUPERINTENDENCY OF SECURITIES AND INSURANCE OF CHILE).</w:t>
      </w:r>
    </w:p>
    <w:p>
      <w:pPr>
        <w:spacing w:after="0" w:line="68" w:lineRule="exact"/>
        <w:rPr>
          <w:rFonts w:ascii="Arial" w:cs="Arial" w:eastAsia="Arial" w:hAnsi="Arial"/>
          <w:sz w:val="14"/>
          <w:szCs w:val="14"/>
          <w:color w:val="auto"/>
        </w:rPr>
      </w:pPr>
    </w:p>
    <w:p>
      <w:pPr>
        <w:ind w:left="2120" w:right="339" w:hanging="425"/>
        <w:spacing w:after="0" w:line="252" w:lineRule="auto"/>
        <w:tabs>
          <w:tab w:leader="none" w:pos="2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OFFER REFERS TO SECURITIES THAT ARE NOT REGISTERED IN THE REGISTRO DE VALORES (SECURITIES REGISTRY) OR THE REGISTRO DE VALORES EXTRANJEROS (FOREIGN SECURITIES REGISTRY) OF THE SVS AND THEREFORE:</w:t>
      </w:r>
    </w:p>
    <w:p>
      <w:pPr>
        <w:spacing w:after="0" w:line="81" w:lineRule="exact"/>
        <w:rPr>
          <w:rFonts w:ascii="Arial" w:cs="Arial" w:eastAsia="Arial" w:hAnsi="Arial"/>
          <w:sz w:val="14"/>
          <w:szCs w:val="14"/>
          <w:color w:val="auto"/>
        </w:rPr>
      </w:pPr>
    </w:p>
    <w:p>
      <w:pPr>
        <w:ind w:left="2460" w:hanging="334"/>
        <w:spacing w:after="0"/>
        <w:tabs>
          <w:tab w:leader="none" w:pos="2460" w:val="left"/>
        </w:tabs>
        <w:numPr>
          <w:ilvl w:val="1"/>
          <w:numId w:val="23"/>
        </w:numPr>
        <w:rPr>
          <w:rFonts w:ascii="Arial" w:cs="Arial" w:eastAsia="Arial" w:hAnsi="Arial"/>
          <w:sz w:val="14"/>
          <w:szCs w:val="14"/>
          <w:color w:val="auto"/>
        </w:rPr>
      </w:pPr>
      <w:r>
        <w:rPr>
          <w:rFonts w:ascii="Arial" w:cs="Arial" w:eastAsia="Arial" w:hAnsi="Arial"/>
          <w:sz w:val="14"/>
          <w:szCs w:val="14"/>
          <w:color w:val="auto"/>
        </w:rPr>
        <w:t>THE SECURITIES ARE NOT SUBJECT TO THE OVERSIGHT OF THE SVS; AND</w:t>
      </w:r>
    </w:p>
    <w:p>
      <w:pPr>
        <w:spacing w:after="0" w:line="112" w:lineRule="exact"/>
        <w:rPr>
          <w:rFonts w:ascii="Arial" w:cs="Arial" w:eastAsia="Arial" w:hAnsi="Arial"/>
          <w:sz w:val="14"/>
          <w:szCs w:val="14"/>
          <w:color w:val="auto"/>
        </w:rPr>
      </w:pPr>
    </w:p>
    <w:p>
      <w:pPr>
        <w:ind w:left="2460" w:right="579" w:hanging="334"/>
        <w:spacing w:after="0" w:line="270" w:lineRule="auto"/>
        <w:tabs>
          <w:tab w:leader="none" w:pos="2460" w:val="left"/>
        </w:tabs>
        <w:numPr>
          <w:ilvl w:val="1"/>
          <w:numId w:val="23"/>
        </w:numPr>
        <w:rPr>
          <w:rFonts w:ascii="Arial" w:cs="Arial" w:eastAsia="Arial" w:hAnsi="Arial"/>
          <w:sz w:val="14"/>
          <w:szCs w:val="14"/>
          <w:color w:val="auto"/>
        </w:rPr>
      </w:pPr>
      <w:r>
        <w:rPr>
          <w:rFonts w:ascii="Arial" w:cs="Arial" w:eastAsia="Arial" w:hAnsi="Arial"/>
          <w:sz w:val="14"/>
          <w:szCs w:val="14"/>
          <w:color w:val="auto"/>
        </w:rPr>
        <w:t>THE ISSUER THEREOF IS NOT SUBJECT TO REPORTING OBLIGATION WITH RESPECT TO ITSELF OR THE OFFERED SECURITIES.</w:t>
      </w:r>
    </w:p>
    <w:p>
      <w:pPr>
        <w:spacing w:after="0" w:line="68" w:lineRule="exact"/>
        <w:rPr>
          <w:rFonts w:ascii="Arial" w:cs="Arial" w:eastAsia="Arial" w:hAnsi="Arial"/>
          <w:sz w:val="14"/>
          <w:szCs w:val="14"/>
          <w:color w:val="auto"/>
        </w:rPr>
      </w:pPr>
    </w:p>
    <w:p>
      <w:pPr>
        <w:ind w:left="2120" w:right="379" w:hanging="425"/>
        <w:spacing w:after="0" w:line="270" w:lineRule="auto"/>
        <w:tabs>
          <w:tab w:leader="none" w:pos="2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SECURITIES MAY NOT BE PUBLICLY OFFERED IN CHILE UNLESS AND UNTIL THEY ARE REGISTERED IN THE SECURITIES REGISTRY OF THE SVS.</w:t>
      </w:r>
    </w:p>
    <w:p>
      <w:pPr>
        <w:spacing w:after="0" w:line="17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INFORMACIÓN A LOS INVERSIONISTAS RESIDENTES EN CHILE</w:t>
      </w:r>
    </w:p>
    <w:p>
      <w:pPr>
        <w:spacing w:after="0" w:line="112" w:lineRule="exact"/>
        <w:rPr>
          <w:sz w:val="20"/>
          <w:szCs w:val="20"/>
          <w:color w:val="auto"/>
        </w:rPr>
      </w:pPr>
    </w:p>
    <w:p>
      <w:pPr>
        <w:ind w:left="1360" w:right="359"/>
        <w:spacing w:after="0" w:line="243" w:lineRule="auto"/>
        <w:rPr>
          <w:sz w:val="20"/>
          <w:szCs w:val="20"/>
          <w:color w:val="auto"/>
        </w:rPr>
      </w:pPr>
      <w:r>
        <w:rPr>
          <w:rFonts w:ascii="Arial" w:cs="Arial" w:eastAsia="Arial" w:hAnsi="Arial"/>
          <w:sz w:val="14"/>
          <w:szCs w:val="14"/>
          <w:color w:val="auto"/>
        </w:rPr>
        <w:t>LOS VALORES OBJETO DE ESTA OFERTA SE OFRECEN PRIVADAMENTE EN CHILE DE CONFORMIDAD CON LAS DISPOSICIONES DE LA LEY N° 18.045 DE MERCADO DE VALORES, Y LA NORMA DE CARÁCTER GENERAL N° 336 DE 27 DE JUNIO DE 2012 (“NCG 336”) EMITIDA POR LA SUPERINTENDENCIA DE VALORES Y SEGUROS DE CHILE, A LOS “INVERSIONISTAS CALIFICADOS” QUE ENUMERA LA NCG 336 Y QUE SE DEFINEN EN LA NORMA DE CARÁCTER GENERAL N° 216 DE 12 DE JUNIO DE 2008 EMITIDA POR LA MISMA SUPERINTENDENCIA.</w:t>
      </w:r>
    </w:p>
    <w:p>
      <w:pPr>
        <w:spacing w:after="0" w:line="78" w:lineRule="exact"/>
        <w:rPr>
          <w:sz w:val="20"/>
          <w:szCs w:val="20"/>
          <w:color w:val="auto"/>
        </w:rPr>
      </w:pPr>
    </w:p>
    <w:p>
      <w:pPr>
        <w:ind w:left="1360" w:right="359"/>
        <w:spacing w:after="0" w:line="270" w:lineRule="auto"/>
        <w:rPr>
          <w:sz w:val="20"/>
          <w:szCs w:val="20"/>
          <w:color w:val="auto"/>
        </w:rPr>
      </w:pPr>
      <w:r>
        <w:rPr>
          <w:rFonts w:ascii="Arial" w:cs="Arial" w:eastAsia="Arial" w:hAnsi="Arial"/>
          <w:sz w:val="14"/>
          <w:szCs w:val="14"/>
          <w:color w:val="auto"/>
        </w:rPr>
        <w:t>EN CUMPLIMIENTO DE LA NCG 336, LA SIGUIENTE INFORMACIÓN SE PROPORCIONA A LOS POTENCIALES INVERSIONISTAS RESIDENTES EN CHILE:</w:t>
      </w:r>
    </w:p>
    <w:p>
      <w:pPr>
        <w:spacing w:after="0" w:line="68" w:lineRule="exact"/>
        <w:rPr>
          <w:sz w:val="20"/>
          <w:szCs w:val="20"/>
          <w:color w:val="auto"/>
        </w:rPr>
      </w:pPr>
    </w:p>
    <w:p>
      <w:pPr>
        <w:ind w:left="2120" w:hanging="425"/>
        <w:spacing w:after="0"/>
        <w:tabs>
          <w:tab w:leader="none" w:pos="21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LA OFERTA DE ESTOS VALORES EN CHILE COMIENZA EL DÍA 8 DE Junio DE 2026.</w:t>
      </w:r>
    </w:p>
    <w:p>
      <w:pPr>
        <w:spacing w:after="0" w:line="112" w:lineRule="exact"/>
        <w:rPr>
          <w:rFonts w:ascii="Arial" w:cs="Arial" w:eastAsia="Arial" w:hAnsi="Arial"/>
          <w:sz w:val="14"/>
          <w:szCs w:val="14"/>
          <w:color w:val="auto"/>
        </w:rPr>
      </w:pPr>
    </w:p>
    <w:p>
      <w:pPr>
        <w:ind w:left="2120" w:right="699" w:hanging="425"/>
        <w:spacing w:after="0" w:line="270" w:lineRule="auto"/>
        <w:tabs>
          <w:tab w:leader="none" w:pos="21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LA OFERTA SE ENCUENTRA ACOGIDA A LA NCG 336 DE FECHA ECHA 27 DE JUNIO DE 2012 EMITIDA POR LA SUPERINTENDENCIA DE VALORES Y SEGUROS.</w:t>
      </w:r>
    </w:p>
    <w:p>
      <w:pPr>
        <w:spacing w:after="0" w:line="68" w:lineRule="exact"/>
        <w:rPr>
          <w:rFonts w:ascii="Arial" w:cs="Arial" w:eastAsia="Arial" w:hAnsi="Arial"/>
          <w:sz w:val="14"/>
          <w:szCs w:val="14"/>
          <w:color w:val="auto"/>
        </w:rPr>
      </w:pPr>
    </w:p>
    <w:p>
      <w:pPr>
        <w:ind w:left="2120" w:right="379" w:hanging="425"/>
        <w:spacing w:after="0" w:line="252" w:lineRule="auto"/>
        <w:tabs>
          <w:tab w:leader="none" w:pos="21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LA OFERTA VERSA SOBRE VALORES QUE NO SE ENCUENTRAN INSCRITOS EN EL REGISTRO DE VALORES NI EN EL REGISTRO DE VALORES EXTRANJEROS QUE LLEVA LA SUPERINTENDENCIA DE VALORES Y SEGUROS, POR LO QUE:</w:t>
      </w:r>
    </w:p>
    <w:p>
      <w:pPr>
        <w:spacing w:after="0" w:line="81" w:lineRule="exact"/>
        <w:rPr>
          <w:rFonts w:ascii="Arial" w:cs="Arial" w:eastAsia="Arial" w:hAnsi="Arial"/>
          <w:sz w:val="14"/>
          <w:szCs w:val="14"/>
          <w:color w:val="auto"/>
        </w:rPr>
      </w:pPr>
    </w:p>
    <w:p>
      <w:pPr>
        <w:ind w:left="2460" w:hanging="334"/>
        <w:spacing w:after="0"/>
        <w:tabs>
          <w:tab w:leader="none" w:pos="2460" w:val="left"/>
        </w:tabs>
        <w:numPr>
          <w:ilvl w:val="1"/>
          <w:numId w:val="24"/>
        </w:numPr>
        <w:rPr>
          <w:rFonts w:ascii="Arial" w:cs="Arial" w:eastAsia="Arial" w:hAnsi="Arial"/>
          <w:sz w:val="14"/>
          <w:szCs w:val="14"/>
          <w:color w:val="auto"/>
        </w:rPr>
      </w:pPr>
      <w:r>
        <w:rPr>
          <w:rFonts w:ascii="Arial" w:cs="Arial" w:eastAsia="Arial" w:hAnsi="Arial"/>
          <w:sz w:val="14"/>
          <w:szCs w:val="14"/>
          <w:color w:val="auto"/>
        </w:rPr>
        <w:t>LOS VALORES NO ESTÁN SUJETOS A LA FISCALIZACIÓN DE ESA SUPERINTENDENCIA; Y</w:t>
      </w:r>
    </w:p>
    <w:p>
      <w:pPr>
        <w:spacing w:after="0" w:line="112" w:lineRule="exact"/>
        <w:rPr>
          <w:rFonts w:ascii="Arial" w:cs="Arial" w:eastAsia="Arial" w:hAnsi="Arial"/>
          <w:sz w:val="14"/>
          <w:szCs w:val="14"/>
          <w:color w:val="auto"/>
        </w:rPr>
      </w:pPr>
    </w:p>
    <w:p>
      <w:pPr>
        <w:ind w:left="2460" w:right="479" w:hanging="334"/>
        <w:spacing w:after="0" w:line="270" w:lineRule="auto"/>
        <w:tabs>
          <w:tab w:leader="none" w:pos="2460" w:val="left"/>
        </w:tabs>
        <w:numPr>
          <w:ilvl w:val="1"/>
          <w:numId w:val="24"/>
        </w:numPr>
        <w:rPr>
          <w:rFonts w:ascii="Arial" w:cs="Arial" w:eastAsia="Arial" w:hAnsi="Arial"/>
          <w:sz w:val="14"/>
          <w:szCs w:val="14"/>
          <w:color w:val="auto"/>
        </w:rPr>
      </w:pPr>
      <w:r>
        <w:rPr>
          <w:rFonts w:ascii="Arial" w:cs="Arial" w:eastAsia="Arial" w:hAnsi="Arial"/>
          <w:sz w:val="14"/>
          <w:szCs w:val="14"/>
          <w:color w:val="auto"/>
        </w:rPr>
        <w:t>EL EMISOR DE LOS VALORES NO ESTÁ SUJETO A LA OBLIGACIÓN DE ENTREGAR INFORMACIÓN PÚBLICA SOBRE LOS VALORES OFRECIDOS NI SU EMISOR.</w:t>
      </w:r>
    </w:p>
    <w:p>
      <w:pPr>
        <w:spacing w:after="0" w:line="68" w:lineRule="exact"/>
        <w:rPr>
          <w:rFonts w:ascii="Arial" w:cs="Arial" w:eastAsia="Arial" w:hAnsi="Arial"/>
          <w:sz w:val="14"/>
          <w:szCs w:val="14"/>
          <w:color w:val="auto"/>
        </w:rPr>
      </w:pPr>
    </w:p>
    <w:p>
      <w:pPr>
        <w:ind w:left="2120" w:right="339" w:hanging="425"/>
        <w:spacing w:after="0" w:line="270" w:lineRule="auto"/>
        <w:tabs>
          <w:tab w:leader="none" w:pos="21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LOS VALORES PRIVADAMENTE OFRECIDOS NO PODRÁN SER OBJETO DE OFERTA PÚBLICA EN CHILE MIENTRAS NO SEAN INSCRITOS EN EL REGISTRO DE VALORES CORRESPONDIENTE.</w:t>
      </w:r>
    </w:p>
    <w:p>
      <w:pPr>
        <w:spacing w:after="0" w:line="178"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Colombia</w:t>
      </w:r>
    </w:p>
    <w:p>
      <w:pPr>
        <w:spacing w:after="0" w:line="105" w:lineRule="exact"/>
        <w:rPr>
          <w:sz w:val="20"/>
          <w:szCs w:val="20"/>
          <w:color w:val="auto"/>
        </w:rPr>
      </w:pPr>
    </w:p>
    <w:p>
      <w:pPr>
        <w:ind w:left="1360" w:right="279"/>
        <w:spacing w:after="0" w:line="252" w:lineRule="auto"/>
        <w:rPr>
          <w:sz w:val="20"/>
          <w:szCs w:val="20"/>
          <w:color w:val="auto"/>
        </w:rPr>
      </w:pPr>
      <w:r>
        <w:rPr>
          <w:rFonts w:ascii="Arial" w:cs="Arial" w:eastAsia="Arial" w:hAnsi="Arial"/>
          <w:sz w:val="14"/>
          <w:szCs w:val="14"/>
          <w:color w:val="auto"/>
        </w:rPr>
        <w:t>The shares or pre-funded warrants may not be offered, sold or negotiated in Colombia, except under circumstances which do not constitute a public offering of securities under applicable Colombian securities laws and regulations. Furthermore, foreign financial entities must abide by the terms of Decree 2555 of 2010 to offer privately the shares to their Colombian clients.</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S-46</w:t>
      </w:r>
    </w:p>
    <w:p>
      <w:pPr>
        <w:sectPr>
          <w:pgSz w:w="11900" w:h="16838" w:orient="portrait"/>
          <w:cols w:equalWidth="0" w:num="1">
            <w:col w:w="10159"/>
          </w:cols>
          <w:pgMar w:left="300" w:top="385"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4"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Brazil</w:t>
      </w:r>
    </w:p>
    <w:p>
      <w:pPr>
        <w:spacing w:after="0" w:line="105" w:lineRule="exact"/>
        <w:rPr>
          <w:sz w:val="20"/>
          <w:szCs w:val="20"/>
          <w:color w:val="auto"/>
        </w:rPr>
      </w:pPr>
    </w:p>
    <w:p>
      <w:pPr>
        <w:ind w:left="1360" w:right="279"/>
        <w:spacing w:after="0"/>
        <w:rPr>
          <w:sz w:val="20"/>
          <w:szCs w:val="20"/>
          <w:color w:val="auto"/>
        </w:rPr>
      </w:pPr>
      <w:r>
        <w:rPr>
          <w:rFonts w:ascii="Arial" w:cs="Arial" w:eastAsia="Arial" w:hAnsi="Arial"/>
          <w:sz w:val="14"/>
          <w:szCs w:val="14"/>
          <w:color w:val="auto"/>
        </w:rPr>
        <w:t>The offer and sale of the shares or pre-funded warrants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unauthorized distribution under Brazilian laws and regulations. The shares or pre-funded warrants will be authorized for trading on organized non-Brazilian securities markets and may only be offered to Brazilian Professional Investors (as defined by applicable CVM regulation), who may only acquire the shares or pre-funded warrants through a non-Brazilian account, with settlement outside Brazil in non-Brazilian currency. The trading of these shares or pre-funded warrants on regulated securities markets in Brazil is prohibited.</w:t>
      </w:r>
    </w:p>
    <w:p>
      <w:pPr>
        <w:spacing w:after="0" w:line="201"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Notice to prospective investors in Peru</w:t>
      </w:r>
    </w:p>
    <w:p>
      <w:pPr>
        <w:spacing w:after="0" w:line="105" w:lineRule="exact"/>
        <w:rPr>
          <w:sz w:val="20"/>
          <w:szCs w:val="20"/>
          <w:color w:val="auto"/>
        </w:rPr>
      </w:pPr>
    </w:p>
    <w:p>
      <w:pPr>
        <w:ind w:left="1360" w:right="259"/>
        <w:spacing w:after="0" w:line="238" w:lineRule="auto"/>
        <w:rPr>
          <w:sz w:val="20"/>
          <w:szCs w:val="20"/>
          <w:color w:val="auto"/>
        </w:rPr>
      </w:pPr>
      <w:r>
        <w:rPr>
          <w:rFonts w:ascii="Arial" w:cs="Arial" w:eastAsia="Arial" w:hAnsi="Arial"/>
          <w:sz w:val="14"/>
          <w:szCs w:val="14"/>
          <w:color w:val="auto"/>
        </w:rPr>
        <w:t>The shares or pre-funded warrants and the information contained in this prospectus supplement are not being publicly marketed or offered in Peru and will not be distributed or caused to be distributed to the general public in Peru. Peruvian securities laws and regulations on public offerings will not be applicable to the offering of the shares or pre-funded warrants and therefore, the disclosure obligations set forth therein will not be applicable to the Company or the sellers of the shares before or after their acquisition by prospective investors. The shares or pre-funded warrants and the information contained in this prospectus supplement have not been and will not be reviewed, confirmed, approved or in any way submitted to the Superintendencia del Mercado de Valores (Peruvian capital market regulator) (the “SMV”) nor have they been registered with the SMV’s Securities Market Public Registry (Registro Público del Mercado de Valores). Accordingly, the shares or pre-funded warrants cannot be offered or sold within Peruvian territory except to the extent any such offering or sale qualifies as a private offering under Peruvian law and regulations and complies with the provisions on private offerings set forth therein.</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S-47</w:t>
      </w:r>
    </w:p>
    <w:p>
      <w:pPr>
        <w:sectPr>
          <w:pgSz w:w="11900" w:h="16838" w:orient="portrait"/>
          <w:cols w:equalWidth="0" w:num="1">
            <w:col w:w="10159"/>
          </w:cols>
          <w:pgMar w:left="300" w:top="385"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0"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Legal matters</w:t>
      </w:r>
    </w:p>
    <w:p>
      <w:pPr>
        <w:spacing w:after="0" w:line="125" w:lineRule="exact"/>
        <w:rPr>
          <w:sz w:val="20"/>
          <w:szCs w:val="20"/>
          <w:color w:val="auto"/>
        </w:rPr>
      </w:pPr>
    </w:p>
    <w:p>
      <w:pPr>
        <w:ind w:left="1360" w:right="359"/>
        <w:spacing w:after="0" w:line="270" w:lineRule="auto"/>
        <w:rPr>
          <w:sz w:val="20"/>
          <w:szCs w:val="20"/>
          <w:color w:val="auto"/>
        </w:rPr>
      </w:pPr>
      <w:r>
        <w:rPr>
          <w:rFonts w:ascii="Arial" w:cs="Arial" w:eastAsia="Arial" w:hAnsi="Arial"/>
          <w:sz w:val="14"/>
          <w:szCs w:val="14"/>
          <w:color w:val="auto"/>
        </w:rPr>
        <w:t>Certain legal matters in connection with this offering will be passed upon for us by Goodwin Procter LLP, Boston, Massachusetts. Cooley LLP, New York, New York is acting as counsel to the underwriters in connection with this offering.</w:t>
      </w:r>
    </w:p>
    <w:p>
      <w:pPr>
        <w:spacing w:after="0" w:line="173"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Experts</w:t>
      </w:r>
    </w:p>
    <w:p>
      <w:pPr>
        <w:spacing w:after="0" w:line="125" w:lineRule="exact"/>
        <w:rPr>
          <w:sz w:val="20"/>
          <w:szCs w:val="20"/>
          <w:color w:val="auto"/>
        </w:rPr>
      </w:pPr>
    </w:p>
    <w:p>
      <w:pPr>
        <w:ind w:left="1360" w:right="359"/>
        <w:spacing w:after="0" w:line="252" w:lineRule="auto"/>
        <w:rPr>
          <w:sz w:val="20"/>
          <w:szCs w:val="20"/>
          <w:color w:val="auto"/>
        </w:rPr>
      </w:pPr>
      <w:r>
        <w:rPr>
          <w:rFonts w:ascii="Arial" w:cs="Arial" w:eastAsia="Arial" w:hAnsi="Arial"/>
          <w:sz w:val="14"/>
          <w:szCs w:val="14"/>
          <w:color w:val="auto"/>
        </w:rPr>
        <w:t>The financial statements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186"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Where you can find more information</w:t>
      </w:r>
    </w:p>
    <w:p>
      <w:pPr>
        <w:spacing w:after="0" w:line="125" w:lineRule="exact"/>
        <w:rPr>
          <w:sz w:val="20"/>
          <w:szCs w:val="20"/>
          <w:color w:val="auto"/>
        </w:rPr>
      </w:pPr>
    </w:p>
    <w:p>
      <w:pPr>
        <w:ind w:left="1360" w:right="459"/>
        <w:spacing w:after="0" w:line="270" w:lineRule="auto"/>
        <w:rPr>
          <w:sz w:val="20"/>
          <w:szCs w:val="20"/>
          <w:color w:val="auto"/>
        </w:rPr>
      </w:pPr>
      <w:r>
        <w:rPr>
          <w:rFonts w:ascii="Arial" w:cs="Arial" w:eastAsia="Arial" w:hAnsi="Arial"/>
          <w:sz w:val="14"/>
          <w:szCs w:val="14"/>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4"/>
          <w:szCs w:val="14"/>
          <w:i w:val="1"/>
          <w:iCs w:val="1"/>
          <w:color w:val="auto"/>
        </w:rPr>
        <w:t>www.sec.gov</w:t>
      </w:r>
      <w:r>
        <w:rPr>
          <w:rFonts w:ascii="Arial" w:cs="Arial" w:eastAsia="Arial" w:hAnsi="Arial"/>
          <w:sz w:val="14"/>
          <w:szCs w:val="14"/>
          <w:color w:val="auto"/>
        </w:rPr>
        <w:t>.</w:t>
      </w:r>
    </w:p>
    <w:p>
      <w:pPr>
        <w:spacing w:after="0" w:line="68" w:lineRule="exact"/>
        <w:rPr>
          <w:sz w:val="20"/>
          <w:szCs w:val="20"/>
          <w:color w:val="auto"/>
        </w:rPr>
      </w:pPr>
    </w:p>
    <w:p>
      <w:pPr>
        <w:ind w:left="1360" w:right="459"/>
        <w:spacing w:after="0" w:line="270" w:lineRule="auto"/>
        <w:rPr>
          <w:sz w:val="20"/>
          <w:szCs w:val="20"/>
          <w:color w:val="auto"/>
        </w:rPr>
      </w:pPr>
      <w:r>
        <w:rPr>
          <w:rFonts w:ascii="Arial" w:cs="Arial" w:eastAsia="Arial" w:hAnsi="Arial"/>
          <w:sz w:val="14"/>
          <w:szCs w:val="14"/>
          <w:color w:val="auto"/>
        </w:rPr>
        <w:t xml:space="preserve">Our website address is </w:t>
      </w:r>
      <w:r>
        <w:rPr>
          <w:rFonts w:ascii="Arial" w:cs="Arial" w:eastAsia="Arial" w:hAnsi="Arial"/>
          <w:sz w:val="14"/>
          <w:szCs w:val="14"/>
          <w:i w:val="1"/>
          <w:iCs w:val="1"/>
          <w:color w:val="auto"/>
        </w:rPr>
        <w:t>https://tangotx.com</w:t>
      </w:r>
      <w:r>
        <w:rPr>
          <w:rFonts w:ascii="Arial" w:cs="Arial" w:eastAsia="Arial" w:hAnsi="Arial"/>
          <w:sz w:val="14"/>
          <w:szCs w:val="14"/>
          <w:color w:val="auto"/>
        </w:rPr>
        <w:t>. The information on our website, however, is not, and should not be deemed to be, a part of this prospectus supplement or the accompanying prospectus.</w:t>
      </w:r>
    </w:p>
    <w:p>
      <w:pPr>
        <w:spacing w:after="0" w:line="58" w:lineRule="exact"/>
        <w:rPr>
          <w:sz w:val="20"/>
          <w:szCs w:val="20"/>
          <w:color w:val="auto"/>
        </w:rPr>
      </w:pPr>
    </w:p>
    <w:p>
      <w:pPr>
        <w:ind w:left="1360" w:right="279"/>
        <w:spacing w:after="0" w:line="241" w:lineRule="auto"/>
        <w:rPr>
          <w:sz w:val="20"/>
          <w:szCs w:val="20"/>
          <w:color w:val="auto"/>
        </w:rPr>
      </w:pPr>
      <w:r>
        <w:rPr>
          <w:rFonts w:ascii="Arial" w:cs="Arial" w:eastAsia="Arial" w:hAnsi="Arial"/>
          <w:sz w:val="14"/>
          <w:szCs w:val="14"/>
          <w:color w:val="auto"/>
        </w:rPr>
        <w:t>This prospectus supplement and the accompanying prospectus is part of an automatic registration statement on Form S-3 that we filed with the SEC and does not contain all of the information in the registration statement. The full registration statement may be obtained from the SEC or us, as provided above. Statements in this prospectus supplement and the accompanying prospectus about any documents filed as exhibits to the registration statement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9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S-48</w:t>
      </w:r>
    </w:p>
    <w:p>
      <w:pPr>
        <w:sectPr>
          <w:pgSz w:w="11900" w:h="16838" w:orient="portrait"/>
          <w:cols w:equalWidth="0" w:num="1">
            <w:col w:w="10159"/>
          </w:cols>
          <w:pgMar w:left="300" w:top="385"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0"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Incorporation by reference</w:t>
      </w:r>
    </w:p>
    <w:p>
      <w:pPr>
        <w:spacing w:after="0" w:line="125" w:lineRule="exact"/>
        <w:rPr>
          <w:sz w:val="20"/>
          <w:szCs w:val="20"/>
          <w:color w:val="auto"/>
        </w:rPr>
      </w:pPr>
    </w:p>
    <w:p>
      <w:pPr>
        <w:ind w:left="1360" w:right="339"/>
        <w:spacing w:after="0"/>
        <w:rPr>
          <w:sz w:val="20"/>
          <w:szCs w:val="20"/>
          <w:color w:val="auto"/>
        </w:rPr>
      </w:pPr>
      <w:r>
        <w:rPr>
          <w:rFonts w:ascii="Arial" w:cs="Arial" w:eastAsia="Arial" w:hAnsi="Arial"/>
          <w:sz w:val="14"/>
          <w:szCs w:val="14"/>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supplement,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this prospectus supplement, except as to any portion of any future report or document that is not deemed filed under such provisions until we sell all of the securities:</w:t>
      </w:r>
    </w:p>
    <w:p>
      <w:pPr>
        <w:spacing w:after="0" w:line="91" w:lineRule="exact"/>
        <w:rPr>
          <w:sz w:val="20"/>
          <w:szCs w:val="20"/>
          <w:color w:val="auto"/>
        </w:rPr>
      </w:pPr>
    </w:p>
    <w:p>
      <w:pPr>
        <w:ind w:left="1520" w:hanging="161"/>
        <w:spacing w:after="0"/>
        <w:tabs>
          <w:tab w:leader="none" w:pos="1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Annual Report on </w:t>
      </w:r>
      <w:hyperlink r:id="rId69">
        <w:r>
          <w:rPr>
            <w:rFonts w:ascii="Arial" w:cs="Arial" w:eastAsia="Arial" w:hAnsi="Arial"/>
            <w:sz w:val="14"/>
            <w:szCs w:val="14"/>
            <w:u w:val="single" w:color="auto"/>
            <w:color w:val="0000EE"/>
          </w:rPr>
          <w:t>Form 10-K</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for the year ended December 31, 2025, filed with the SEC on March 5, 2026;</w:t>
      </w:r>
    </w:p>
    <w:p>
      <w:pPr>
        <w:spacing w:after="0" w:line="112" w:lineRule="exact"/>
        <w:rPr>
          <w:rFonts w:ascii="Arial" w:cs="Arial" w:eastAsia="Arial" w:hAnsi="Arial"/>
          <w:sz w:val="14"/>
          <w:szCs w:val="14"/>
          <w:color w:val="auto"/>
        </w:rPr>
      </w:pPr>
    </w:p>
    <w:p>
      <w:pPr>
        <w:ind w:left="1520" w:right="399" w:hanging="161"/>
        <w:spacing w:after="0" w:line="252" w:lineRule="auto"/>
        <w:tabs>
          <w:tab w:leader="none" w:pos="1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The information specifically incorporated by reference into our Annual Report on </w:t>
      </w:r>
      <w:hyperlink r:id="rId69">
        <w:r>
          <w:rPr>
            <w:rFonts w:ascii="Arial" w:cs="Arial" w:eastAsia="Arial" w:hAnsi="Arial"/>
            <w:sz w:val="14"/>
            <w:szCs w:val="14"/>
            <w:u w:val="single" w:color="auto"/>
            <w:color w:val="0000EE"/>
          </w:rPr>
          <w:t>Form 10-K</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for the year ended December 31, 2025 from our definitive proxy statement on </w:t>
      </w:r>
      <w:hyperlink r:id="rId70">
        <w:r>
          <w:rPr>
            <w:rFonts w:ascii="Arial" w:cs="Arial" w:eastAsia="Arial" w:hAnsi="Arial"/>
            <w:sz w:val="14"/>
            <w:szCs w:val="14"/>
            <w:u w:val="single" w:color="auto"/>
            <w:color w:val="0000EE"/>
          </w:rPr>
          <w:t>Schedule 14A</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(other than information furnished rather than filed), which was filed with the SEC on April 17, 2026;</w:t>
      </w:r>
    </w:p>
    <w:p>
      <w:pPr>
        <w:spacing w:after="0" w:line="81" w:lineRule="exact"/>
        <w:rPr>
          <w:rFonts w:ascii="Arial" w:cs="Arial" w:eastAsia="Arial" w:hAnsi="Arial"/>
          <w:sz w:val="14"/>
          <w:szCs w:val="14"/>
          <w:color w:val="auto"/>
        </w:rPr>
      </w:pPr>
    </w:p>
    <w:p>
      <w:pPr>
        <w:ind w:left="1520" w:hanging="161"/>
        <w:spacing w:after="0"/>
        <w:tabs>
          <w:tab w:leader="none" w:pos="1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Quarterly Report on </w:t>
      </w:r>
      <w:hyperlink r:id="rId71">
        <w:r>
          <w:rPr>
            <w:rFonts w:ascii="Arial" w:cs="Arial" w:eastAsia="Arial" w:hAnsi="Arial"/>
            <w:sz w:val="14"/>
            <w:szCs w:val="14"/>
            <w:u w:val="single" w:color="auto"/>
            <w:color w:val="0000EE"/>
          </w:rPr>
          <w:t>Form 10-Q</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filed with the SEC for the quarter ended March 31, 2026 filed with the SEC on May 13, 2026;</w:t>
      </w:r>
    </w:p>
    <w:p>
      <w:pPr>
        <w:spacing w:after="0" w:line="112" w:lineRule="exact"/>
        <w:rPr>
          <w:rFonts w:ascii="Arial" w:cs="Arial" w:eastAsia="Arial" w:hAnsi="Arial"/>
          <w:sz w:val="14"/>
          <w:szCs w:val="14"/>
          <w:color w:val="auto"/>
        </w:rPr>
      </w:pPr>
    </w:p>
    <w:p>
      <w:pPr>
        <w:ind w:left="1520" w:right="439" w:hanging="161"/>
        <w:spacing w:after="0" w:line="270" w:lineRule="auto"/>
        <w:tabs>
          <w:tab w:leader="none" w:pos="1520" w:val="left"/>
        </w:tabs>
        <w:numPr>
          <w:ilvl w:val="0"/>
          <w:numId w:val="25"/>
        </w:numPr>
        <w:rPr>
          <w:rFonts w:ascii="Arial" w:cs="Arial" w:eastAsia="Arial" w:hAnsi="Arial"/>
          <w:sz w:val="14"/>
          <w:szCs w:val="14"/>
          <w:color w:val="0000EE"/>
        </w:rPr>
      </w:pPr>
      <w:r>
        <w:rPr>
          <w:rFonts w:ascii="Arial" w:cs="Arial" w:eastAsia="Arial" w:hAnsi="Arial"/>
          <w:sz w:val="14"/>
          <w:szCs w:val="14"/>
          <w:color w:val="auto"/>
        </w:rPr>
        <w:t xml:space="preserve">Current Reports on Form 8-K filed with the SEC on </w:t>
      </w:r>
      <w:hyperlink r:id="rId72">
        <w:r>
          <w:rPr>
            <w:rFonts w:ascii="Arial" w:cs="Arial" w:eastAsia="Arial" w:hAnsi="Arial"/>
            <w:sz w:val="14"/>
            <w:szCs w:val="14"/>
            <w:u w:val="single" w:color="auto"/>
            <w:color w:val="0000EE"/>
          </w:rPr>
          <w:t>January 5, 2026</w:t>
        </w:r>
      </w:hyperlink>
      <w:r>
        <w:rPr>
          <w:rFonts w:ascii="Arial" w:cs="Arial" w:eastAsia="Arial" w:hAnsi="Arial"/>
          <w:sz w:val="14"/>
          <w:szCs w:val="14"/>
          <w:color w:val="auto"/>
        </w:rPr>
        <w:t xml:space="preserve">, </w:t>
      </w:r>
      <w:hyperlink r:id="rId73">
        <w:r>
          <w:rPr>
            <w:rFonts w:ascii="Arial" w:cs="Arial" w:eastAsia="Arial" w:hAnsi="Arial"/>
            <w:sz w:val="14"/>
            <w:szCs w:val="14"/>
            <w:u w:val="single" w:color="auto"/>
            <w:color w:val="0000EE"/>
          </w:rPr>
          <w:t>January 8, 2026</w:t>
        </w:r>
      </w:hyperlink>
      <w:r>
        <w:rPr>
          <w:rFonts w:ascii="Arial" w:cs="Arial" w:eastAsia="Arial" w:hAnsi="Arial"/>
          <w:sz w:val="14"/>
          <w:szCs w:val="14"/>
          <w:color w:val="auto"/>
        </w:rPr>
        <w:t xml:space="preserve">, </w:t>
      </w:r>
      <w:hyperlink r:id="rId74">
        <w:r>
          <w:rPr>
            <w:rFonts w:ascii="Arial" w:cs="Arial" w:eastAsia="Arial" w:hAnsi="Arial"/>
            <w:sz w:val="14"/>
            <w:szCs w:val="14"/>
            <w:u w:val="single" w:color="auto"/>
            <w:color w:val="0000EE"/>
          </w:rPr>
          <w:t>April 15, 2026</w:t>
        </w:r>
      </w:hyperlink>
      <w:r>
        <w:rPr>
          <w:rFonts w:ascii="Arial" w:cs="Arial" w:eastAsia="Arial" w:hAnsi="Arial"/>
          <w:sz w:val="14"/>
          <w:szCs w:val="14"/>
          <w:color w:val="auto"/>
        </w:rPr>
        <w:t xml:space="preserve">, </w:t>
      </w:r>
      <w:hyperlink r:id="rId75">
        <w:r>
          <w:rPr>
            <w:rFonts w:ascii="Arial" w:cs="Arial" w:eastAsia="Arial" w:hAnsi="Arial"/>
            <w:sz w:val="14"/>
            <w:szCs w:val="14"/>
            <w:u w:val="single" w:color="auto"/>
            <w:color w:val="0000EE"/>
          </w:rPr>
          <w:t>May 8, 2026</w:t>
        </w:r>
      </w:hyperlink>
      <w:r>
        <w:rPr>
          <w:rFonts w:ascii="Arial" w:cs="Arial" w:eastAsia="Arial" w:hAnsi="Arial"/>
          <w:sz w:val="14"/>
          <w:szCs w:val="14"/>
          <w:color w:val="auto"/>
        </w:rPr>
        <w:t xml:space="preserve">, </w:t>
      </w:r>
      <w:hyperlink r:id="rId76">
        <w:r>
          <w:rPr>
            <w:rFonts w:ascii="Arial" w:cs="Arial" w:eastAsia="Arial" w:hAnsi="Arial"/>
            <w:sz w:val="14"/>
            <w:szCs w:val="14"/>
            <w:u w:val="single" w:color="auto"/>
            <w:color w:val="0000EE"/>
          </w:rPr>
          <w:t>May 13, 2026</w:t>
        </w:r>
      </w:hyperlink>
      <w:r>
        <w:rPr>
          <w:rFonts w:ascii="Arial" w:cs="Arial" w:eastAsia="Arial" w:hAnsi="Arial"/>
          <w:sz w:val="14"/>
          <w:szCs w:val="14"/>
          <w:color w:val="auto"/>
        </w:rPr>
        <w:t xml:space="preserve">, </w:t>
      </w:r>
      <w:hyperlink r:id="rId77">
        <w:r>
          <w:rPr>
            <w:rFonts w:ascii="Arial" w:cs="Arial" w:eastAsia="Arial" w:hAnsi="Arial"/>
            <w:sz w:val="14"/>
            <w:szCs w:val="14"/>
            <w:u w:val="single" w:color="auto"/>
            <w:color w:val="0000EE"/>
          </w:rPr>
          <w:t>June 4, 2026</w:t>
        </w:r>
        <w:r>
          <w:rPr>
            <w:rFonts w:ascii="Arial" w:cs="Arial" w:eastAsia="Arial" w:hAnsi="Arial"/>
            <w:sz w:val="14"/>
            <w:szCs w:val="14"/>
            <w:color w:val="0000EE"/>
          </w:rPr>
          <w:t xml:space="preserve"> </w:t>
        </w:r>
      </w:hyperlink>
      <w:r>
        <w:rPr>
          <w:rFonts w:ascii="Arial" w:cs="Arial" w:eastAsia="Arial" w:hAnsi="Arial"/>
          <w:sz w:val="14"/>
          <w:szCs w:val="14"/>
          <w:color w:val="000000"/>
        </w:rPr>
        <w:t>and</w:t>
      </w:r>
      <w:r>
        <w:rPr>
          <w:rFonts w:ascii="Arial" w:cs="Arial" w:eastAsia="Arial" w:hAnsi="Arial"/>
          <w:sz w:val="14"/>
          <w:szCs w:val="14"/>
          <w:color w:val="0000EE"/>
        </w:rPr>
        <w:t xml:space="preserve"> </w:t>
      </w:r>
      <w:hyperlink r:id="rId78">
        <w:r>
          <w:rPr>
            <w:rFonts w:ascii="Arial" w:cs="Arial" w:eastAsia="Arial" w:hAnsi="Arial"/>
            <w:sz w:val="14"/>
            <w:szCs w:val="14"/>
            <w:u w:val="single" w:color="auto"/>
            <w:color w:val="0000EE"/>
          </w:rPr>
          <w:t>June 8, 2026</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4"/>
          <w:szCs w:val="14"/>
          <w:color w:val="000000"/>
        </w:rPr>
        <w:t>excluding information “furnished” pursuant to Items 2.02, 7.01 or 9.01; and</w:t>
      </w:r>
    </w:p>
    <w:p>
      <w:pPr>
        <w:spacing w:after="0" w:line="68" w:lineRule="exact"/>
        <w:rPr>
          <w:rFonts w:ascii="Arial" w:cs="Arial" w:eastAsia="Arial" w:hAnsi="Arial"/>
          <w:sz w:val="14"/>
          <w:szCs w:val="14"/>
          <w:color w:val="0000EE"/>
        </w:rPr>
      </w:pPr>
    </w:p>
    <w:p>
      <w:pPr>
        <w:ind w:left="1520" w:right="299" w:hanging="161"/>
        <w:spacing w:after="0" w:line="252" w:lineRule="auto"/>
        <w:tabs>
          <w:tab w:leader="none" w:pos="1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The description of our common stock contained in our Registration Statement on </w:t>
      </w:r>
      <w:hyperlink r:id="rId79">
        <w:r>
          <w:rPr>
            <w:rFonts w:ascii="Arial" w:cs="Arial" w:eastAsia="Arial" w:hAnsi="Arial"/>
            <w:sz w:val="14"/>
            <w:szCs w:val="14"/>
            <w:u w:val="single" w:color="auto"/>
            <w:color w:val="0000EE"/>
          </w:rPr>
          <w:t>Form 8-A</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as filed with the SEC on September 2, 2020, including any amendments or reports filed for the purpose of updating this description, including </w:t>
      </w:r>
      <w:hyperlink r:id="rId80">
        <w:r>
          <w:rPr>
            <w:rFonts w:ascii="Arial" w:cs="Arial" w:eastAsia="Arial" w:hAnsi="Arial"/>
            <w:sz w:val="14"/>
            <w:szCs w:val="14"/>
            <w:u w:val="single" w:color="auto"/>
            <w:color w:val="0000EE"/>
          </w:rPr>
          <w:t>Exhibit 4.2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to our Annual Report on Form 10-K for the year ended December 31, 2025, as filed with the SEC on March 5, 2026.</w:t>
      </w:r>
    </w:p>
    <w:p>
      <w:pPr>
        <w:spacing w:after="0" w:line="81" w:lineRule="exact"/>
        <w:rPr>
          <w:rFonts w:ascii="Arial" w:cs="Arial" w:eastAsia="Arial" w:hAnsi="Arial"/>
          <w:sz w:val="14"/>
          <w:szCs w:val="14"/>
          <w:color w:val="auto"/>
        </w:rPr>
      </w:pPr>
    </w:p>
    <w:p>
      <w:pPr>
        <w:ind w:left="1360" w:right="259"/>
        <w:spacing w:after="0" w:line="239" w:lineRule="auto"/>
        <w:rPr>
          <w:sz w:val="20"/>
          <w:szCs w:val="20"/>
          <w:color w:val="auto"/>
        </w:rPr>
      </w:pPr>
      <w:r>
        <w:rPr>
          <w:rFonts w:ascii="Arial" w:cs="Arial" w:eastAsia="Arial" w:hAnsi="Arial"/>
          <w:sz w:val="14"/>
          <w:szCs w:val="14"/>
          <w:color w:val="auto"/>
        </w:rPr>
        <w:t xml:space="preserve">Upon request, we will provide, without charge, to each person, including any beneficial owner, to whom a copy of this prospectus supplement is delivered, a copy of the documents incorporated by reference into this prospectus supplement but not delivered with the prospectus supplement. You may request a copy of these filings, and any exhibits we have specifically incorporated by reference as an exhibit in this prospectus supplement, at no cost by writing or telephoning us at the following address: Tango Therapeutics, Inc., 201 Brookline Avenue, Suite 901, Boston, Massachusetts 02215, telephone: (857) 320-4900. You may also access these documents, free of charge on the SEC’s website at </w:t>
      </w:r>
      <w:r>
        <w:rPr>
          <w:rFonts w:ascii="Arial" w:cs="Arial" w:eastAsia="Arial" w:hAnsi="Arial"/>
          <w:sz w:val="14"/>
          <w:szCs w:val="14"/>
          <w:i w:val="1"/>
          <w:iCs w:val="1"/>
          <w:color w:val="auto"/>
        </w:rPr>
        <w:t>www.sec.gov</w:t>
      </w:r>
      <w:r>
        <w:rPr>
          <w:rFonts w:ascii="Arial" w:cs="Arial" w:eastAsia="Arial" w:hAnsi="Arial"/>
          <w:sz w:val="14"/>
          <w:szCs w:val="14"/>
          <w:color w:val="auto"/>
        </w:rPr>
        <w:t xml:space="preserve"> or on our website at </w:t>
      </w:r>
      <w:r>
        <w:rPr>
          <w:rFonts w:ascii="Arial" w:cs="Arial" w:eastAsia="Arial" w:hAnsi="Arial"/>
          <w:sz w:val="14"/>
          <w:szCs w:val="14"/>
          <w:i w:val="1"/>
          <w:iCs w:val="1"/>
          <w:color w:val="auto"/>
        </w:rPr>
        <w:t>https://tangotx.com</w:t>
      </w:r>
      <w:r>
        <w:rPr>
          <w:rFonts w:ascii="Arial" w:cs="Arial" w:eastAsia="Arial" w:hAnsi="Arial"/>
          <w:sz w:val="14"/>
          <w:szCs w:val="14"/>
          <w:color w:val="auto"/>
        </w:rPr>
        <w:t>. Information contained on our website is not incorporated by reference into this prospectus supplement, and you should not consider any information on, or that can be accessed from, our website as part of this prospectus supplement or the accompanying prospectus.</w:t>
      </w:r>
    </w:p>
    <w:p>
      <w:pPr>
        <w:spacing w:after="0" w:line="93" w:lineRule="exact"/>
        <w:rPr>
          <w:rFonts w:ascii="Arial" w:cs="Arial" w:eastAsia="Arial" w:hAnsi="Arial"/>
          <w:sz w:val="14"/>
          <w:szCs w:val="14"/>
          <w:color w:val="auto"/>
        </w:rPr>
      </w:pPr>
    </w:p>
    <w:p>
      <w:pPr>
        <w:jc w:val="both"/>
        <w:ind w:left="1360" w:right="259"/>
        <w:spacing w:after="0" w:line="252" w:lineRule="auto"/>
        <w:rPr>
          <w:sz w:val="20"/>
          <w:szCs w:val="20"/>
          <w:color w:val="auto"/>
        </w:rPr>
      </w:pPr>
      <w:r>
        <w:rPr>
          <w:rFonts w:ascii="Arial" w:cs="Arial" w:eastAsia="Arial" w:hAnsi="Arial"/>
          <w:sz w:val="14"/>
          <w:szCs w:val="14"/>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registration statement of which this prospectus supplement is a part.</w:t>
      </w:r>
    </w:p>
    <w:p>
      <w:pPr>
        <w:spacing w:after="0" w:line="71" w:lineRule="exact"/>
        <w:rPr>
          <w:rFonts w:ascii="Arial" w:cs="Arial" w:eastAsia="Arial" w:hAnsi="Arial"/>
          <w:sz w:val="14"/>
          <w:szCs w:val="14"/>
          <w:color w:val="auto"/>
        </w:rPr>
      </w:pPr>
    </w:p>
    <w:p>
      <w:pPr>
        <w:ind w:left="1360" w:right="519"/>
        <w:spacing w:after="0" w:line="309" w:lineRule="auto"/>
        <w:rPr>
          <w:sz w:val="20"/>
          <w:szCs w:val="20"/>
          <w:color w:val="auto"/>
        </w:rPr>
      </w:pPr>
      <w:r>
        <w:rPr>
          <w:rFonts w:ascii="Arial" w:cs="Arial" w:eastAsia="Arial" w:hAnsi="Arial"/>
          <w:sz w:val="13"/>
          <w:szCs w:val="13"/>
          <w:color w:val="auto"/>
        </w:rPr>
        <w:t>This prospectus supplement and the accompanying prospectus are part of a registration statement we filed with the SEC. We have incorporated exhibits into the registration statement. You should read the exhibits carefully for provisions that may be important to you.</w:t>
      </w:r>
    </w:p>
    <w:p>
      <w:pPr>
        <w:spacing w:after="0" w:line="46" w:lineRule="exact"/>
        <w:rPr>
          <w:rFonts w:ascii="Arial" w:cs="Arial" w:eastAsia="Arial" w:hAnsi="Arial"/>
          <w:sz w:val="14"/>
          <w:szCs w:val="14"/>
          <w:color w:val="auto"/>
        </w:rPr>
      </w:pPr>
    </w:p>
    <w:p>
      <w:pPr>
        <w:ind w:left="1360" w:right="679"/>
        <w:spacing w:after="0" w:line="270" w:lineRule="auto"/>
        <w:rPr>
          <w:sz w:val="20"/>
          <w:szCs w:val="20"/>
          <w:color w:val="auto"/>
        </w:rPr>
      </w:pPr>
      <w:r>
        <w:rPr>
          <w:rFonts w:ascii="Arial" w:cs="Arial" w:eastAsia="Arial" w:hAnsi="Arial"/>
          <w:sz w:val="14"/>
          <w:szCs w:val="14"/>
          <w:color w:val="auto"/>
        </w:rPr>
        <w:t>You should rely only on the information incorporated by reference or provided in this prospectus supplement and the accompanying prospectus. We have not authorized anyone to provide you with different information.</w:t>
      </w:r>
    </w:p>
    <w:p>
      <w:pPr>
        <w:spacing w:after="0" w:line="68" w:lineRule="exact"/>
        <w:rPr>
          <w:rFonts w:ascii="Arial" w:cs="Arial" w:eastAsia="Arial" w:hAnsi="Arial"/>
          <w:sz w:val="14"/>
          <w:szCs w:val="14"/>
          <w:color w:val="auto"/>
        </w:rPr>
      </w:pPr>
    </w:p>
    <w:p>
      <w:pPr>
        <w:ind w:left="5500"/>
        <w:spacing w:after="0"/>
        <w:rPr>
          <w:sz w:val="20"/>
          <w:szCs w:val="20"/>
          <w:color w:val="auto"/>
        </w:rPr>
      </w:pPr>
      <w:r>
        <w:rPr>
          <w:rFonts w:ascii="Arial" w:cs="Arial" w:eastAsia="Arial" w:hAnsi="Arial"/>
          <w:sz w:val="14"/>
          <w:szCs w:val="14"/>
          <w:color w:val="auto"/>
        </w:rPr>
        <w:t>S-49</w:t>
      </w:r>
    </w:p>
    <w:p>
      <w:pPr>
        <w:sectPr>
          <w:pgSz w:w="11900" w:h="16838" w:orient="portrait"/>
          <w:cols w:equalWidth="0" w:num="1">
            <w:col w:w="10159"/>
          </w:cols>
          <w:pgMar w:left="300" w:top="385"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59"/>
        <w:spacing w:after="0" w:line="252" w:lineRule="auto"/>
        <w:rPr>
          <w:sz w:val="20"/>
          <w:szCs w:val="20"/>
          <w:color w:val="auto"/>
        </w:rPr>
      </w:pPr>
      <w:r>
        <w:rPr>
          <w:rFonts w:ascii="Arial" w:cs="Arial" w:eastAsia="Arial" w:hAnsi="Arial"/>
          <w:sz w:val="14"/>
          <w:szCs w:val="14"/>
          <w:color w:val="auto"/>
        </w:rPr>
        <w:t>We are not making an offer of these securities in any state where the offer is not permitted. You should not assume that the information in this prospectus supplement, the accompanying prospectus or in the documents incorporated by reference is accurate as of any date other than the date on the front of this prospectus supplement or those documents.</w:t>
      </w:r>
    </w:p>
    <w:p>
      <w:pPr>
        <w:spacing w:after="0" w:line="71" w:lineRule="exact"/>
        <w:rPr>
          <w:sz w:val="20"/>
          <w:szCs w:val="20"/>
          <w:color w:val="auto"/>
        </w:rPr>
      </w:pPr>
    </w:p>
    <w:p>
      <w:pPr>
        <w:ind w:left="1360" w:right="239"/>
        <w:spacing w:after="0"/>
        <w:rPr>
          <w:sz w:val="20"/>
          <w:szCs w:val="20"/>
          <w:color w:val="auto"/>
        </w:rPr>
      </w:pPr>
      <w:r>
        <w:rPr>
          <w:rFonts w:ascii="Arial" w:cs="Arial" w:eastAsia="Arial" w:hAnsi="Arial"/>
          <w:sz w:val="14"/>
          <w:szCs w:val="14"/>
          <w:color w:val="auto"/>
        </w:rPr>
        <w:t>Any statement contained in a document that is incorporated by reference will be modified or superseded for all purposes to the extent that a statement contained in this prospectus supplement or in any other document that is subsequently filed with the SEC and incorporated by reference into this prospectus supplement and the accompanying prospectus, modifies or is contrary to that previous statement. Any statement so modified or superseded will not be deemed a part of this prospectus supplement and the accompanying prospectus,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supplement or in any documents previously incorporated by reference have been modified or superseded.</w:t>
      </w:r>
    </w:p>
    <w:p>
      <w:pPr>
        <w:spacing w:after="0" w:line="9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S-50</w:t>
      </w:r>
    </w:p>
    <w:p>
      <w:pPr>
        <w:sectPr>
          <w:pgSz w:w="11900" w:h="16838" w:orient="portrait"/>
          <w:cols w:equalWidth="0" w:num="1">
            <w:col w:w="10159"/>
          </w:cols>
          <w:pgMar w:left="300" w:top="385"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2703830</wp:posOffset>
            </wp:positionH>
            <wp:positionV relativeFrom="paragraph">
              <wp:posOffset>135255</wp:posOffset>
            </wp:positionV>
            <wp:extent cx="1760855" cy="527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1760855" cy="527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4"/>
          <w:szCs w:val="34"/>
          <w:b w:val="1"/>
          <w:bCs w:val="1"/>
          <w:color w:val="auto"/>
        </w:rPr>
        <w:t>Tango Therapeutics, Inc.</w:t>
      </w:r>
    </w:p>
    <w:p>
      <w:pPr>
        <w:spacing w:after="0" w:line="1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150" w:lineRule="exact"/>
        <w:rPr>
          <w:sz w:val="20"/>
          <w:szCs w:val="20"/>
          <w:color w:val="auto"/>
        </w:rPr>
      </w:pPr>
    </w:p>
    <w:p>
      <w:pPr>
        <w:ind w:left="1360" w:right="399"/>
        <w:spacing w:after="0" w:line="266" w:lineRule="auto"/>
        <w:rPr>
          <w:sz w:val="20"/>
          <w:szCs w:val="20"/>
          <w:color w:val="auto"/>
        </w:rPr>
      </w:pPr>
      <w:r>
        <w:rPr>
          <w:rFonts w:ascii="Times New Roman" w:cs="Times New Roman" w:eastAsia="Times New Roman" w:hAnsi="Times New Roman"/>
          <w:sz w:val="14"/>
          <w:szCs w:val="14"/>
          <w:color w:val="auto"/>
        </w:rPr>
        <w:t>We may offer and sell, from time to time issue, in one or more series or classes, shares of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to this prospectus and any related free writing prospectus.</w:t>
      </w:r>
    </w:p>
    <w:p>
      <w:pPr>
        <w:spacing w:after="0" w:line="137"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We may offer these securities separately or together in units. Each time we sell securities described herein, we will provide prospective investors with a supplement to this prospectus that will specify the terms of the securities being offered. See “Plan of Distribution” in this prospectus. We may sell these securities to or through underwriters or dealers and also to other purchasers or through agents. We will set forth the names of any underwriters or agents, and any fees, conversions, or discount arrangements, in the applicable prospectus supplement. We may not sell any securities under this prospectus without delivery of the applicable prospectus supplement. You should read this document and any prospectus supplement or amendment carefully before you invest in our securities.</w:t>
      </w:r>
    </w:p>
    <w:p>
      <w:pPr>
        <w:spacing w:after="0" w:line="142" w:lineRule="exact"/>
        <w:rPr>
          <w:sz w:val="20"/>
          <w:szCs w:val="20"/>
          <w:color w:val="auto"/>
        </w:rPr>
      </w:pPr>
    </w:p>
    <w:p>
      <w:pPr>
        <w:ind w:left="1360" w:right="279"/>
        <w:spacing w:after="0" w:line="282" w:lineRule="auto"/>
        <w:rPr>
          <w:sz w:val="20"/>
          <w:szCs w:val="20"/>
          <w:color w:val="auto"/>
        </w:rPr>
      </w:pPr>
      <w:r>
        <w:rPr>
          <w:rFonts w:ascii="Times New Roman" w:cs="Times New Roman" w:eastAsia="Times New Roman" w:hAnsi="Times New Roman"/>
          <w:sz w:val="14"/>
          <w:szCs w:val="14"/>
          <w:color w:val="auto"/>
        </w:rPr>
        <w:t>Our common stock is listed on The Nasdaq Global Market under the symbol “TNGX.” On November 20, 2025, the closing price for our common stock, as reported on The Nasdaq Global Market, was $8.90 per share.</w:t>
      </w:r>
    </w:p>
    <w:p>
      <w:pPr>
        <w:spacing w:after="0" w:line="116" w:lineRule="exact"/>
        <w:rPr>
          <w:sz w:val="20"/>
          <w:szCs w:val="20"/>
          <w:color w:val="auto"/>
        </w:rPr>
      </w:pPr>
    </w:p>
    <w:p>
      <w:pPr>
        <w:ind w:left="1360" w:right="559"/>
        <w:spacing w:after="0" w:line="271" w:lineRule="auto"/>
        <w:rPr>
          <w:sz w:val="20"/>
          <w:szCs w:val="20"/>
          <w:color w:val="auto"/>
        </w:rPr>
      </w:pPr>
      <w:r>
        <w:rPr>
          <w:rFonts w:ascii="Times New Roman" w:cs="Times New Roman" w:eastAsia="Times New Roman" w:hAnsi="Times New Roman"/>
          <w:sz w:val="16"/>
          <w:szCs w:val="16"/>
          <w:b w:val="1"/>
          <w:bCs w:val="1"/>
          <w:color w:val="auto"/>
        </w:rPr>
        <w:t>Investing in these securities involves certain risks. See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on page 3 of this prospectus as well as those included in any accompanying prospectus supplement and in the documents incorporated by reference in this prospectus for a discussion of the factors you should carefully consider before deciding to purchase these securities.</w:t>
      </w:r>
    </w:p>
    <w:p>
      <w:pPr>
        <w:spacing w:after="0" w:line="120" w:lineRule="exact"/>
        <w:rPr>
          <w:sz w:val="20"/>
          <w:szCs w:val="20"/>
          <w:color w:val="auto"/>
        </w:rPr>
      </w:pPr>
    </w:p>
    <w:p>
      <w:pPr>
        <w:ind w:left="1360" w:right="259"/>
        <w:spacing w:after="0" w:line="285"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2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color w:val="auto"/>
        </w:rPr>
        <w:t>The date of this prospectus is November 21, 2025.</w:t>
      </w:r>
    </w:p>
    <w:p>
      <w:pPr>
        <w:sectPr>
          <w:pgSz w:w="11900" w:h="16838" w:orient="portrait"/>
          <w:cols w:equalWidth="0" w:num="1">
            <w:col w:w="10159"/>
          </w:cols>
          <w:pgMar w:left="300" w:top="385"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7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00" w:type="dxa"/>
            <w:vAlign w:val="bottom"/>
          </w:tcPr>
          <w:p>
            <w:pPr>
              <w:spacing w:after="0"/>
              <w:rPr>
                <w:sz w:val="16"/>
                <w:szCs w:val="16"/>
                <w:color w:val="auto"/>
              </w:rPr>
            </w:pPr>
          </w:p>
        </w:tc>
      </w:tr>
      <w:tr>
        <w:trPr>
          <w:trHeight w:val="326"/>
        </w:trPr>
        <w:tc>
          <w:tcPr>
            <w:tcW w:w="17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9"/>
              </w:rPr>
              <w:t>ABOUT THIS PROSPECTUS</w:t>
            </w:r>
          </w:p>
        </w:tc>
        <w:tc>
          <w:tcPr>
            <w:tcW w:w="4980" w:type="dxa"/>
            <w:vAlign w:val="bottom"/>
            <w:gridSpan w:val="7"/>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48"/>
        </w:trPr>
        <w:tc>
          <w:tcPr>
            <w:tcW w:w="980" w:type="dxa"/>
            <w:vAlign w:val="bottom"/>
            <w:tcBorders>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7"/>
              </w:rPr>
              <w:t>RISK FACTORS</w:t>
            </w:r>
          </w:p>
        </w:tc>
        <w:tc>
          <w:tcPr>
            <w:tcW w:w="5740" w:type="dxa"/>
            <w:vAlign w:val="bottom"/>
            <w:gridSpan w:val="13"/>
          </w:tcPr>
          <w:p>
            <w:pPr>
              <w:spacing w:after="0"/>
              <w:rPr>
                <w:sz w:val="12"/>
                <w:szCs w:val="12"/>
                <w:color w:val="auto"/>
              </w:rPr>
            </w:pPr>
          </w:p>
        </w:tc>
        <w:tc>
          <w:tcPr>
            <w:tcW w:w="18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w:t>
            </w:r>
          </w:p>
        </w:tc>
      </w:tr>
      <w:tr>
        <w:trPr>
          <w:trHeight w:val="148"/>
        </w:trPr>
        <w:tc>
          <w:tcPr>
            <w:tcW w:w="672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18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w:t>
            </w:r>
          </w:p>
        </w:tc>
      </w:tr>
      <w:tr>
        <w:trPr>
          <w:trHeight w:val="148"/>
        </w:trPr>
        <w:tc>
          <w:tcPr>
            <w:tcW w:w="1020" w:type="dxa"/>
            <w:vAlign w:val="bottom"/>
            <w:tcBorders>
              <w:top w:val="single" w:sz="8" w:color="0000EE"/>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w w:val="96"/>
              </w:rPr>
              <w:t>OUR COMPANY</w:t>
            </w:r>
          </w:p>
        </w:tc>
        <w:tc>
          <w:tcPr>
            <w:tcW w:w="3120" w:type="dxa"/>
            <w:vAlign w:val="bottom"/>
            <w:tcBorders>
              <w:top w:val="single" w:sz="8" w:color="0000EE"/>
            </w:tcBorders>
            <w:gridSpan w:val="11"/>
          </w:tcPr>
          <w:p>
            <w:pPr>
              <w:spacing w:after="0"/>
              <w:rPr>
                <w:sz w:val="12"/>
                <w:szCs w:val="12"/>
                <w:color w:val="auto"/>
              </w:rPr>
            </w:pPr>
          </w:p>
        </w:tc>
        <w:tc>
          <w:tcPr>
            <w:tcW w:w="2580" w:type="dxa"/>
            <w:vAlign w:val="bottom"/>
          </w:tcPr>
          <w:p>
            <w:pPr>
              <w:spacing w:after="0"/>
              <w:rPr>
                <w:sz w:val="12"/>
                <w:szCs w:val="12"/>
                <w:color w:val="auto"/>
              </w:rPr>
            </w:pPr>
          </w:p>
        </w:tc>
        <w:tc>
          <w:tcPr>
            <w:tcW w:w="18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w:t>
            </w:r>
          </w:p>
        </w:tc>
      </w:tr>
      <w:tr>
        <w:trPr>
          <w:trHeight w:val="148"/>
        </w:trPr>
        <w:tc>
          <w:tcPr>
            <w:tcW w:w="672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USE OF PROCEEDS</w:t>
            </w:r>
          </w:p>
        </w:tc>
        <w:tc>
          <w:tcPr>
            <w:tcW w:w="18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w:t>
            </w: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48"/>
        </w:trPr>
        <w:tc>
          <w:tcPr>
            <w:tcW w:w="672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SECURITIES THAT MAY BE OFFERED</w:t>
            </w:r>
          </w:p>
        </w:tc>
        <w:tc>
          <w:tcPr>
            <w:tcW w:w="18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w:t>
            </w:r>
          </w:p>
        </w:tc>
      </w:tr>
      <w:tr>
        <w:trPr>
          <w:trHeight w:val="148"/>
        </w:trPr>
        <w:tc>
          <w:tcPr>
            <w:tcW w:w="2400" w:type="dxa"/>
            <w:vAlign w:val="bottom"/>
            <w:tcBorders>
              <w:top w:val="single" w:sz="8" w:color="0000EE"/>
            </w:tcBorders>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4320" w:type="dxa"/>
            <w:vAlign w:val="bottom"/>
            <w:gridSpan w:val="3"/>
          </w:tcPr>
          <w:p>
            <w:pPr>
              <w:spacing w:after="0"/>
              <w:rPr>
                <w:sz w:val="12"/>
                <w:szCs w:val="12"/>
                <w:color w:val="auto"/>
              </w:rPr>
            </w:pPr>
          </w:p>
        </w:tc>
        <w:tc>
          <w:tcPr>
            <w:tcW w:w="18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w:t>
            </w: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48"/>
        </w:trPr>
        <w:tc>
          <w:tcPr>
            <w:tcW w:w="2360" w:type="dxa"/>
            <w:vAlign w:val="bottom"/>
            <w:tcBorders>
              <w:bottom w:val="single" w:sz="8" w:color="0000EE"/>
            </w:tcBorders>
            <w:gridSpan w:val="11"/>
          </w:tcPr>
          <w:p>
            <w:pPr>
              <w:spacing w:after="0" w:line="148" w:lineRule="exact"/>
              <w:rPr>
                <w:sz w:val="20"/>
                <w:szCs w:val="20"/>
                <w:color w:val="auto"/>
              </w:rPr>
            </w:pPr>
            <w:r>
              <w:rPr>
                <w:rFonts w:ascii="Times New Roman" w:cs="Times New Roman" w:eastAsia="Times New Roman" w:hAnsi="Times New Roman"/>
                <w:sz w:val="14"/>
                <w:szCs w:val="14"/>
                <w:color w:val="0000EE"/>
                <w:w w:val="99"/>
              </w:rPr>
              <w:t>DESCRIPTION OF DEBT SECURITIES</w:t>
            </w:r>
          </w:p>
        </w:tc>
        <w:tc>
          <w:tcPr>
            <w:tcW w:w="4360" w:type="dxa"/>
            <w:vAlign w:val="bottom"/>
            <w:gridSpan w:val="4"/>
          </w:tcPr>
          <w:p>
            <w:pPr>
              <w:spacing w:after="0"/>
              <w:rPr>
                <w:sz w:val="12"/>
                <w:szCs w:val="12"/>
                <w:color w:val="auto"/>
              </w:rPr>
            </w:pPr>
          </w:p>
        </w:tc>
        <w:tc>
          <w:tcPr>
            <w:tcW w:w="18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w:t>
            </w:r>
          </w:p>
        </w:tc>
      </w:tr>
      <w:tr>
        <w:trPr>
          <w:trHeight w:val="148"/>
        </w:trPr>
        <w:tc>
          <w:tcPr>
            <w:tcW w:w="672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DESCRIPTION OF WARRANTS</w:t>
            </w:r>
          </w:p>
        </w:tc>
        <w:tc>
          <w:tcPr>
            <w:tcW w:w="18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22</w:t>
            </w:r>
          </w:p>
        </w:tc>
      </w:tr>
      <w:tr>
        <w:trPr>
          <w:trHeight w:val="148"/>
        </w:trPr>
        <w:tc>
          <w:tcPr>
            <w:tcW w:w="1580" w:type="dxa"/>
            <w:vAlign w:val="bottom"/>
            <w:tcBorders>
              <w:top w:val="single" w:sz="8" w:color="0000EE"/>
              <w:bottom w:val="single" w:sz="8" w:color="0000EE"/>
            </w:tcBorders>
            <w:gridSpan w:val="6"/>
          </w:tcPr>
          <w:p>
            <w:pPr>
              <w:spacing w:after="0" w:line="148" w:lineRule="exact"/>
              <w:rPr>
                <w:sz w:val="20"/>
                <w:szCs w:val="20"/>
                <w:color w:val="auto"/>
              </w:rPr>
            </w:pPr>
            <w:r>
              <w:rPr>
                <w:rFonts w:ascii="Times New Roman" w:cs="Times New Roman" w:eastAsia="Times New Roman" w:hAnsi="Times New Roman"/>
                <w:sz w:val="14"/>
                <w:szCs w:val="14"/>
                <w:color w:val="0000EE"/>
                <w:w w:val="99"/>
              </w:rPr>
              <w:t>DESCRIPTION OF UNITS</w:t>
            </w:r>
          </w:p>
        </w:tc>
        <w:tc>
          <w:tcPr>
            <w:tcW w:w="340" w:type="dxa"/>
            <w:vAlign w:val="bottom"/>
            <w:tcBorders>
              <w:top w:val="single" w:sz="8" w:color="0000EE"/>
            </w:tcBorders>
            <w:gridSpan w:val="3"/>
          </w:tcPr>
          <w:p>
            <w:pPr>
              <w:spacing w:after="0"/>
              <w:rPr>
                <w:sz w:val="12"/>
                <w:szCs w:val="12"/>
                <w:color w:val="auto"/>
              </w:rPr>
            </w:pPr>
          </w:p>
        </w:tc>
        <w:tc>
          <w:tcPr>
            <w:tcW w:w="4800" w:type="dxa"/>
            <w:vAlign w:val="bottom"/>
            <w:gridSpan w:val="6"/>
          </w:tcPr>
          <w:p>
            <w:pPr>
              <w:spacing w:after="0"/>
              <w:rPr>
                <w:sz w:val="12"/>
                <w:szCs w:val="12"/>
                <w:color w:val="auto"/>
              </w:rPr>
            </w:pPr>
          </w:p>
        </w:tc>
        <w:tc>
          <w:tcPr>
            <w:tcW w:w="18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23</w:t>
            </w:r>
          </w:p>
        </w:tc>
      </w:tr>
      <w:tr>
        <w:trPr>
          <w:trHeight w:val="148"/>
        </w:trPr>
        <w:tc>
          <w:tcPr>
            <w:tcW w:w="1600" w:type="dxa"/>
            <w:vAlign w:val="bottom"/>
            <w:tcBorders>
              <w:bottom w:val="single" w:sz="8" w:color="0000EE"/>
            </w:tcBorders>
            <w:gridSpan w:val="7"/>
          </w:tcPr>
          <w:p>
            <w:pPr>
              <w:spacing w:after="0" w:line="148" w:lineRule="exact"/>
              <w:rPr>
                <w:sz w:val="20"/>
                <w:szCs w:val="20"/>
                <w:color w:val="auto"/>
              </w:rPr>
            </w:pPr>
            <w:r>
              <w:rPr>
                <w:rFonts w:ascii="Times New Roman" w:cs="Times New Roman" w:eastAsia="Times New Roman" w:hAnsi="Times New Roman"/>
                <w:sz w:val="14"/>
                <w:szCs w:val="14"/>
                <w:color w:val="0000EE"/>
                <w:w w:val="99"/>
              </w:rPr>
              <w:t>PLAN OF DISTRIBUTION</w:t>
            </w:r>
          </w:p>
        </w:tc>
        <w:tc>
          <w:tcPr>
            <w:tcW w:w="5120" w:type="dxa"/>
            <w:vAlign w:val="bottom"/>
            <w:gridSpan w:val="8"/>
          </w:tcPr>
          <w:p>
            <w:pPr>
              <w:spacing w:after="0"/>
              <w:rPr>
                <w:sz w:val="12"/>
                <w:szCs w:val="12"/>
                <w:color w:val="auto"/>
              </w:rPr>
            </w:pPr>
          </w:p>
        </w:tc>
        <w:tc>
          <w:tcPr>
            <w:tcW w:w="18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26</w:t>
            </w:r>
          </w:p>
        </w:tc>
      </w:tr>
      <w:tr>
        <w:trPr>
          <w:trHeight w:val="148"/>
        </w:trPr>
        <w:tc>
          <w:tcPr>
            <w:tcW w:w="1140" w:type="dxa"/>
            <w:vAlign w:val="bottom"/>
            <w:tcBorders>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w w:val="97"/>
              </w:rPr>
              <w:t>LEGAL MATTERS</w:t>
            </w:r>
          </w:p>
        </w:tc>
        <w:tc>
          <w:tcPr>
            <w:tcW w:w="5580" w:type="dxa"/>
            <w:vAlign w:val="bottom"/>
            <w:gridSpan w:val="11"/>
          </w:tcPr>
          <w:p>
            <w:pPr>
              <w:spacing w:after="0"/>
              <w:rPr>
                <w:sz w:val="12"/>
                <w:szCs w:val="12"/>
                <w:color w:val="auto"/>
              </w:rPr>
            </w:pPr>
          </w:p>
        </w:tc>
        <w:tc>
          <w:tcPr>
            <w:tcW w:w="18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29</w:t>
            </w:r>
          </w:p>
        </w:tc>
      </w:tr>
      <w:tr>
        <w:trPr>
          <w:trHeight w:val="148"/>
        </w:trPr>
        <w:tc>
          <w:tcPr>
            <w:tcW w:w="600" w:type="dxa"/>
            <w:vAlign w:val="bottom"/>
            <w:tcBorders>
              <w:bottom w:val="single" w:sz="8" w:color="0000EE"/>
            </w:tcBorders>
          </w:tcPr>
          <w:p>
            <w:pPr>
              <w:spacing w:after="0" w:line="148" w:lineRule="exact"/>
              <w:rPr>
                <w:sz w:val="20"/>
                <w:szCs w:val="20"/>
                <w:color w:val="auto"/>
              </w:rPr>
            </w:pPr>
            <w:r>
              <w:rPr>
                <w:rFonts w:ascii="Times New Roman" w:cs="Times New Roman" w:eastAsia="Times New Roman" w:hAnsi="Times New Roman"/>
                <w:sz w:val="14"/>
                <w:szCs w:val="14"/>
                <w:color w:val="0000EE"/>
                <w:w w:val="95"/>
              </w:rPr>
              <w:t>EXPERTS</w:t>
            </w:r>
          </w:p>
        </w:tc>
        <w:tc>
          <w:tcPr>
            <w:tcW w:w="6120" w:type="dxa"/>
            <w:vAlign w:val="bottom"/>
            <w:gridSpan w:val="14"/>
          </w:tcPr>
          <w:p>
            <w:pPr>
              <w:spacing w:after="0"/>
              <w:rPr>
                <w:sz w:val="12"/>
                <w:szCs w:val="12"/>
                <w:color w:val="auto"/>
              </w:rPr>
            </w:pPr>
          </w:p>
        </w:tc>
        <w:tc>
          <w:tcPr>
            <w:tcW w:w="18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29</w:t>
            </w:r>
          </w:p>
        </w:tc>
      </w:tr>
      <w:tr>
        <w:trPr>
          <w:trHeight w:val="148"/>
        </w:trPr>
        <w:tc>
          <w:tcPr>
            <w:tcW w:w="672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8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29</w:t>
            </w:r>
          </w:p>
        </w:tc>
      </w:tr>
      <w:tr>
        <w:trPr>
          <w:trHeight w:val="148"/>
        </w:trPr>
        <w:tc>
          <w:tcPr>
            <w:tcW w:w="2220" w:type="dxa"/>
            <w:vAlign w:val="bottom"/>
            <w:tcBorders>
              <w:top w:val="single" w:sz="8" w:color="0000EE"/>
              <w:bottom w:val="single" w:sz="8" w:color="0000EE"/>
            </w:tcBorders>
            <w:gridSpan w:val="10"/>
          </w:tcPr>
          <w:p>
            <w:pPr>
              <w:spacing w:after="0" w:line="148" w:lineRule="exact"/>
              <w:rPr>
                <w:sz w:val="20"/>
                <w:szCs w:val="20"/>
                <w:color w:val="auto"/>
              </w:rPr>
            </w:pPr>
            <w:r>
              <w:rPr>
                <w:rFonts w:ascii="Times New Roman" w:cs="Times New Roman" w:eastAsia="Times New Roman" w:hAnsi="Times New Roman"/>
                <w:sz w:val="14"/>
                <w:szCs w:val="14"/>
                <w:color w:val="0000EE"/>
                <w:w w:val="98"/>
              </w:rPr>
              <w:t>INCORPORATION BY REFERENCE</w:t>
            </w:r>
          </w:p>
        </w:tc>
        <w:tc>
          <w:tcPr>
            <w:tcW w:w="740" w:type="dxa"/>
            <w:vAlign w:val="bottom"/>
            <w:tcBorders>
              <w:top w:val="single" w:sz="8" w:color="0000EE"/>
            </w:tcBorders>
            <w:gridSpan w:val="3"/>
          </w:tcPr>
          <w:p>
            <w:pPr>
              <w:spacing w:after="0"/>
              <w:rPr>
                <w:sz w:val="12"/>
                <w:szCs w:val="12"/>
                <w:color w:val="auto"/>
              </w:rPr>
            </w:pPr>
          </w:p>
        </w:tc>
        <w:tc>
          <w:tcPr>
            <w:tcW w:w="3760" w:type="dxa"/>
            <w:vAlign w:val="bottom"/>
            <w:gridSpan w:val="2"/>
          </w:tcPr>
          <w:p>
            <w:pPr>
              <w:spacing w:after="0"/>
              <w:rPr>
                <w:sz w:val="12"/>
                <w:szCs w:val="12"/>
                <w:color w:val="auto"/>
              </w:rPr>
            </w:pPr>
          </w:p>
        </w:tc>
        <w:tc>
          <w:tcPr>
            <w:tcW w:w="18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30</w:t>
            </w:r>
          </w:p>
        </w:tc>
      </w:tr>
    </w:tbl>
    <w:p>
      <w:pPr>
        <w:spacing w:after="0" w:line="1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5"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7"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on Form S-3 that we filed with the Securities and Exchange Commission, which we refer to as the “SEC,” as a “well-known seasoned issuer” as defined in Rule 405 under the Securities Act of 1933, as amended (the “Securities Act”). Under this shelf registration process, we and/or selling stockholders may from time to time sell any combination of the securities described in this prospectus in one or more offerings.</w:t>
      </w:r>
    </w:p>
    <w:p>
      <w:pPr>
        <w:spacing w:after="0" w:line="140" w:lineRule="exact"/>
        <w:rPr>
          <w:sz w:val="20"/>
          <w:szCs w:val="20"/>
          <w:color w:val="auto"/>
        </w:rPr>
      </w:pPr>
    </w:p>
    <w:p>
      <w:pPr>
        <w:ind w:left="1360" w:right="319"/>
        <w:spacing w:after="0" w:line="254"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and/or selling stockholders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This prospectus, together with any accompanying prospectus supplement and any free writing prospectus that we have authorized for use in connection with a specific offering, contains important information you should know before investing in our securities, including important information about us and the securities being offered. You should read both this prospectus and the accompanying prospectus supplement (and any free writing prospectus) together with the additional information described under the headings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Incorporation by Reference</w:t>
      </w:r>
      <w:r>
        <w:rPr>
          <w:rFonts w:ascii="Times New Roman" w:cs="Times New Roman" w:eastAsia="Times New Roman" w:hAnsi="Times New Roman"/>
          <w:sz w:val="14"/>
          <w:szCs w:val="14"/>
          <w:color w:val="auto"/>
        </w:rPr>
        <w:t>” beginning on page 29 of this prospectus.</w:t>
      </w:r>
    </w:p>
    <w:p>
      <w:pPr>
        <w:spacing w:after="0" w:line="147"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or additional information. If anyone provides you with different, additional or inconsistent information, you should not rely on it. We do not take responsibility for, and can provide no assurance as to the reliability of, any information that others may give you. This prospectus and the accompanying prospectus supplement (and any free writing prospectus)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regardless of the time of delivery of this prospectus, any applicable prospectus supplement or any sale of securities. Our business, financial condition, results of operations and prospects may have changed materially since those dates. This prospectus, any applicable prospectus supplement and the information incorporated herein or therein by reference (or in any free writing prospectus) contains market data, industry statistics and other data that have been obtained or compiled from information made available by independent third parties. The industry in which we operate is subject to a high degree of uncertainty and risk due to a variety of factors, including those described in the section entitled “Risk Factors” of our most recent Annual Report on Form 10-K. These and other factors could cause the estimates to differ materially from those expressed in these publications.</w:t>
      </w:r>
    </w:p>
    <w:p>
      <w:pPr>
        <w:spacing w:after="0" w:line="143" w:lineRule="exact"/>
        <w:rPr>
          <w:sz w:val="20"/>
          <w:szCs w:val="20"/>
          <w:color w:val="auto"/>
        </w:rPr>
      </w:pPr>
    </w:p>
    <w:p>
      <w:pPr>
        <w:ind w:left="1360" w:right="379"/>
        <w:spacing w:after="0" w:line="285" w:lineRule="auto"/>
        <w:rPr>
          <w:sz w:val="20"/>
          <w:szCs w:val="20"/>
          <w:color w:val="auto"/>
        </w:rPr>
      </w:pPr>
      <w:r>
        <w:rPr>
          <w:rFonts w:ascii="Times New Roman" w:cs="Times New Roman" w:eastAsia="Times New Roman" w:hAnsi="Times New Roman"/>
          <w:sz w:val="14"/>
          <w:szCs w:val="14"/>
          <w:b w:val="1"/>
          <w:bCs w:val="1"/>
          <w:color w:val="auto"/>
        </w:rPr>
        <w:t>THIS PROSPECTUS MAY NOT BE USED TO OFFER AND SELL SECURITIES UNLESS IT IS ACCOMPANIED BY AN ADDITIONAL PROSPECTUS OR A PROSPECTUS SUPPLEMENT.</w:t>
      </w:r>
    </w:p>
    <w:p>
      <w:pPr>
        <w:spacing w:after="0" w:line="124" w:lineRule="exact"/>
        <w:rPr>
          <w:sz w:val="20"/>
          <w:szCs w:val="20"/>
          <w:color w:val="auto"/>
        </w:rPr>
      </w:pPr>
    </w:p>
    <w:p>
      <w:pPr>
        <w:ind w:left="1360" w:right="319"/>
        <w:spacing w:after="0" w:line="282" w:lineRule="auto"/>
        <w:rPr>
          <w:sz w:val="20"/>
          <w:szCs w:val="20"/>
          <w:color w:val="auto"/>
        </w:rPr>
      </w:pPr>
      <w:r>
        <w:rPr>
          <w:rFonts w:ascii="Times New Roman" w:cs="Times New Roman" w:eastAsia="Times New Roman" w:hAnsi="Times New Roman"/>
          <w:sz w:val="14"/>
          <w:szCs w:val="14"/>
          <w:color w:val="auto"/>
        </w:rPr>
        <w:t>As used in this prospectus, unless the context otherwise requires, references to “Tango,” “company,” “we,” “us” and “our” refer to Tango Therapeutics, Inc. and, where appropriate, our subsidiaries.</w:t>
      </w:r>
    </w:p>
    <w:p>
      <w:pPr>
        <w:spacing w:after="0" w:line="126"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We were formerly known as BCTG Acquisition Corp. (“BCTG”) and were incorporated in Delaware in May 2020 as a special purpose acquisition company, formed for the purpose of effecting a merger, capital stock exchange, asset acquisition, stock purchase, reorganization or other similar business. On August 10, 2021, we consummated the merger pursuant to the Agreement and Plan of Merger, dated as of April 13, 2021, by and among BCTG, BCTG Merger Sub Inc. and Tango Therapeutics Sub, Inc. Upon the consummation of the merger, we changed our name to “Tango Therapeutics, Inc.” We own various U.S. federal trademark applications and</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5"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19"/>
        <w:spacing w:after="0" w:line="227" w:lineRule="auto"/>
        <w:rPr>
          <w:sz w:val="20"/>
          <w:szCs w:val="20"/>
          <w:color w:val="auto"/>
        </w:rPr>
      </w:pPr>
      <w:r>
        <w:rPr>
          <w:rFonts w:ascii="Times New Roman" w:cs="Times New Roman" w:eastAsia="Times New Roman" w:hAnsi="Times New Roman"/>
          <w:sz w:val="14"/>
          <w:szCs w:val="14"/>
          <w:color w:val="auto"/>
        </w:rPr>
        <w:t xml:space="preserve">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but such references should not be construed as any indicator that their respective owners will not assert, to the fullest extent under applicable law, their rights thereto.</w:t>
      </w:r>
    </w:p>
    <w:p>
      <w:pPr>
        <w:spacing w:after="0" w:line="1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5"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7"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carefully consider the risks set forth in our filings with the SEC that are incorporated by reference herein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our most recent Annual Report on Form 10-K, our Quarterly Reports on Form 10-Q and our Current Reports on Form 8-K and the other documents we file with the SEC that are deemed incorporated by reference into this prospectus.</w:t>
      </w:r>
    </w:p>
    <w:p>
      <w:pPr>
        <w:spacing w:after="0" w:line="9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5"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7"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This prospectus, including the documents that we incorporate by reference,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“will,” “could,” “should,” “expect,” “intend,” “plan,” “anticipate,” “believe,” “estimate,” “predict,” “potential,” “project,” “seek,” “endeavor,” “target,”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4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Forward-looking statements include, but are not limited to, statements about:</w:t>
      </w:r>
    </w:p>
    <w:p>
      <w:pPr>
        <w:spacing w:after="0" w:line="102" w:lineRule="exact"/>
        <w:rPr>
          <w:sz w:val="20"/>
          <w:szCs w:val="20"/>
          <w:color w:val="auto"/>
        </w:rPr>
      </w:pPr>
    </w:p>
    <w:p>
      <w:pPr>
        <w:ind w:left="2120" w:right="259" w:hanging="341"/>
        <w:spacing w:after="0" w:line="255"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results, and cost of our research and development programs and our current and future preclinical studies and clinical trials and combination clinical trials, including statements regarding the timing of IND filings and acceptance, active enrollment and dosing in clinical trials (including combination clinical trials), future plans for dose expansions and dose escalations, and initiation and completion of studies or clinical trials (including combination trials), plans for initiating a registrational trial for vopimetostat (TNG462) in 2026 and the continued enrollment in our vopimetostat monotherapy and combination clinical trials (and related preparatory work for each), plans for the TNG456 clinical trial, and the period during which the results of our clinical trials (including initial and final trial results) will become available (such as the clinical data update from the lung cohort of the ongoing Phase 1/2 clinical trial in vopimetostat expected in 2026);</w:t>
      </w:r>
    </w:p>
    <w:p>
      <w:pPr>
        <w:spacing w:after="0" w:line="70" w:lineRule="exact"/>
        <w:rPr>
          <w:rFonts w:ascii="Times New Roman" w:cs="Times New Roman" w:eastAsia="Times New Roman" w:hAnsi="Times New Roman"/>
          <w:sz w:val="14"/>
          <w:szCs w:val="14"/>
          <w:color w:val="auto"/>
        </w:rPr>
      </w:pPr>
    </w:p>
    <w:p>
      <w:pPr>
        <w:ind w:left="2120" w:right="339" w:hanging="341"/>
        <w:spacing w:after="0" w:line="323" w:lineRule="auto"/>
        <w:tabs>
          <w:tab w:leader="none" w:pos="21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28" w:lineRule="exact"/>
        <w:rPr>
          <w:rFonts w:ascii="Times New Roman" w:cs="Times New Roman" w:eastAsia="Times New Roman" w:hAnsi="Times New Roman"/>
          <w:sz w:val="13"/>
          <w:szCs w:val="13"/>
          <w:color w:val="auto"/>
        </w:rPr>
      </w:pPr>
    </w:p>
    <w:p>
      <w:pPr>
        <w:ind w:left="2120" w:right="259" w:hanging="341"/>
        <w:spacing w:after="0" w:line="282"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52" w:lineRule="exact"/>
        <w:rPr>
          <w:rFonts w:ascii="Times New Roman" w:cs="Times New Roman" w:eastAsia="Times New Roman" w:hAnsi="Times New Roman"/>
          <w:sz w:val="14"/>
          <w:szCs w:val="14"/>
          <w:color w:val="auto"/>
        </w:rPr>
      </w:pPr>
    </w:p>
    <w:p>
      <w:pPr>
        <w:ind w:left="2120" w:right="759" w:hanging="341"/>
        <w:spacing w:after="0" w:line="282"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and willingness of our third-party strategic collaborators to continue research and development activities relating to our development candidates and product candidates;</w:t>
      </w:r>
    </w:p>
    <w:p>
      <w:pPr>
        <w:spacing w:after="0" w:line="52" w:lineRule="exact"/>
        <w:rPr>
          <w:rFonts w:ascii="Times New Roman" w:cs="Times New Roman" w:eastAsia="Times New Roman" w:hAnsi="Times New Roman"/>
          <w:sz w:val="14"/>
          <w:szCs w:val="14"/>
          <w:color w:val="auto"/>
        </w:rPr>
      </w:pPr>
    </w:p>
    <w:p>
      <w:pPr>
        <w:ind w:left="2120" w:right="299" w:hanging="341"/>
        <w:spacing w:after="0" w:line="266"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into 2028);</w:t>
      </w:r>
    </w:p>
    <w:p>
      <w:pPr>
        <w:spacing w:after="0" w:line="63" w:lineRule="exact"/>
        <w:rPr>
          <w:rFonts w:ascii="Times New Roman" w:cs="Times New Roman" w:eastAsia="Times New Roman" w:hAnsi="Times New Roman"/>
          <w:sz w:val="14"/>
          <w:szCs w:val="14"/>
          <w:color w:val="auto"/>
        </w:rPr>
      </w:pPr>
    </w:p>
    <w:p>
      <w:pPr>
        <w:ind w:left="2120" w:right="239" w:hanging="341"/>
        <w:spacing w:after="0" w:line="266"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if approved, maintain regulatory approval of our product candidates (as well as approval or clearance of screening tests and companion diagnostic tests for our product candidates) and the potential paths to approval our product candidates, including for vopimetostat as a monotherapy or in combination in MTAP-deleted pancreatic and lung cancer;</w:t>
      </w:r>
    </w:p>
    <w:p>
      <w:pPr>
        <w:spacing w:after="0" w:line="63"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commercialize our products, if approved;</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product candidates, if approved;</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business and product candidates;</w:t>
      </w:r>
    </w:p>
    <w:p>
      <w:pPr>
        <w:spacing w:after="0" w:line="101" w:lineRule="exact"/>
        <w:rPr>
          <w:rFonts w:ascii="Times New Roman" w:cs="Times New Roman" w:eastAsia="Times New Roman" w:hAnsi="Times New Roman"/>
          <w:sz w:val="14"/>
          <w:szCs w:val="14"/>
          <w:color w:val="auto"/>
        </w:rPr>
      </w:pPr>
    </w:p>
    <w:p>
      <w:pPr>
        <w:ind w:left="2120" w:right="259" w:hanging="341"/>
        <w:spacing w:after="0" w:line="282"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product candidates and our ability to enforce our intellectual property rights;</w:t>
      </w:r>
    </w:p>
    <w:p>
      <w:pPr>
        <w:spacing w:after="0" w:line="7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5"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hanging="341"/>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future expenses, capital requirements, and our need for additional financing;</w:t>
      </w:r>
    </w:p>
    <w:p>
      <w:pPr>
        <w:spacing w:after="0" w:line="101" w:lineRule="exact"/>
        <w:rPr>
          <w:rFonts w:ascii="Times New Roman" w:cs="Times New Roman" w:eastAsia="Times New Roman" w:hAnsi="Times New Roman"/>
          <w:sz w:val="14"/>
          <w:szCs w:val="14"/>
          <w:color w:val="auto"/>
        </w:rPr>
      </w:pPr>
    </w:p>
    <w:p>
      <w:pPr>
        <w:ind w:left="2120" w:right="239" w:hanging="341"/>
        <w:spacing w:after="0" w:line="282"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2" w:lineRule="exact"/>
        <w:rPr>
          <w:rFonts w:ascii="Times New Roman" w:cs="Times New Roman" w:eastAsia="Times New Roman" w:hAnsi="Times New Roman"/>
          <w:sz w:val="14"/>
          <w:szCs w:val="14"/>
          <w:color w:val="auto"/>
        </w:rPr>
      </w:pPr>
    </w:p>
    <w:p>
      <w:pPr>
        <w:ind w:left="2120" w:right="319" w:hanging="341"/>
        <w:spacing w:after="0" w:line="282"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agreements with third parties in connection with the commercialization of product candidates (if approved) and any other approved products;</w:t>
      </w:r>
    </w:p>
    <w:p>
      <w:pPr>
        <w:spacing w:after="0" w:line="52"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 including the expectation that we will continue to incur operating losses and negative cash flow;</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product candidates, if approved;</w:t>
      </w:r>
    </w:p>
    <w:p>
      <w:pPr>
        <w:spacing w:after="0" w:line="101" w:lineRule="exact"/>
        <w:rPr>
          <w:rFonts w:ascii="Times New Roman" w:cs="Times New Roman" w:eastAsia="Times New Roman" w:hAnsi="Times New Roman"/>
          <w:sz w:val="14"/>
          <w:szCs w:val="14"/>
          <w:color w:val="auto"/>
        </w:rPr>
      </w:pPr>
    </w:p>
    <w:p>
      <w:pPr>
        <w:ind w:left="2120" w:right="439" w:hanging="341"/>
        <w:spacing w:after="0" w:line="282"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and foreign countries, including product approval requirements and pricing regulations by U.S. regulatory authorities (such as the Centers for Medicare &amp; Medicaid Services) and foreign regulatory authorities;</w:t>
      </w:r>
    </w:p>
    <w:p>
      <w:pPr>
        <w:spacing w:after="0" w:line="52"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contract with third-party suppliers and manufacturers and their ability to perform adequately;</w:t>
      </w:r>
    </w:p>
    <w:p>
      <w:pPr>
        <w:spacing w:after="0" w:line="101" w:lineRule="exact"/>
        <w:rPr>
          <w:rFonts w:ascii="Times New Roman" w:cs="Times New Roman" w:eastAsia="Times New Roman" w:hAnsi="Times New Roman"/>
          <w:sz w:val="14"/>
          <w:szCs w:val="14"/>
          <w:color w:val="auto"/>
        </w:rPr>
      </w:pPr>
    </w:p>
    <w:p>
      <w:pPr>
        <w:ind w:left="2120" w:right="719" w:hanging="341"/>
        <w:spacing w:after="0" w:line="282"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(or the ability of third parties with whom we contract) to produce our products or product candidates with advantages in turnaround times or manufacturing cost;</w:t>
      </w:r>
    </w:p>
    <w:p>
      <w:pPr>
        <w:spacing w:after="0" w:line="52" w:lineRule="exact"/>
        <w:rPr>
          <w:rFonts w:ascii="Times New Roman" w:cs="Times New Roman" w:eastAsia="Times New Roman" w:hAnsi="Times New Roman"/>
          <w:sz w:val="14"/>
          <w:szCs w:val="14"/>
          <w:color w:val="auto"/>
        </w:rPr>
      </w:pPr>
    </w:p>
    <w:p>
      <w:pPr>
        <w:ind w:left="2120" w:right="299" w:hanging="341"/>
        <w:spacing w:after="0" w:line="266"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deliver the deep, durable target inhibition—with favorable tolerability and safety profiles—necessary to maximize clinical benefit as a result of the unique ability of synthetic lethal targeting to spare normal cells, as well as the success of competing therapies that are or may become available;</w:t>
      </w:r>
    </w:p>
    <w:p>
      <w:pPr>
        <w:spacing w:after="0" w:line="63"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or management personnel;</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laws and regulations;</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industry;</w:t>
      </w:r>
    </w:p>
    <w:p>
      <w:pPr>
        <w:spacing w:after="0" w:line="101" w:lineRule="exact"/>
        <w:rPr>
          <w:rFonts w:ascii="Times New Roman" w:cs="Times New Roman" w:eastAsia="Times New Roman" w:hAnsi="Times New Roman"/>
          <w:sz w:val="14"/>
          <w:szCs w:val="14"/>
          <w:color w:val="auto"/>
        </w:rPr>
      </w:pPr>
    </w:p>
    <w:p>
      <w:pPr>
        <w:ind w:left="2120" w:right="499" w:hanging="341"/>
        <w:spacing w:after="0" w:line="282"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trade restrictions (such as sanctions or tariffs); regulatory requirements, legal actions, or enforcement; inflation rates; and inadequate funding for government agencies on our business, financial condition, and results of operations;</w:t>
      </w:r>
    </w:p>
    <w:p>
      <w:pPr>
        <w:spacing w:after="0" w:line="52" w:lineRule="exact"/>
        <w:rPr>
          <w:rFonts w:ascii="Times New Roman" w:cs="Times New Roman" w:eastAsia="Times New Roman" w:hAnsi="Times New Roman"/>
          <w:sz w:val="14"/>
          <w:szCs w:val="14"/>
          <w:color w:val="auto"/>
        </w:rPr>
      </w:pPr>
    </w:p>
    <w:p>
      <w:pPr>
        <w:ind w:left="2120" w:right="379" w:hanging="341"/>
        <w:spacing w:after="0" w:line="282"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public health crises on our business operations, including but not limited to our preclinical studies and clinical trials and any future studies or trials;</w:t>
      </w:r>
    </w:p>
    <w:p>
      <w:pPr>
        <w:spacing w:after="0" w:line="52" w:lineRule="exact"/>
        <w:rPr>
          <w:rFonts w:ascii="Times New Roman" w:cs="Times New Roman" w:eastAsia="Times New Roman" w:hAnsi="Times New Roman"/>
          <w:sz w:val="14"/>
          <w:szCs w:val="14"/>
          <w:color w:val="auto"/>
        </w:rPr>
      </w:pPr>
    </w:p>
    <w:p>
      <w:pPr>
        <w:ind w:left="2120" w:right="379" w:hanging="341"/>
        <w:spacing w:after="0" w:line="261"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benefits of the use of our drugs in patients as single agents and/or in combination, including our belief that TNG456 has sufficient brain penetrance to potentially have meaningful efficacy in glioblastoma and our expectations regarding future clinical trials, including our belief that the ongoing Phase 1/2 combination study of vopimetostat and RAS(ON) inhibitors has the potential to support a first line pancreatic cancer pivotal study in MTAP-deleted/RAS mutated patients; and</w:t>
      </w:r>
    </w:p>
    <w:p>
      <w:pPr>
        <w:spacing w:after="0" w:line="64"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under the caption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40" w:lineRule="exact"/>
        <w:rPr>
          <w:sz w:val="20"/>
          <w:szCs w:val="20"/>
          <w:color w:val="auto"/>
        </w:rPr>
      </w:pPr>
    </w:p>
    <w:p>
      <w:pPr>
        <w:ind w:left="1360" w:right="239"/>
        <w:spacing w:after="0" w:line="282" w:lineRule="auto"/>
        <w:rPr>
          <w:sz w:val="20"/>
          <w:szCs w:val="20"/>
          <w:color w:val="auto"/>
        </w:rPr>
      </w:pPr>
      <w:r>
        <w:rPr>
          <w:rFonts w:ascii="Times New Roman" w:cs="Times New Roman" w:eastAsia="Times New Roman" w:hAnsi="Times New Roman"/>
          <w:sz w:val="14"/>
          <w:szCs w:val="14"/>
          <w:color w:val="auto"/>
        </w:rPr>
        <w:t>We may from time-to-time provide estimates, projections and other information concerning our industry, our financial performance, our business and the markets for our programs, product candidates and collaborations.</w:t>
      </w:r>
    </w:p>
    <w:p>
      <w:pPr>
        <w:spacing w:after="0" w:line="7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5"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under “Item 1A: Risk Factors” and elsewhere in our most recent Annual Report on Form 10-K, our subsequent Quarterly Reports on Form 10-Q and our Current Reports on Form 8-K, and the section of any accompanying prospectus supplement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5"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3"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Tango Therapeutics was founded with a clear mission: to discover the next wave of targeted therapies in oncology by addressing the specific genetic alterations that drive cancer. We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genetic alterations, killing those cancer cells while sparing normal cells. We also are extending this target space beyond the classic, cell-autonomous effects of tumor suppressor gene loss to include the discovery of novel targets that reverse tumor suppressor gene mediated immune evasion which prevents the immune system from recognizing and killing cancer cells. We believe our approach will provide the ability to deliver deep, durable target inhibition with favorable tolerability and safety profiles, thus potentially maximizing clinical benefit.</w:t>
      </w:r>
    </w:p>
    <w:p>
      <w:pPr>
        <w:spacing w:after="0" w:line="144" w:lineRule="exact"/>
        <w:rPr>
          <w:sz w:val="20"/>
          <w:szCs w:val="20"/>
          <w:color w:val="auto"/>
        </w:rPr>
      </w:pPr>
    </w:p>
    <w:p>
      <w:pPr>
        <w:jc w:val="both"/>
        <w:ind w:left="1360" w:right="739"/>
        <w:spacing w:after="0" w:line="266" w:lineRule="auto"/>
        <w:rPr>
          <w:sz w:val="20"/>
          <w:szCs w:val="20"/>
          <w:color w:val="auto"/>
        </w:rPr>
      </w:pPr>
      <w:r>
        <w:rPr>
          <w:rFonts w:ascii="Times New Roman" w:cs="Times New Roman" w:eastAsia="Times New Roman" w:hAnsi="Times New Roman"/>
          <w:sz w:val="14"/>
          <w:szCs w:val="14"/>
          <w:color w:val="auto"/>
        </w:rPr>
        <w:t>We are currently developing two methylthioadenosine phosphorylase (MTAP)-deleted selective PRMT5 inhibitors: vopimetostat (TNG462) for non-CNS cancers, including pancreatic and lung cancer, and TNG456, our next-generation, brain-penetrant protein arginine methyltransferase 5 (PRMT5) inhibitor, for central nervous system (“CNS”) cancers, including glioblastoma (GBM).</w:t>
      </w:r>
    </w:p>
    <w:p>
      <w:pPr>
        <w:spacing w:after="0" w:line="137" w:lineRule="exact"/>
        <w:rPr>
          <w:sz w:val="20"/>
          <w:szCs w:val="20"/>
          <w:color w:val="auto"/>
        </w:rPr>
      </w:pPr>
    </w:p>
    <w:p>
      <w:pPr>
        <w:ind w:left="1360" w:right="399"/>
        <w:spacing w:after="0" w:line="258" w:lineRule="auto"/>
        <w:rPr>
          <w:sz w:val="20"/>
          <w:szCs w:val="20"/>
          <w:color w:val="auto"/>
        </w:rPr>
      </w:pPr>
      <w:r>
        <w:rPr>
          <w:rFonts w:ascii="Times New Roman" w:cs="Times New Roman" w:eastAsia="Times New Roman" w:hAnsi="Times New Roman"/>
          <w:sz w:val="14"/>
          <w:szCs w:val="14"/>
          <w:color w:val="auto"/>
        </w:rPr>
        <w:t>In October 2025, we reported positive data from the ongoing Phase 1/2 clinical trial of vopimetostat in patients with MTAP-deleted selective cancers, demonstrating clinical activity across multiple cancer types with a favorable safety and tolerability profile to date. The cutoff date for the analysis was September 1, 2025 and included all evaluable patients at active doses (200 mg QD and above). Overall response rates were calculated in all tumor-evaluable patients enrolled more than 6 months prior to the efficacy analysis. Median progression free survival (mPFS) was calculated in all patients who received a first scan (~8 weeks).</w:t>
      </w:r>
    </w:p>
    <w:p>
      <w:pPr>
        <w:spacing w:after="0" w:line="143"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Across all MTAP-deleted tumor types, there were 94 tumor evaluable patients. We observed an ORR (objective response rate) of 27% and mPFS of 6.4 months. In the 29 patients with second line (2L) MTAP-deleted pancreatic cancer, mPFS was 7.2 months. In patients with 2L pancreatic cancer that were enrolled more than 6 months prior to the data cutoff and were tumor evaluable (n=8), the ORR was 25%, more than double that observed in historical chemotherapy studies (~10%), supporting the planned initiation of a pivotal trial in this patient population in 2026. In the histology selective cohort with 37 evaluable late line patients, we observed a 49% ORR and mPFS of 9.1 months. The histology selective cohort excludes pancreatic and lung cancer patients, as those indications were enrolled in separate cohorts and are being developed independently. Sarcoma patients are also excluded from this analysis, as no activity was observed in this indication (ORR 0%), which will not be pursued in future development. As of September 1, 2025, 41 patients with 2L+ lung cancer were enrolled in the Phase 1/2 clinical trial at active doses, 12 of whom were enrolled more than 6 months prior to the analysis. Emerging data from the lung cohort are consistent with expectations, and we anticipate providing a safety and efficacy update in 2026.</w:t>
      </w:r>
    </w:p>
    <w:p>
      <w:pPr>
        <w:spacing w:after="0" w:line="147" w:lineRule="exact"/>
        <w:rPr>
          <w:sz w:val="20"/>
          <w:szCs w:val="20"/>
          <w:color w:val="auto"/>
        </w:rPr>
      </w:pPr>
    </w:p>
    <w:p>
      <w:pPr>
        <w:ind w:left="1360" w:right="239"/>
        <w:spacing w:after="0" w:line="282" w:lineRule="auto"/>
        <w:rPr>
          <w:sz w:val="20"/>
          <w:szCs w:val="20"/>
          <w:color w:val="auto"/>
        </w:rPr>
      </w:pPr>
      <w:r>
        <w:rPr>
          <w:rFonts w:ascii="Times New Roman" w:cs="Times New Roman" w:eastAsia="Times New Roman" w:hAnsi="Times New Roman"/>
          <w:sz w:val="14"/>
          <w:szCs w:val="14"/>
          <w:color w:val="auto"/>
        </w:rPr>
        <w:t>Additionally, vopimetostat demonstrated a favorable safety and tolerability profile with no drug-related dose discontinuations and ~8% dose reduction in patients dosed at 250 mg QD as of the data cutoff date. We have FDA agreement on 250 mg QD as the go-forward dose.</w:t>
      </w:r>
    </w:p>
    <w:p>
      <w:pPr>
        <w:spacing w:after="0" w:line="126"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In June 2025, the first patient was treated in the combination clinical trial that is evaluating vopimetostat with the RAS(ON) multi-selective inhibitor, daraxonrasib, and RAS(ON) G12D-selective inhibitor, zoldonrasib (Revolution Medicines). In the first cohort in the trial (n=7), both combinations have been well-tolerated to date with exposures in the active range for all compounds and early signs of activity. We believe this ongoing clinical trial has the potential to support a first line pancreatic cancer pivotal study in MTAP-deleted/RAS mutated patients.</w:t>
      </w:r>
    </w:p>
    <w:p>
      <w:pPr>
        <w:spacing w:after="0" w:line="140" w:lineRule="exact"/>
        <w:rPr>
          <w:sz w:val="20"/>
          <w:szCs w:val="20"/>
          <w:color w:val="auto"/>
        </w:rPr>
      </w:pPr>
    </w:p>
    <w:p>
      <w:pPr>
        <w:ind w:left="1360" w:right="1119"/>
        <w:spacing w:after="0" w:line="282" w:lineRule="auto"/>
        <w:rPr>
          <w:sz w:val="20"/>
          <w:szCs w:val="20"/>
          <w:color w:val="auto"/>
        </w:rPr>
      </w:pPr>
      <w:r>
        <w:rPr>
          <w:rFonts w:ascii="Times New Roman" w:cs="Times New Roman" w:eastAsia="Times New Roman" w:hAnsi="Times New Roman"/>
          <w:sz w:val="14"/>
          <w:szCs w:val="14"/>
          <w:color w:val="auto"/>
        </w:rPr>
        <w:t>In May 2025, the first patient was treated with TNG456 in the dose escalation portion of the Phase 1/2 clinical trial to evaluate the safety, pharmacokinetics, pharmacodynamics and antitumor activity of TNG456 as a</w:t>
      </w:r>
    </w:p>
    <w:p>
      <w:pPr>
        <w:spacing w:after="0" w:line="7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5"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59"/>
        <w:spacing w:after="0" w:line="282" w:lineRule="auto"/>
        <w:rPr>
          <w:sz w:val="20"/>
          <w:szCs w:val="20"/>
          <w:color w:val="auto"/>
        </w:rPr>
      </w:pPr>
      <w:r>
        <w:rPr>
          <w:rFonts w:ascii="Times New Roman" w:cs="Times New Roman" w:eastAsia="Times New Roman" w:hAnsi="Times New Roman"/>
          <w:sz w:val="14"/>
          <w:szCs w:val="14"/>
          <w:color w:val="auto"/>
        </w:rPr>
        <w:t>monotherapy. The trial is currently enrolling patients with MTAP-deleted solid tumors, with a focus on GBM. Preclinical data for TNG456 showed favorable potency and MTAP selectivity and sufficient brain penetrance to potentially have meaningful efficacy in GBM.</w:t>
      </w:r>
    </w:p>
    <w:p>
      <w:pPr>
        <w:spacing w:after="0" w:line="126"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TNG260 is a first-in-class Co-repressor of Repressor Element-1 Silencing Transcription (CoREST) inhibitor, which in preclinical studies reversed the immune evasion effect of serine-threonine kinase 11 (STK11) loss-of-function mutations. TNG260 had a favorable safety, tolerability and pharmacokinetic profile in dose escalation. In November 2025, we announced that forty-one patients with STK11-mutant, locally advanced or metastatic solid tumors were enrolled in three dose escalation cohorts of the Phase 1/2 clinical trial. 21/41 patients were evaluable at active doses. The maximum tolerated dose (MTD) was 80 mg QD. Patients with checkpoint inhibitor resistant STK11 mutant/KRAS wild-type NSCLC receiving clinically active doses of TNG260 plus pembrolizumab had a mPFS of 27 weeks (n=5), more than double the standard of care PFS of ~10 weeks. There was no evidence of activity in other STK11 mutant cancers. 80 mg QD TNG260 was selected for dose optimization, which is ongoing for patients with advanced STK11 mutant/KRAS wild type NSCLC, representing ~10% of lung adenocarcinoma annually in the US (~10,000 patients).</w:t>
      </w:r>
    </w:p>
    <w:p>
      <w:pPr>
        <w:spacing w:after="0" w:line="144"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TNG961 is a development candidate targeting HBS1L in focadhesin (FOCAD)-deleted solid tumors. FOCAD deletion occurs in 20-40% of all MTAP-deleted cancers. FOCAD deletion is common in NSCLC, occurring in ~5% of these patients. 20-40% of cancers with MTAP deletion have a coincident FOCAD deletion on chromosome 9, and cancers with FOCAD deletion are dependent on HBS1L for mRNA processing, thus protein synthesis. By degrading HBS1L and disrupting the HBS1L/PELO complex, TNG961 causes tumor regression in FOCAD-deleted preclinical models of multiple histologies.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Corporate History and Information</w:t>
      </w:r>
    </w:p>
    <w:p>
      <w:pPr>
        <w:spacing w:after="0" w:line="93"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Tango Therapeutics, Inc. was incorporated in Delaware on May 21, 2020 under the name BCTG Acquisition Corp. On April 13, 2021, BCTG Acquisition Corp., BCTG Merger Sub Inc. and Tango Therapeutics, Inc. (now known as Tango Therapeutics Sub, Inc.) signed a definitive merger agreement (the “Merger Agreement”). Tango Therapeutics, Inc., prior to August 10, 2021, is referred to herein as Old Tango. Pursuant to the Merger Agreement, the business combination (“Business Combination”) was approved on August 9, 2021 by shareholders of BCTG Acquisition Corp. (“BCTG”), resulting in BCTG acquiring 100% of Old Tango’s issued and outstanding equity securities on August 10, 2021. As a result of the Business Combination, Tango Therapeutics, Inc. was renamed Tango Therapeutics Sub, Inc. (and is sometimes referred to as Old Tango) and BCTG was renamed “Tango Therapeutics, Inc.”</w:t>
      </w:r>
    </w:p>
    <w:p>
      <w:pPr>
        <w:spacing w:after="0" w:line="147" w:lineRule="exact"/>
        <w:rPr>
          <w:sz w:val="20"/>
          <w:szCs w:val="20"/>
          <w:color w:val="auto"/>
        </w:rPr>
      </w:pPr>
    </w:p>
    <w:p>
      <w:pPr>
        <w:ind w:left="1360" w:right="319"/>
        <w:spacing w:after="0" w:line="266" w:lineRule="auto"/>
        <w:rPr>
          <w:sz w:val="20"/>
          <w:szCs w:val="20"/>
          <w:color w:val="auto"/>
        </w:rPr>
      </w:pPr>
      <w:r>
        <w:rPr>
          <w:rFonts w:ascii="Times New Roman" w:cs="Times New Roman" w:eastAsia="Times New Roman" w:hAnsi="Times New Roman"/>
          <w:sz w:val="14"/>
          <w:szCs w:val="14"/>
          <w:color w:val="auto"/>
        </w:rPr>
        <w:t>Our principal corporate office is located at 201 Brookline Avenue, Suite 901, Boston, MA 02215, and our telephone number is 857-320-4900. Our website address is https://tangotx.com. We do not incorporate the information on or accessible through our website into this prospectus, and you should not consider any information on, or that can be accessed through, our website as part of this prospectus.</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5"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We currently intend to use the net proceeds from the sale of any security under this prospectus primarily for general corporate purposes, including funding working capital, operating expenses and to fund the research and development of our product candidates, including manufacturing and clinical trial expenses. We may also use the proceeds to make acquisitions or investments in businesses, products or technologies that are complementary to our own, although we have no current plans, commitments or agreements with respect to any acquisitions as of the date of this prospectus. Pending these uses, we may invest the net proceeds from this offering in short-term U.S. Treasury securities or other securities in accordance with our investment policy,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9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5"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SECURITIES THAT MAY BE OFFERED</w:t>
      </w:r>
    </w:p>
    <w:p>
      <w:pPr>
        <w:spacing w:after="0" w:line="177"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 We may sell the securities to or through underwriters, dealers or agents, directly to purchasers or through a combination of any of these methods of sale or as otherwise set forth below under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5"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5" w:lineRule="exact"/>
        <w:rPr>
          <w:sz w:val="20"/>
          <w:szCs w:val="20"/>
          <w:color w:val="auto"/>
        </w:rPr>
      </w:pPr>
    </w:p>
    <w:p>
      <w:pPr>
        <w:ind w:left="1360" w:right="279"/>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description of our capital stock is intended as a summary only and therefore is not a complete description of our capital stock. This description is based upon, and is qualified by reference to, our certificate of incorporation, our bylaws, and applicable provisions of Delaware corporate law. You should read our certificate of incorporation and our bylaws, in each case, as amended and supplemented, which are filed as exhibits to the registration statement of which this prospectus forms a part, for the provisions that are important to you.</w:t>
      </w: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Authorized and Outstanding Stock</w:t>
      </w:r>
    </w:p>
    <w:p>
      <w:pPr>
        <w:spacing w:after="0" w:line="93" w:lineRule="exact"/>
        <w:rPr>
          <w:sz w:val="20"/>
          <w:szCs w:val="20"/>
          <w:color w:val="auto"/>
        </w:rPr>
      </w:pPr>
    </w:p>
    <w:p>
      <w:pPr>
        <w:ind w:left="1360" w:right="319"/>
        <w:spacing w:after="0" w:line="282" w:lineRule="auto"/>
        <w:rPr>
          <w:sz w:val="20"/>
          <w:szCs w:val="20"/>
          <w:color w:val="auto"/>
        </w:rPr>
      </w:pPr>
      <w:r>
        <w:rPr>
          <w:rFonts w:ascii="Times New Roman" w:cs="Times New Roman" w:eastAsia="Times New Roman" w:hAnsi="Times New Roman"/>
          <w:sz w:val="14"/>
          <w:szCs w:val="14"/>
          <w:color w:val="auto"/>
        </w:rPr>
        <w:t>Our certificate of incorporation authorizes the issuance of 410,000,000 shares, consisting of 400,000,000 shares of common stock, $0.001 par value per share, and 10,000,000 shares of preferred stock, $0.001 par value, all of which shares of preferred stock are undesignated.</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Our certificate of incorporation provides the following with respect to the rights, powers, preferences and privileges of the common stock.</w:t>
      </w:r>
    </w:p>
    <w:p>
      <w:pPr>
        <w:spacing w:after="0" w:line="173" w:lineRule="exact"/>
        <w:rPr>
          <w:sz w:val="20"/>
          <w:szCs w:val="20"/>
          <w:color w:val="auto"/>
        </w:rPr>
      </w:pPr>
    </w:p>
    <w:p>
      <w:pPr>
        <w:ind w:left="1360" w:right="47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Voting Power. </w:t>
      </w:r>
      <w:r>
        <w:rPr>
          <w:rFonts w:ascii="Times New Roman" w:cs="Times New Roman" w:eastAsia="Times New Roman" w:hAnsi="Times New Roman"/>
          <w:sz w:val="14"/>
          <w:szCs w:val="14"/>
          <w:color w:val="auto"/>
        </w:rPr>
        <w:t>Except as otherwise required by law or as otherwise provided in any certificate of designation for any series of preferred stock,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of common stock possess all voting power for the election of Tango’s directors and all other matters requiring stockholder action. Holders of common stock are entitled to one vote per share on matters to be voted on by stockholders.</w:t>
      </w:r>
    </w:p>
    <w:p>
      <w:pPr>
        <w:spacing w:after="0" w:line="133" w:lineRule="exact"/>
        <w:rPr>
          <w:sz w:val="20"/>
          <w:szCs w:val="20"/>
          <w:color w:val="auto"/>
        </w:rPr>
      </w:pPr>
    </w:p>
    <w:p>
      <w:pPr>
        <w:jc w:val="both"/>
        <w:ind w:left="1360" w:right="25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Dividends. </w:t>
      </w:r>
      <w:r>
        <w:rPr>
          <w:rFonts w:ascii="Times New Roman" w:cs="Times New Roman" w:eastAsia="Times New Roman" w:hAnsi="Times New Roman"/>
          <w:sz w:val="14"/>
          <w:szCs w:val="14"/>
          <w:color w:val="auto"/>
        </w:rPr>
        <w:t>Holders of common stock will be entitled to receive such dividends, if any, as may be declared from time to time by our board of directors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33" w:lineRule="exact"/>
        <w:rPr>
          <w:sz w:val="20"/>
          <w:szCs w:val="20"/>
          <w:color w:val="auto"/>
        </w:rPr>
      </w:pPr>
    </w:p>
    <w:p>
      <w:pPr>
        <w:jc w:val="both"/>
        <w:ind w:left="1360" w:right="27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Liquidation, Dissolution and Winding Up. </w:t>
      </w:r>
      <w:r>
        <w:rPr>
          <w:rFonts w:ascii="Times New Roman" w:cs="Times New Roman" w:eastAsia="Times New Roman" w:hAnsi="Times New Roman"/>
          <w:sz w:val="14"/>
          <w:szCs w:val="14"/>
          <w:color w:val="auto"/>
        </w:rPr>
        <w:t>In the event of Tango’s voluntary or involuntary liquidation, dissolution, distribution of assets or winding-up,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holders of the common stock will be entitled to receive an equal amount per share of all of Tango’s assets of whatever kind available for distribution to stockholders, after the rights of the holders of the preferred stock have been satisfied.</w:t>
      </w:r>
    </w:p>
    <w:p>
      <w:pPr>
        <w:spacing w:after="0" w:line="133" w:lineRule="exact"/>
        <w:rPr>
          <w:sz w:val="20"/>
          <w:szCs w:val="20"/>
          <w:color w:val="auto"/>
        </w:rPr>
      </w:pPr>
    </w:p>
    <w:p>
      <w:pPr>
        <w:ind w:left="1360" w:right="399"/>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Preemptive or Other Rights. </w:t>
      </w:r>
      <w:r>
        <w:rPr>
          <w:rFonts w:ascii="Times New Roman" w:cs="Times New Roman" w:eastAsia="Times New Roman" w:hAnsi="Times New Roman"/>
          <w:sz w:val="14"/>
          <w:szCs w:val="14"/>
          <w:color w:val="auto"/>
        </w:rPr>
        <w:t>Our common stock has no preemptive rights, conversion rights or other subscription rights or redemption or sinking fund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provisions.</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Listing of Securities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Our common stock is listed on the Nasdaq Global Market under the symbol “TNGX”.</w:t>
      </w:r>
    </w:p>
    <w:p>
      <w:pPr>
        <w:spacing w:after="0" w:line="25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Transfer Agent</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transfer agent for our common stock is Computershare Trust Company, N.A.</w:t>
      </w:r>
    </w:p>
    <w:p>
      <w:pPr>
        <w:spacing w:after="0" w:line="25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93"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5"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convertible preferred stock are outstanding, and we have no present plan to issue any shares of convertible preferred stock.</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93"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Certain of our stockholders (“Holders”) hold registration rights pursuant to an amended and restated registration and stockholder rights agreement (the “Amended and Restated Registration and Stockholder Rights Agreement”). Stockholders holding a majority-in-interest of such registrable securities are entitled to make a written demand for registration under the Securities Act of 1933, as amended (the “Securities Act”), of all or part of their registrable securities.</w:t>
      </w:r>
    </w:p>
    <w:p>
      <w:pPr>
        <w:spacing w:after="0" w:line="14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In particular, the Amended and Restated Registration and Stockholder Rights Agreement provides for the following registration rights:</w:t>
      </w:r>
    </w:p>
    <w:p>
      <w:pPr>
        <w:spacing w:after="0" w:line="100" w:lineRule="exact"/>
        <w:rPr>
          <w:sz w:val="20"/>
          <w:szCs w:val="20"/>
          <w:color w:val="auto"/>
        </w:rPr>
      </w:pPr>
    </w:p>
    <w:p>
      <w:pPr>
        <w:ind w:left="2120" w:right="279" w:hanging="341"/>
        <w:spacing w:after="0" w:line="257"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Shelf registration/demand registration rights</w:t>
      </w:r>
      <w:r>
        <w:rPr>
          <w:rFonts w:ascii="Times New Roman" w:cs="Times New Roman" w:eastAsia="Times New Roman" w:hAnsi="Times New Roman"/>
          <w:sz w:val="14"/>
          <w:szCs w:val="14"/>
          <w:color w:val="auto"/>
        </w:rPr>
        <w:t>. At any time and from time to time when an effective shelf registration statement is on file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w:t>
      </w:r>
    </w:p>
    <w:p>
      <w:pPr>
        <w:spacing w:after="0" w:line="68" w:lineRule="exact"/>
        <w:rPr>
          <w:rFonts w:ascii="Times New Roman" w:cs="Times New Roman" w:eastAsia="Times New Roman" w:hAnsi="Times New Roman"/>
          <w:sz w:val="14"/>
          <w:szCs w:val="14"/>
          <w:color w:val="auto"/>
        </w:rPr>
      </w:pPr>
    </w:p>
    <w:p>
      <w:pPr>
        <w:ind w:left="2120" w:right="459" w:hanging="341"/>
        <w:spacing w:after="0" w:line="262"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Piggyback registration rights</w:t>
      </w:r>
      <w:r>
        <w:rPr>
          <w:rFonts w:ascii="Times New Roman" w:cs="Times New Roman" w:eastAsia="Times New Roman" w:hAnsi="Times New Roman"/>
          <w:sz w:val="14"/>
          <w:szCs w:val="14"/>
          <w:color w:val="auto"/>
        </w:rPr>
        <w:t>. Subject to exceptions for certain offerings and registration statements, if at any time, we propose to file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registration statement under the Securities Act, in connection with an offering of our equity securities or securities or other obligations exercisable or exchangeable for, or convertible into, our equity securities, either for our own account or for the account of other stockholders, the Holders are entitled to include their registrable securities in such registration statement.</w:t>
      </w:r>
    </w:p>
    <w:p>
      <w:pPr>
        <w:spacing w:after="0" w:line="63" w:lineRule="exact"/>
        <w:rPr>
          <w:rFonts w:ascii="Times New Roman" w:cs="Times New Roman" w:eastAsia="Times New Roman" w:hAnsi="Times New Roman"/>
          <w:sz w:val="14"/>
          <w:szCs w:val="14"/>
          <w:color w:val="auto"/>
        </w:rPr>
      </w:pPr>
    </w:p>
    <w:p>
      <w:pPr>
        <w:ind w:left="2120" w:right="259" w:hanging="341"/>
        <w:spacing w:after="0" w:line="262"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Indemnification</w:t>
      </w:r>
      <w:r>
        <w:rPr>
          <w:rFonts w:ascii="Times New Roman" w:cs="Times New Roman" w:eastAsia="Times New Roman" w:hAnsi="Times New Roman"/>
          <w:sz w:val="14"/>
          <w:szCs w:val="14"/>
          <w:color w:val="auto"/>
        </w:rPr>
        <w:t>. The Amended and Restated Registration and Stockholder Rights Agreement contains customary cross-indemnification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Expiration of Registration Rights</w:t>
      </w:r>
    </w:p>
    <w:p>
      <w:pPr>
        <w:spacing w:after="0" w:line="93" w:lineRule="exact"/>
        <w:rPr>
          <w:sz w:val="20"/>
          <w:szCs w:val="20"/>
          <w:color w:val="auto"/>
        </w:rPr>
      </w:pPr>
    </w:p>
    <w:p>
      <w:pPr>
        <w:ind w:left="1360" w:right="359"/>
        <w:spacing w:after="0" w:line="266" w:lineRule="auto"/>
        <w:rPr>
          <w:sz w:val="20"/>
          <w:szCs w:val="20"/>
          <w:color w:val="auto"/>
        </w:rPr>
      </w:pPr>
      <w:r>
        <w:rPr>
          <w:rFonts w:ascii="Times New Roman" w:cs="Times New Roman" w:eastAsia="Times New Roman" w:hAnsi="Times New Roman"/>
          <w:sz w:val="14"/>
          <w:szCs w:val="14"/>
          <w:color w:val="auto"/>
        </w:rPr>
        <w:t>The registration rights granted under the Amended and Restated Registration and Stockholder Rights Agreement will terminate on the earlier of (i) the 10th anniversary of the date of the agreement and (ii) with respect to any Holder, on the date that such Holder no longer holds any Registrable Securities.</w:t>
      </w:r>
    </w:p>
    <w:p>
      <w:pPr>
        <w:spacing w:after="0" w:line="219" w:lineRule="exact"/>
        <w:rPr>
          <w:sz w:val="20"/>
          <w:szCs w:val="20"/>
          <w:color w:val="auto"/>
        </w:rPr>
      </w:pPr>
    </w:p>
    <w:p>
      <w:pPr>
        <w:ind w:left="1360" w:right="3499"/>
        <w:spacing w:after="0" w:line="377" w:lineRule="auto"/>
        <w:rPr>
          <w:sz w:val="20"/>
          <w:szCs w:val="20"/>
          <w:color w:val="auto"/>
        </w:rPr>
      </w:pPr>
      <w:r>
        <w:rPr>
          <w:rFonts w:ascii="Times New Roman" w:cs="Times New Roman" w:eastAsia="Times New Roman" w:hAnsi="Times New Roman"/>
          <w:sz w:val="14"/>
          <w:szCs w:val="14"/>
          <w:b w:val="1"/>
          <w:bCs w:val="1"/>
          <w:color w:val="auto"/>
        </w:rPr>
        <w:t xml:space="preserve">Anti-Takeover Effects of our Certificate of Incorporation and Bylaws and Delaware Law </w:t>
      </w:r>
      <w:r>
        <w:rPr>
          <w:rFonts w:ascii="Times New Roman" w:cs="Times New Roman" w:eastAsia="Times New Roman" w:hAnsi="Times New Roman"/>
          <w:sz w:val="14"/>
          <w:szCs w:val="14"/>
          <w:b w:val="1"/>
          <w:bCs w:val="1"/>
          <w:i w:val="1"/>
          <w:iCs w:val="1"/>
          <w:color w:val="auto"/>
        </w:rPr>
        <w:t>Certificate of Incorporation and Bylaws</w:t>
      </w:r>
    </w:p>
    <w:p>
      <w:pPr>
        <w:ind w:left="1360" w:right="419"/>
        <w:spacing w:after="0" w:line="282" w:lineRule="auto"/>
        <w:rPr>
          <w:sz w:val="20"/>
          <w:szCs w:val="20"/>
          <w:color w:val="auto"/>
        </w:rPr>
      </w:pPr>
      <w:r>
        <w:rPr>
          <w:rFonts w:ascii="Times New Roman" w:cs="Times New Roman" w:eastAsia="Times New Roman" w:hAnsi="Times New Roman"/>
          <w:sz w:val="14"/>
          <w:szCs w:val="14"/>
          <w:color w:val="auto"/>
        </w:rPr>
        <w:t>Our certificate of incorporation and bylaws include a number of provisions that may have the effect of delaying, deferring or preventing another party from acquiring control of us and encouraging persons considering</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5"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659"/>
        <w:spacing w:after="0" w:line="282" w:lineRule="auto"/>
        <w:rPr>
          <w:sz w:val="20"/>
          <w:szCs w:val="20"/>
          <w:color w:val="auto"/>
        </w:rPr>
      </w:pPr>
      <w:r>
        <w:rPr>
          <w:rFonts w:ascii="Times New Roman" w:cs="Times New Roman" w:eastAsia="Times New Roman" w:hAnsi="Times New Roman"/>
          <w:sz w:val="14"/>
          <w:szCs w:val="14"/>
          <w:color w:val="auto"/>
        </w:rPr>
        <w:t>unsolicited tender offers or other unilateral takeover proposals to negotiate with our board of directors rather than pursue non-negotiated takeover attempts. These provisions include the items described below:</w:t>
      </w:r>
    </w:p>
    <w:p>
      <w:pPr>
        <w:spacing w:after="0" w:line="52" w:lineRule="exact"/>
        <w:rPr>
          <w:sz w:val="20"/>
          <w:szCs w:val="20"/>
          <w:color w:val="auto"/>
        </w:rPr>
      </w:pPr>
    </w:p>
    <w:p>
      <w:pPr>
        <w:ind w:left="2120" w:right="419" w:hanging="341"/>
        <w:spacing w:after="0" w:line="282"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52"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the authorized number of directors may be changed only by resolution of our board of directors;</w:t>
      </w:r>
    </w:p>
    <w:p>
      <w:pPr>
        <w:spacing w:after="0" w:line="101" w:lineRule="exact"/>
        <w:rPr>
          <w:rFonts w:ascii="Times New Roman" w:cs="Times New Roman" w:eastAsia="Times New Roman" w:hAnsi="Times New Roman"/>
          <w:sz w:val="14"/>
          <w:szCs w:val="14"/>
          <w:color w:val="auto"/>
        </w:rPr>
      </w:pPr>
    </w:p>
    <w:p>
      <w:pPr>
        <w:jc w:val="both"/>
        <w:ind w:left="2120" w:right="619" w:hanging="341"/>
        <w:spacing w:after="0" w:line="266"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subject to the rights of any series of preferred stock to elect directors, directors may be removed only with cause by the holders of at least two thirds (2/3) of all of our then-outstanding shares of the capital stock entitled to vote generally at an election of directors;</w:t>
      </w:r>
    </w:p>
    <w:p>
      <w:pPr>
        <w:spacing w:after="0" w:line="63" w:lineRule="exact"/>
        <w:rPr>
          <w:rFonts w:ascii="Times New Roman" w:cs="Times New Roman" w:eastAsia="Times New Roman" w:hAnsi="Times New Roman"/>
          <w:sz w:val="14"/>
          <w:szCs w:val="14"/>
          <w:color w:val="auto"/>
        </w:rPr>
      </w:pPr>
    </w:p>
    <w:p>
      <w:pPr>
        <w:ind w:left="2120" w:right="299" w:hanging="341"/>
        <w:spacing w:after="0" w:line="258"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 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69" w:lineRule="exact"/>
        <w:rPr>
          <w:rFonts w:ascii="Times New Roman" w:cs="Times New Roman" w:eastAsia="Times New Roman" w:hAnsi="Times New Roman"/>
          <w:sz w:val="14"/>
          <w:szCs w:val="14"/>
          <w:color w:val="auto"/>
        </w:rPr>
      </w:pPr>
    </w:p>
    <w:p>
      <w:pPr>
        <w:ind w:left="2120" w:right="279" w:hanging="341"/>
        <w:spacing w:after="0" w:line="282"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special meetings of our stockholders may be called by our board of directors pursuant to a resolution adopted by a majority of the directors then in office;</w:t>
      </w:r>
    </w:p>
    <w:p>
      <w:pPr>
        <w:spacing w:after="0" w:line="52" w:lineRule="exact"/>
        <w:rPr>
          <w:rFonts w:ascii="Times New Roman" w:cs="Times New Roman" w:eastAsia="Times New Roman" w:hAnsi="Times New Roman"/>
          <w:sz w:val="14"/>
          <w:szCs w:val="14"/>
          <w:color w:val="auto"/>
        </w:rPr>
      </w:pPr>
    </w:p>
    <w:p>
      <w:pPr>
        <w:ind w:left="2120" w:right="319" w:hanging="341"/>
        <w:spacing w:after="0" w:line="282"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board of directors will be divided into three classes of directors, and with the directors serving three-year terms, therefore making it more difficult for stockholders to change the composition of our board of directors;</w:t>
      </w:r>
    </w:p>
    <w:p>
      <w:pPr>
        <w:spacing w:after="0" w:line="52" w:lineRule="exact"/>
        <w:rPr>
          <w:rFonts w:ascii="Times New Roman" w:cs="Times New Roman" w:eastAsia="Times New Roman" w:hAnsi="Times New Roman"/>
          <w:sz w:val="14"/>
          <w:szCs w:val="14"/>
          <w:color w:val="auto"/>
        </w:rPr>
      </w:pPr>
    </w:p>
    <w:p>
      <w:pPr>
        <w:ind w:left="2120" w:right="239" w:hanging="341"/>
        <w:spacing w:after="0" w:line="255"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and</w:t>
      </w:r>
    </w:p>
    <w:p>
      <w:pPr>
        <w:spacing w:after="0" w:line="70" w:lineRule="exact"/>
        <w:rPr>
          <w:rFonts w:ascii="Times New Roman" w:cs="Times New Roman" w:eastAsia="Times New Roman" w:hAnsi="Times New Roman"/>
          <w:sz w:val="14"/>
          <w:szCs w:val="14"/>
          <w:color w:val="auto"/>
        </w:rPr>
      </w:pPr>
    </w:p>
    <w:p>
      <w:pPr>
        <w:ind w:left="2120" w:right="279" w:hanging="341"/>
        <w:spacing w:after="0" w:line="282"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Delaware Anti-Takeover Law</w:t>
      </w:r>
    </w:p>
    <w:p>
      <w:pPr>
        <w:spacing w:after="0" w:line="93" w:lineRule="exact"/>
        <w:rPr>
          <w:sz w:val="20"/>
          <w:szCs w:val="20"/>
          <w:color w:val="auto"/>
        </w:rPr>
      </w:pPr>
    </w:p>
    <w:p>
      <w:pPr>
        <w:ind w:left="1360" w:right="399"/>
        <w:spacing w:after="0" w:line="266" w:lineRule="auto"/>
        <w:rPr>
          <w:sz w:val="20"/>
          <w:szCs w:val="20"/>
          <w:color w:val="auto"/>
        </w:rPr>
      </w:pPr>
      <w:r>
        <w:rPr>
          <w:rFonts w:ascii="Times New Roman" w:cs="Times New Roman" w:eastAsia="Times New Roman" w:hAnsi="Times New Roman"/>
          <w:sz w:val="14"/>
          <w:szCs w:val="14"/>
          <w:color w:val="auto"/>
        </w:rPr>
        <w:t>Tango has opted out of Section 203 of the Delaware General Corporation Law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2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Exclusive Jurisdiction of Certain Actions</w:t>
      </w:r>
    </w:p>
    <w:p>
      <w:pPr>
        <w:spacing w:after="0" w:line="93" w:lineRule="exact"/>
        <w:rPr>
          <w:sz w:val="20"/>
          <w:szCs w:val="20"/>
          <w:color w:val="auto"/>
        </w:rPr>
      </w:pPr>
    </w:p>
    <w:p>
      <w:pPr>
        <w:jc w:val="both"/>
        <w:ind w:left="1360" w:right="419"/>
        <w:spacing w:after="0" w:line="296" w:lineRule="auto"/>
        <w:rPr>
          <w:sz w:val="20"/>
          <w:szCs w:val="20"/>
          <w:color w:val="auto"/>
        </w:rPr>
      </w:pPr>
      <w:r>
        <w:rPr>
          <w:rFonts w:ascii="Times New Roman" w:cs="Times New Roman" w:eastAsia="Times New Roman" w:hAnsi="Times New Roman"/>
          <w:sz w:val="13"/>
          <w:szCs w:val="13"/>
          <w:color w:val="auto"/>
        </w:rPr>
        <w:t>Our bylaws require, to the fullest extent permitted by law, unless we consent in writing to the selection of an alternative forum, that derivative actions brought in the name of Tango, actions against any current or former directors, officers and employees for breach of fiduciary duty, actions asserting a claim arising pursuant to any provision of the DGCL or our certificate of incorporation or our bylaws, actions to interpret, apply, enforce or</w:t>
      </w:r>
    </w:p>
    <w:p>
      <w:pPr>
        <w:spacing w:after="0" w:line="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5"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determine the validity of our certificate of incorporation or our bylaws and actions asserting a claim governed by the internal affairs doctrine may be brought only in the Court of Chancery in the State of Delaware (the “Delaware Forum Provision”). The Delaware Forum Provision will not apply to any causes of action arising under the Securities Act and the Securities Exchange Act of 1934.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 Any person or entity purchasing or otherwise acquiring any interest in shares of capital stock of Tango shall be deemed to have notice of and consented to this choice of forum provision.</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5"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7"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43"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43" w:lineRule="exact"/>
        <w:rPr>
          <w:sz w:val="20"/>
          <w:szCs w:val="20"/>
          <w:color w:val="auto"/>
        </w:rPr>
      </w:pPr>
    </w:p>
    <w:p>
      <w:pPr>
        <w:jc w:val="both"/>
        <w:ind w:left="1360" w:right="259"/>
        <w:spacing w:after="0" w:line="261" w:lineRule="auto"/>
        <w:rPr>
          <w:sz w:val="20"/>
          <w:szCs w:val="20"/>
          <w:color w:val="auto"/>
        </w:rPr>
      </w:pPr>
      <w:r>
        <w:rPr>
          <w:rFonts w:ascii="Times New Roman" w:cs="Times New Roman" w:eastAsia="Times New Roman" w:hAnsi="Times New Roman"/>
          <w:sz w:val="14"/>
          <w:szCs w:val="14"/>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40"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debt securities being offered, including:</w:t>
      </w:r>
    </w:p>
    <w:p>
      <w:pPr>
        <w:spacing w:after="0" w:line="102" w:lineRule="exact"/>
        <w:rPr>
          <w:sz w:val="20"/>
          <w:szCs w:val="20"/>
          <w:color w:val="auto"/>
        </w:rPr>
      </w:pPr>
    </w:p>
    <w:p>
      <w:pPr>
        <w:ind w:left="2120" w:hanging="341"/>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debt securities;</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that may be issued;</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or dates;</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debt securities of the series;</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101" w:lineRule="exact"/>
        <w:rPr>
          <w:rFonts w:ascii="Times New Roman" w:cs="Times New Roman" w:eastAsia="Times New Roman" w:hAnsi="Times New Roman"/>
          <w:sz w:val="14"/>
          <w:szCs w:val="14"/>
          <w:color w:val="auto"/>
        </w:rPr>
      </w:pPr>
    </w:p>
    <w:p>
      <w:pPr>
        <w:ind w:left="2120" w:right="419" w:hanging="341"/>
        <w:spacing w:after="0" w:line="282" w:lineRule="auto"/>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rank as senior debt, senior subordinated debt, subordinated debt or any combination thereof, and the terms of any subordination;</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5"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right="339" w:hanging="341"/>
        <w:spacing w:after="0" w:line="261"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66" w:lineRule="exact"/>
        <w:rPr>
          <w:rFonts w:ascii="Times New Roman" w:cs="Times New Roman" w:eastAsia="Times New Roman" w:hAnsi="Times New Roman"/>
          <w:sz w:val="14"/>
          <w:szCs w:val="14"/>
          <w:color w:val="auto"/>
        </w:rPr>
      </w:pPr>
    </w:p>
    <w:p>
      <w:pPr>
        <w:ind w:left="2120" w:right="379" w:hanging="341"/>
        <w:spacing w:after="0" w:line="323" w:lineRule="auto"/>
        <w:tabs>
          <w:tab w:leader="none" w:pos="21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28" w:lineRule="exact"/>
        <w:rPr>
          <w:rFonts w:ascii="Times New Roman" w:cs="Times New Roman" w:eastAsia="Times New Roman" w:hAnsi="Times New Roman"/>
          <w:sz w:val="13"/>
          <w:szCs w:val="13"/>
          <w:color w:val="auto"/>
        </w:rPr>
      </w:pPr>
    </w:p>
    <w:p>
      <w:pPr>
        <w:ind w:left="2120" w:hanging="341"/>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101" w:lineRule="exact"/>
        <w:rPr>
          <w:rFonts w:ascii="Times New Roman" w:cs="Times New Roman" w:eastAsia="Times New Roman" w:hAnsi="Times New Roman"/>
          <w:sz w:val="14"/>
          <w:szCs w:val="14"/>
          <w:color w:val="auto"/>
        </w:rPr>
      </w:pPr>
    </w:p>
    <w:p>
      <w:pPr>
        <w:ind w:left="2120" w:right="379" w:hanging="341"/>
        <w:spacing w:after="0" w:line="266"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63" w:lineRule="exact"/>
        <w:rPr>
          <w:rFonts w:ascii="Times New Roman" w:cs="Times New Roman" w:eastAsia="Times New Roman" w:hAnsi="Times New Roman"/>
          <w:sz w:val="14"/>
          <w:szCs w:val="14"/>
          <w:color w:val="auto"/>
        </w:rPr>
      </w:pPr>
    </w:p>
    <w:p>
      <w:pPr>
        <w:ind w:left="2120" w:right="239" w:hanging="341"/>
        <w:spacing w:after="0" w:line="266"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63" w:lineRule="exact"/>
        <w:rPr>
          <w:rFonts w:ascii="Times New Roman" w:cs="Times New Roman" w:eastAsia="Times New Roman" w:hAnsi="Times New Roman"/>
          <w:sz w:val="14"/>
          <w:szCs w:val="14"/>
          <w:color w:val="auto"/>
        </w:rPr>
      </w:pPr>
    </w:p>
    <w:p>
      <w:pPr>
        <w:ind w:left="2120" w:right="559" w:hanging="341"/>
        <w:spacing w:after="0" w:line="282"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series of debt securities, if other than denominations of $1,000 and any integral multiple thereof;</w:t>
      </w:r>
    </w:p>
    <w:p>
      <w:pPr>
        <w:spacing w:after="0" w:line="52" w:lineRule="exact"/>
        <w:rPr>
          <w:rFonts w:ascii="Times New Roman" w:cs="Times New Roman" w:eastAsia="Times New Roman" w:hAnsi="Times New Roman"/>
          <w:sz w:val="14"/>
          <w:szCs w:val="14"/>
          <w:color w:val="auto"/>
        </w:rPr>
      </w:pPr>
    </w:p>
    <w:p>
      <w:pPr>
        <w:ind w:left="2120" w:right="599" w:hanging="341"/>
        <w:spacing w:after="0" w:line="266"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63" w:lineRule="exact"/>
        <w:rPr>
          <w:rFonts w:ascii="Times New Roman" w:cs="Times New Roman" w:eastAsia="Times New Roman" w:hAnsi="Times New Roman"/>
          <w:sz w:val="14"/>
          <w:szCs w:val="14"/>
          <w:color w:val="auto"/>
        </w:rPr>
      </w:pPr>
    </w:p>
    <w:p>
      <w:pPr>
        <w:ind w:left="2120" w:right="379" w:hanging="341"/>
        <w:spacing w:after="0" w:line="266"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63" w:lineRule="exact"/>
        <w:rPr>
          <w:rFonts w:ascii="Times New Roman" w:cs="Times New Roman" w:eastAsia="Times New Roman" w:hAnsi="Times New Roman"/>
          <w:sz w:val="14"/>
          <w:szCs w:val="14"/>
          <w:color w:val="auto"/>
        </w:rPr>
      </w:pPr>
    </w:p>
    <w:p>
      <w:pPr>
        <w:ind w:left="2120" w:right="239" w:hanging="341"/>
        <w:spacing w:after="0" w:line="261"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66" w:lineRule="exact"/>
        <w:rPr>
          <w:rFonts w:ascii="Times New Roman" w:cs="Times New Roman" w:eastAsia="Times New Roman" w:hAnsi="Times New Roman"/>
          <w:sz w:val="14"/>
          <w:szCs w:val="14"/>
          <w:color w:val="auto"/>
        </w:rPr>
      </w:pPr>
    </w:p>
    <w:p>
      <w:pPr>
        <w:ind w:left="2120" w:right="459" w:hanging="341"/>
        <w:spacing w:after="0" w:line="282"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full principal amount thereof, the portion of the principal amount of debt securities of the series which shall be payable upon declaration of acceleration of the maturity thereof;</w:t>
      </w:r>
    </w:p>
    <w:p>
      <w:pPr>
        <w:spacing w:after="0" w:line="52" w:lineRule="exact"/>
        <w:rPr>
          <w:rFonts w:ascii="Times New Roman" w:cs="Times New Roman" w:eastAsia="Times New Roman" w:hAnsi="Times New Roman"/>
          <w:sz w:val="14"/>
          <w:szCs w:val="14"/>
          <w:color w:val="auto"/>
        </w:rPr>
      </w:pPr>
    </w:p>
    <w:p>
      <w:pPr>
        <w:ind w:left="2120" w:right="1039" w:hanging="341"/>
        <w:spacing w:after="0" w:line="282"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covenants applicable to the particular debt securities being issued, including, among others, the consolidation, merger or sale covenant;</w:t>
      </w:r>
    </w:p>
    <w:p>
      <w:pPr>
        <w:spacing w:after="0" w:line="52" w:lineRule="exact"/>
        <w:rPr>
          <w:rFonts w:ascii="Times New Roman" w:cs="Times New Roman" w:eastAsia="Times New Roman" w:hAnsi="Times New Roman"/>
          <w:sz w:val="14"/>
          <w:szCs w:val="14"/>
          <w:color w:val="auto"/>
        </w:rPr>
      </w:pPr>
    </w:p>
    <w:p>
      <w:pPr>
        <w:ind w:left="2120" w:right="539" w:hanging="341"/>
        <w:spacing w:after="0" w:line="282"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52"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satisfaction and discharge of the indenture;</w:t>
      </w:r>
    </w:p>
    <w:p>
      <w:pPr>
        <w:spacing w:after="0" w:line="101" w:lineRule="exact"/>
        <w:rPr>
          <w:rFonts w:ascii="Times New Roman" w:cs="Times New Roman" w:eastAsia="Times New Roman" w:hAnsi="Times New Roman"/>
          <w:sz w:val="14"/>
          <w:szCs w:val="14"/>
          <w:color w:val="auto"/>
        </w:rPr>
      </w:pPr>
    </w:p>
    <w:p>
      <w:pPr>
        <w:ind w:left="2120" w:right="339" w:hanging="341"/>
        <w:spacing w:after="0" w:line="282"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the modification of the indenture both with and without the consent of holders of debt securities issued under the indenture;</w:t>
      </w:r>
    </w:p>
    <w:p>
      <w:pPr>
        <w:spacing w:after="0" w:line="52" w:lineRule="exact"/>
        <w:rPr>
          <w:rFonts w:ascii="Times New Roman" w:cs="Times New Roman" w:eastAsia="Times New Roman" w:hAnsi="Times New Roman"/>
          <w:sz w:val="14"/>
          <w:szCs w:val="14"/>
          <w:color w:val="auto"/>
        </w:rPr>
      </w:pPr>
    </w:p>
    <w:p>
      <w:pPr>
        <w:ind w:left="5580" w:right="339" w:hanging="3801"/>
        <w:spacing w:after="0" w:line="455" w:lineRule="auto"/>
        <w:tabs>
          <w:tab w:leader="none" w:pos="2121"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payment of debt securities if other than U.S. dollars and the manner of determining the equivalent amount in U.S. dollars; 16</w:t>
      </w:r>
    </w:p>
    <w:p>
      <w:pPr>
        <w:sectPr>
          <w:pgSz w:w="11900" w:h="16838" w:orient="portrait"/>
          <w:cols w:equalWidth="0" w:num="1">
            <w:col w:w="10159"/>
          </w:cols>
          <w:pgMar w:left="300" w:top="385"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right="299" w:hanging="341"/>
        <w:spacing w:after="0" w:line="282" w:lineRule="auto"/>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 will be payable in cash or additional debt securities at our or the holders’ option and the terms and conditions upon which the election may be made;</w:t>
      </w:r>
    </w:p>
    <w:p>
      <w:pPr>
        <w:spacing w:after="0" w:line="52" w:lineRule="exact"/>
        <w:rPr>
          <w:rFonts w:ascii="Times New Roman" w:cs="Times New Roman" w:eastAsia="Times New Roman" w:hAnsi="Times New Roman"/>
          <w:sz w:val="14"/>
          <w:szCs w:val="14"/>
          <w:color w:val="auto"/>
        </w:rPr>
      </w:pPr>
    </w:p>
    <w:p>
      <w:pPr>
        <w:ind w:left="2120" w:right="319" w:hanging="341"/>
        <w:spacing w:after="0" w:line="282" w:lineRule="auto"/>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52"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debt securities of the series; and</w:t>
      </w:r>
    </w:p>
    <w:p>
      <w:pPr>
        <w:spacing w:after="0" w:line="101" w:lineRule="exact"/>
        <w:rPr>
          <w:rFonts w:ascii="Times New Roman" w:cs="Times New Roman" w:eastAsia="Times New Roman" w:hAnsi="Times New Roman"/>
          <w:sz w:val="14"/>
          <w:szCs w:val="14"/>
          <w:color w:val="auto"/>
        </w:rPr>
      </w:pPr>
    </w:p>
    <w:p>
      <w:pPr>
        <w:ind w:left="2120" w:right="439" w:hanging="341"/>
        <w:spacing w:after="0" w:line="282" w:lineRule="auto"/>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93" w:lineRule="exact"/>
        <w:rPr>
          <w:sz w:val="20"/>
          <w:szCs w:val="20"/>
          <w:color w:val="auto"/>
        </w:rPr>
      </w:pPr>
    </w:p>
    <w:p>
      <w:pPr>
        <w:jc w:val="both"/>
        <w:ind w:left="1360" w:right="319"/>
        <w:spacing w:after="0" w:line="261" w:lineRule="auto"/>
        <w:rPr>
          <w:sz w:val="20"/>
          <w:szCs w:val="20"/>
          <w:color w:val="auto"/>
        </w:rPr>
      </w:pPr>
      <w:r>
        <w:rPr>
          <w:rFonts w:ascii="Times New Roman" w:cs="Times New Roman" w:eastAsia="Times New Roman" w:hAnsi="Times New Roman"/>
          <w:sz w:val="14"/>
          <w:szCs w:val="14"/>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9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any subsidiary of ours) must assume all of our obligations under the indenture or the debt securities, as appropriate.</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Events of Default under the Indenture</w:t>
      </w:r>
    </w:p>
    <w:p>
      <w:pPr>
        <w:spacing w:after="0" w:line="93" w:lineRule="exact"/>
        <w:rPr>
          <w:sz w:val="20"/>
          <w:szCs w:val="20"/>
          <w:color w:val="auto"/>
        </w:rPr>
      </w:pPr>
    </w:p>
    <w:p>
      <w:pPr>
        <w:ind w:left="1360" w:right="399"/>
        <w:spacing w:after="0" w:line="282"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52" w:lineRule="exact"/>
        <w:rPr>
          <w:sz w:val="20"/>
          <w:szCs w:val="20"/>
          <w:color w:val="auto"/>
        </w:rPr>
      </w:pPr>
    </w:p>
    <w:p>
      <w:pPr>
        <w:jc w:val="both"/>
        <w:ind w:left="2120" w:right="299" w:hanging="341"/>
        <w:spacing w:after="0" w:line="266"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63" w:lineRule="exact"/>
        <w:rPr>
          <w:rFonts w:ascii="Times New Roman" w:cs="Times New Roman" w:eastAsia="Times New Roman" w:hAnsi="Times New Roman"/>
          <w:sz w:val="14"/>
          <w:szCs w:val="14"/>
          <w:color w:val="auto"/>
        </w:rPr>
      </w:pPr>
    </w:p>
    <w:p>
      <w:pPr>
        <w:ind w:left="2120" w:right="299" w:hanging="341"/>
        <w:spacing w:after="0" w:line="261"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66" w:lineRule="exact"/>
        <w:rPr>
          <w:rFonts w:ascii="Times New Roman" w:cs="Times New Roman" w:eastAsia="Times New Roman" w:hAnsi="Times New Roman"/>
          <w:sz w:val="14"/>
          <w:szCs w:val="14"/>
          <w:color w:val="auto"/>
        </w:rPr>
      </w:pPr>
    </w:p>
    <w:p>
      <w:pPr>
        <w:ind w:left="2120" w:right="239" w:hanging="341"/>
        <w:spacing w:after="0" w:line="261"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66"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specified events of bankruptcy, insolvency or reorganization occur.</w:t>
      </w:r>
    </w:p>
    <w:p>
      <w:pPr>
        <w:spacing w:after="0" w:line="175" w:lineRule="exact"/>
        <w:rPr>
          <w:sz w:val="20"/>
          <w:szCs w:val="20"/>
          <w:color w:val="auto"/>
        </w:rPr>
      </w:pPr>
    </w:p>
    <w:p>
      <w:pPr>
        <w:ind w:left="1360" w:right="279"/>
        <w:spacing w:after="0" w:line="282"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occurs and is continuing, other than an event of default specified in the last bullet point above, the trustee or the holders of at least 25% in aggregate principal</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5"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99"/>
        <w:spacing w:after="0" w:line="261" w:lineRule="auto"/>
        <w:rPr>
          <w:sz w:val="20"/>
          <w:szCs w:val="20"/>
          <w:color w:val="auto"/>
        </w:rPr>
      </w:pPr>
      <w:r>
        <w:rPr>
          <w:rFonts w:ascii="Times New Roman" w:cs="Times New Roman" w:eastAsia="Times New Roman" w:hAnsi="Times New Roman"/>
          <w:sz w:val="14"/>
          <w:szCs w:val="14"/>
          <w:color w:val="auto"/>
        </w:rPr>
        <w:t>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40" w:lineRule="exact"/>
        <w:rPr>
          <w:sz w:val="20"/>
          <w:szCs w:val="20"/>
          <w:color w:val="auto"/>
        </w:rPr>
      </w:pPr>
    </w:p>
    <w:p>
      <w:pPr>
        <w:ind w:left="1360" w:right="479"/>
        <w:spacing w:after="0" w:line="266"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37"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69" w:lineRule="exact"/>
        <w:rPr>
          <w:sz w:val="20"/>
          <w:szCs w:val="20"/>
          <w:color w:val="auto"/>
        </w:rPr>
      </w:pPr>
    </w:p>
    <w:p>
      <w:pPr>
        <w:ind w:left="2120" w:hanging="341"/>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so given by the holder is not in conflict with any law or the applicable indenture; and</w:t>
      </w:r>
    </w:p>
    <w:p>
      <w:pPr>
        <w:spacing w:after="0" w:line="101" w:lineRule="exact"/>
        <w:rPr>
          <w:rFonts w:ascii="Times New Roman" w:cs="Times New Roman" w:eastAsia="Times New Roman" w:hAnsi="Times New Roman"/>
          <w:sz w:val="14"/>
          <w:szCs w:val="14"/>
          <w:color w:val="auto"/>
        </w:rPr>
      </w:pPr>
    </w:p>
    <w:p>
      <w:pPr>
        <w:ind w:left="2120" w:right="259" w:hanging="341"/>
        <w:spacing w:after="0" w:line="282"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duties under the Trust Indenture Act, the trustee need not take any action that might involve it in personal liability or might be unduly prejudicial to the holders not involved in the proceeding.</w:t>
      </w:r>
    </w:p>
    <w:p>
      <w:pPr>
        <w:spacing w:after="0" w:line="126" w:lineRule="exact"/>
        <w:rPr>
          <w:sz w:val="20"/>
          <w:szCs w:val="20"/>
          <w:color w:val="auto"/>
        </w:rPr>
      </w:pPr>
    </w:p>
    <w:p>
      <w:pPr>
        <w:ind w:left="1360" w:right="299"/>
        <w:spacing w:after="0" w:line="282" w:lineRule="auto"/>
        <w:rPr>
          <w:sz w:val="20"/>
          <w:szCs w:val="20"/>
          <w:color w:val="auto"/>
        </w:rPr>
      </w:pPr>
      <w:r>
        <w:rPr>
          <w:rFonts w:ascii="Times New Roman" w:cs="Times New Roman" w:eastAsia="Times New Roman" w:hAnsi="Times New Roman"/>
          <w:sz w:val="14"/>
          <w:szCs w:val="14"/>
          <w:color w:val="auto"/>
        </w:rPr>
        <w:t>A holder of the debt securities of any series will have the right to institute a proceeding under the indenture or to appoint a receiver or trustee, or to seek other remedies only if:</w:t>
      </w:r>
    </w:p>
    <w:p>
      <w:pPr>
        <w:spacing w:after="0" w:line="52" w:lineRule="exact"/>
        <w:rPr>
          <w:sz w:val="20"/>
          <w:szCs w:val="20"/>
          <w:color w:val="auto"/>
        </w:rPr>
      </w:pPr>
    </w:p>
    <w:p>
      <w:pPr>
        <w:ind w:left="2120" w:hanging="341"/>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has given written notice to the trustee of a continuing event of default with respect to that series;</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of that series have made written request;</w:t>
      </w:r>
    </w:p>
    <w:p>
      <w:pPr>
        <w:spacing w:after="0" w:line="101" w:lineRule="exact"/>
        <w:rPr>
          <w:rFonts w:ascii="Times New Roman" w:cs="Times New Roman" w:eastAsia="Times New Roman" w:hAnsi="Times New Roman"/>
          <w:sz w:val="14"/>
          <w:szCs w:val="14"/>
          <w:color w:val="auto"/>
        </w:rPr>
      </w:pPr>
    </w:p>
    <w:p>
      <w:pPr>
        <w:ind w:left="2120" w:right="239" w:hanging="341"/>
        <w:spacing w:after="0" w:line="282" w:lineRule="auto"/>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holders have offered to the trustee indemnity satisfactory to it against the costs, expenses and liabilities to be incurred by the trustee in compliance with the request; and</w:t>
      </w:r>
    </w:p>
    <w:p>
      <w:pPr>
        <w:spacing w:after="0" w:line="52" w:lineRule="exact"/>
        <w:rPr>
          <w:rFonts w:ascii="Times New Roman" w:cs="Times New Roman" w:eastAsia="Times New Roman" w:hAnsi="Times New Roman"/>
          <w:sz w:val="14"/>
          <w:szCs w:val="14"/>
          <w:color w:val="auto"/>
        </w:rPr>
      </w:pPr>
    </w:p>
    <w:p>
      <w:pPr>
        <w:ind w:left="2120" w:right="599" w:hanging="341"/>
        <w:spacing w:after="0" w:line="282" w:lineRule="auto"/>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26" w:lineRule="exact"/>
        <w:rPr>
          <w:sz w:val="20"/>
          <w:szCs w:val="20"/>
          <w:color w:val="auto"/>
        </w:rPr>
      </w:pPr>
    </w:p>
    <w:p>
      <w:pPr>
        <w:ind w:left="1360" w:right="319"/>
        <w:spacing w:after="0" w:line="282" w:lineRule="auto"/>
        <w:rPr>
          <w:sz w:val="20"/>
          <w:szCs w:val="20"/>
          <w:color w:val="auto"/>
        </w:rPr>
      </w:pPr>
      <w:r>
        <w:rPr>
          <w:rFonts w:ascii="Times New Roman" w:cs="Times New Roman" w:eastAsia="Times New Roman" w:hAnsi="Times New Roman"/>
          <w:sz w:val="14"/>
          <w:szCs w:val="14"/>
          <w:color w:val="auto"/>
        </w:rPr>
        <w:t>These limitations do not apply to a suit instituted by a holder of debt securities if we default in the payment of the principal, premium, if any, or interest on, the debt securities.</w:t>
      </w:r>
    </w:p>
    <w:p>
      <w:pPr>
        <w:spacing w:after="0" w:line="1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will periodically file statements with the trustee regarding our compliance with specified covenants in the indenture.</w:t>
      </w:r>
    </w:p>
    <w:p>
      <w:pPr>
        <w:spacing w:after="0" w:line="25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and the trustee may change an indenture without the consent of any holders with respect to specific matters:</w:t>
      </w:r>
    </w:p>
    <w:p>
      <w:pPr>
        <w:spacing w:after="0" w:line="102" w:lineRule="exact"/>
        <w:rPr>
          <w:sz w:val="20"/>
          <w:szCs w:val="20"/>
          <w:color w:val="auto"/>
        </w:rPr>
      </w:pPr>
    </w:p>
    <w:p>
      <w:pPr>
        <w:ind w:left="2120" w:hanging="341"/>
        <w:spacing w:after="0"/>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indenture or in the debt securities of any series;</w:t>
      </w:r>
    </w:p>
    <w:p>
      <w:pPr>
        <w:spacing w:after="0" w:line="99"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provisions described above under “</w:t>
      </w:r>
      <w:r>
        <w:rPr>
          <w:rFonts w:ascii="Times New Roman" w:cs="Times New Roman" w:eastAsia="Times New Roman" w:hAnsi="Times New Roman"/>
          <w:sz w:val="14"/>
          <w:szCs w:val="14"/>
          <w:i w:val="1"/>
          <w:iCs w:val="1"/>
          <w:color w:val="auto"/>
        </w:rPr>
        <w:t>Description of Debt Securities—Consolidation, Merger or Sale</w:t>
      </w:r>
      <w:r>
        <w:rPr>
          <w:rFonts w:ascii="Times New Roman" w:cs="Times New Roman" w:eastAsia="Times New Roman" w:hAnsi="Times New Roman"/>
          <w:sz w:val="14"/>
          <w:szCs w:val="14"/>
          <w:color w:val="auto"/>
        </w:rPr>
        <w:t>”;</w:t>
      </w:r>
    </w:p>
    <w:p>
      <w:pPr>
        <w:spacing w:after="0" w:line="103"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5"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59" w:hanging="341"/>
        <w:spacing w:after="0" w:line="261" w:lineRule="auto"/>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66" w:lineRule="exact"/>
        <w:rPr>
          <w:rFonts w:ascii="Times New Roman" w:cs="Times New Roman" w:eastAsia="Times New Roman" w:hAnsi="Times New Roman"/>
          <w:sz w:val="14"/>
          <w:szCs w:val="14"/>
          <w:color w:val="auto"/>
        </w:rPr>
      </w:pPr>
    </w:p>
    <w:p>
      <w:pPr>
        <w:ind w:left="2120" w:right="839" w:hanging="341"/>
        <w:spacing w:after="0" w:line="282" w:lineRule="auto"/>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debt securities, as set forth in the indenture;</w:t>
      </w:r>
    </w:p>
    <w:p>
      <w:pPr>
        <w:spacing w:after="0" w:line="52"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interests of any holder of debt securities of any series in any material respect;</w:t>
      </w:r>
    </w:p>
    <w:p>
      <w:pPr>
        <w:spacing w:after="0" w:line="101" w:lineRule="exact"/>
        <w:rPr>
          <w:rFonts w:ascii="Times New Roman" w:cs="Times New Roman" w:eastAsia="Times New Roman" w:hAnsi="Times New Roman"/>
          <w:sz w:val="14"/>
          <w:szCs w:val="14"/>
          <w:color w:val="auto"/>
        </w:rPr>
      </w:pPr>
    </w:p>
    <w:p>
      <w:pPr>
        <w:jc w:val="both"/>
        <w:ind w:left="2120" w:right="339" w:hanging="341"/>
        <w:spacing w:after="0" w:line="266" w:lineRule="auto"/>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debt securities of any series as provided above under “</w:t>
      </w:r>
      <w:r>
        <w:rPr>
          <w:rFonts w:ascii="Times New Roman" w:cs="Times New Roman" w:eastAsia="Times New Roman" w:hAnsi="Times New Roman"/>
          <w:sz w:val="14"/>
          <w:szCs w:val="14"/>
          <w:i w:val="1"/>
          <w:iCs w:val="1"/>
          <w:color w:val="auto"/>
        </w:rPr>
        <w:t>Description of Debt Securities—General</w:t>
      </w:r>
      <w:r>
        <w:rPr>
          <w:rFonts w:ascii="Times New Roman" w:cs="Times New Roman" w:eastAsia="Times New Roman" w:hAnsi="Times New Roman"/>
          <w:sz w:val="14"/>
          <w:szCs w:val="14"/>
          <w:color w:val="auto"/>
        </w:rPr>
        <w:t>” to establish the form of any certifications required to be furnished pursuant to the terms of the indenture or any series of debt securities, or to add to the rights of the holders of any series of debt securities;</w:t>
      </w:r>
    </w:p>
    <w:p>
      <w:pPr>
        <w:spacing w:after="0" w:line="63"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any indenture by a successor trustee; or</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in connection with the qualification of any indenture under the Trust Indenture Act.</w:t>
      </w:r>
    </w:p>
    <w:p>
      <w:pPr>
        <w:spacing w:after="0" w:line="175"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66" w:lineRule="exact"/>
        <w:rPr>
          <w:sz w:val="20"/>
          <w:szCs w:val="20"/>
          <w:color w:val="auto"/>
        </w:rPr>
      </w:pPr>
    </w:p>
    <w:p>
      <w:pPr>
        <w:ind w:left="2120" w:hanging="341"/>
        <w:spacing w:after="0"/>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extending the fixed maturity of any debt securities of any series;</w:t>
      </w:r>
    </w:p>
    <w:p>
      <w:pPr>
        <w:spacing w:after="0" w:line="101" w:lineRule="exact"/>
        <w:rPr>
          <w:rFonts w:ascii="Times New Roman" w:cs="Times New Roman" w:eastAsia="Times New Roman" w:hAnsi="Times New Roman"/>
          <w:sz w:val="14"/>
          <w:szCs w:val="14"/>
          <w:color w:val="auto"/>
        </w:rPr>
      </w:pPr>
    </w:p>
    <w:p>
      <w:pPr>
        <w:ind w:left="2120" w:right="419" w:hanging="341"/>
        <w:spacing w:after="0" w:line="282"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reducing the rate of or extending the time of payment of interest, or reducing any premium payable upon the redemption of any series of any debt securities; or</w:t>
      </w:r>
    </w:p>
    <w:p>
      <w:pPr>
        <w:spacing w:after="0" w:line="52" w:lineRule="exact"/>
        <w:rPr>
          <w:rFonts w:ascii="Times New Roman" w:cs="Times New Roman" w:eastAsia="Times New Roman" w:hAnsi="Times New Roman"/>
          <w:sz w:val="14"/>
          <w:szCs w:val="14"/>
          <w:color w:val="auto"/>
        </w:rPr>
      </w:pPr>
    </w:p>
    <w:p>
      <w:pPr>
        <w:ind w:left="2120" w:right="459" w:hanging="341"/>
        <w:spacing w:after="0" w:line="282"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percentage of debt securities, the holders of which are required to consent to any amendment, supplement, modification or waiver.</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Discharge</w:t>
      </w:r>
    </w:p>
    <w:p>
      <w:pPr>
        <w:spacing w:after="0" w:line="93" w:lineRule="exact"/>
        <w:rPr>
          <w:sz w:val="20"/>
          <w:szCs w:val="20"/>
          <w:color w:val="auto"/>
        </w:rPr>
      </w:pPr>
    </w:p>
    <w:p>
      <w:pPr>
        <w:ind w:left="1360" w:right="239"/>
        <w:spacing w:after="0" w:line="282" w:lineRule="auto"/>
        <w:rPr>
          <w:sz w:val="20"/>
          <w:szCs w:val="20"/>
          <w:color w:val="auto"/>
        </w:rPr>
      </w:pPr>
      <w:r>
        <w:rPr>
          <w:rFonts w:ascii="Times New Roman" w:cs="Times New Roman" w:eastAsia="Times New Roman" w:hAnsi="Times New Roman"/>
          <w:sz w:val="14"/>
          <w:szCs w:val="14"/>
          <w:color w:val="auto"/>
        </w:rPr>
        <w:t>Each indenture provides that we can elect to be discharged from our obligations with respect to one or more series of debt securities, except for specified obligations, including obligations to:</w:t>
      </w:r>
    </w:p>
    <w:p>
      <w:pPr>
        <w:spacing w:after="0" w:line="52" w:lineRule="exact"/>
        <w:rPr>
          <w:sz w:val="20"/>
          <w:szCs w:val="20"/>
          <w:color w:val="auto"/>
        </w:rPr>
      </w:pPr>
    </w:p>
    <w:p>
      <w:pPr>
        <w:ind w:left="2120" w:hanging="341"/>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payment;</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or exchange of debt securities of the series;</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stolen, lost or mutilated debt securities of the series;</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principal of and premium and interest on any debt securities of the series;</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monies for payment in trust;</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 excess money held by the trustee;</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compensate and indemnify the trustee; and</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any successor trustee.</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5"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82" w:lineRule="auto"/>
        <w:rPr>
          <w:sz w:val="20"/>
          <w:szCs w:val="20"/>
          <w:color w:val="auto"/>
        </w:rPr>
      </w:pPr>
      <w:r>
        <w:rPr>
          <w:rFonts w:ascii="Times New Roman" w:cs="Times New Roman" w:eastAsia="Times New Roman" w:hAnsi="Times New Roman"/>
          <w:sz w:val="14"/>
          <w:szCs w:val="14"/>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93" w:lineRule="exact"/>
        <w:rPr>
          <w:sz w:val="20"/>
          <w:szCs w:val="20"/>
          <w:color w:val="auto"/>
        </w:rPr>
      </w:pPr>
    </w:p>
    <w:p>
      <w:pPr>
        <w:ind w:left="1360" w:right="379"/>
        <w:spacing w:after="0" w:line="257" w:lineRule="auto"/>
        <w:rPr>
          <w:sz w:val="20"/>
          <w:szCs w:val="20"/>
          <w:color w:val="auto"/>
        </w:rPr>
      </w:pPr>
      <w:r>
        <w:rPr>
          <w:rFonts w:ascii="Times New Roman" w:cs="Times New Roman" w:eastAsia="Times New Roman" w:hAnsi="Times New Roman"/>
          <w:sz w:val="14"/>
          <w:szCs w:val="14"/>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42" w:lineRule="exact"/>
        <w:rPr>
          <w:sz w:val="20"/>
          <w:szCs w:val="20"/>
          <w:color w:val="auto"/>
        </w:rPr>
      </w:pPr>
    </w:p>
    <w:p>
      <w:pPr>
        <w:jc w:val="both"/>
        <w:ind w:left="1360" w:right="279"/>
        <w:spacing w:after="0" w:line="266" w:lineRule="auto"/>
        <w:rPr>
          <w:sz w:val="20"/>
          <w:szCs w:val="20"/>
          <w:color w:val="auto"/>
        </w:rPr>
      </w:pPr>
      <w:r>
        <w:rPr>
          <w:rFonts w:ascii="Times New Roman" w:cs="Times New Roman" w:eastAsia="Times New Roman" w:hAnsi="Times New Roman"/>
          <w:sz w:val="14"/>
          <w:szCs w:val="14"/>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37"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43" w:lineRule="exact"/>
        <w:rPr>
          <w:sz w:val="20"/>
          <w:szCs w:val="20"/>
          <w:color w:val="auto"/>
        </w:rPr>
      </w:pPr>
    </w:p>
    <w:p>
      <w:pPr>
        <w:jc w:val="both"/>
        <w:ind w:left="1360" w:right="359"/>
        <w:spacing w:after="0" w:line="261" w:lineRule="auto"/>
        <w:rPr>
          <w:sz w:val="20"/>
          <w:szCs w:val="20"/>
          <w:color w:val="auto"/>
        </w:rPr>
      </w:pPr>
      <w:r>
        <w:rPr>
          <w:rFonts w:ascii="Times New Roman" w:cs="Times New Roman" w:eastAsia="Times New Roman" w:hAnsi="Times New Roman"/>
          <w:sz w:val="14"/>
          <w:szCs w:val="14"/>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If we elect to redeem the debt securities of any series, we will not be required to:</w:t>
      </w:r>
    </w:p>
    <w:p>
      <w:pPr>
        <w:spacing w:after="0" w:line="102" w:lineRule="exact"/>
        <w:rPr>
          <w:sz w:val="20"/>
          <w:szCs w:val="20"/>
          <w:color w:val="auto"/>
        </w:rPr>
      </w:pPr>
    </w:p>
    <w:p>
      <w:pPr>
        <w:jc w:val="both"/>
        <w:ind w:left="2120" w:right="439" w:hanging="341"/>
        <w:spacing w:after="0" w:line="266" w:lineRule="auto"/>
        <w:tabs>
          <w:tab w:leader="none" w:pos="21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63" w:lineRule="exact"/>
        <w:rPr>
          <w:rFonts w:ascii="Times New Roman" w:cs="Times New Roman" w:eastAsia="Times New Roman" w:hAnsi="Times New Roman"/>
          <w:sz w:val="14"/>
          <w:szCs w:val="14"/>
          <w:color w:val="auto"/>
        </w:rPr>
      </w:pPr>
    </w:p>
    <w:p>
      <w:pPr>
        <w:ind w:left="2120" w:right="439" w:hanging="341"/>
        <w:spacing w:after="0" w:line="282" w:lineRule="auto"/>
        <w:tabs>
          <w:tab w:leader="none" w:pos="21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securities so selected for redemption, in whole or in part, except the unredeemed portion of any debt securities we are redeeming in part.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Information Concerning the Trustee</w:t>
      </w:r>
    </w:p>
    <w:p>
      <w:pPr>
        <w:spacing w:after="0" w:line="93"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5"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93" w:lineRule="exact"/>
        <w:rPr>
          <w:sz w:val="20"/>
          <w:szCs w:val="20"/>
          <w:color w:val="auto"/>
        </w:rPr>
      </w:pPr>
    </w:p>
    <w:p>
      <w:pPr>
        <w:ind w:left="1360" w:right="239"/>
        <w:spacing w:after="0" w:line="266" w:lineRule="auto"/>
        <w:rPr>
          <w:sz w:val="20"/>
          <w:szCs w:val="20"/>
          <w:color w:val="auto"/>
        </w:rPr>
      </w:pPr>
      <w:r>
        <w:rPr>
          <w:rFonts w:ascii="Times New Roman" w:cs="Times New Roman" w:eastAsia="Times New Roman" w:hAnsi="Times New Roman"/>
          <w:sz w:val="14"/>
          <w:szCs w:val="14"/>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37"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42" w:lineRule="exact"/>
        <w:rPr>
          <w:sz w:val="20"/>
          <w:szCs w:val="20"/>
          <w:color w:val="auto"/>
        </w:rPr>
      </w:pPr>
    </w:p>
    <w:p>
      <w:pPr>
        <w:ind w:left="1360" w:right="379"/>
        <w:spacing w:after="0" w:line="266" w:lineRule="auto"/>
        <w:rPr>
          <w:sz w:val="20"/>
          <w:szCs w:val="20"/>
          <w:color w:val="auto"/>
        </w:rPr>
      </w:pPr>
      <w:r>
        <w:rPr>
          <w:rFonts w:ascii="Times New Roman" w:cs="Times New Roman" w:eastAsia="Times New Roman" w:hAnsi="Times New Roman"/>
          <w:sz w:val="14"/>
          <w:szCs w:val="14"/>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3" w:lineRule="exact"/>
        <w:rPr>
          <w:sz w:val="20"/>
          <w:szCs w:val="20"/>
          <w:color w:val="auto"/>
        </w:rPr>
      </w:pPr>
    </w:p>
    <w:p>
      <w:pPr>
        <w:ind w:left="1360" w:right="359"/>
        <w:spacing w:after="0" w:line="282"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laws of the state of New York, except to the extent that the Trust Indenture Act is applicable.</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5"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5"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i w:val="1"/>
          <w:iCs w:val="1"/>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ind w:left="1360" w:right="279"/>
        <w:spacing w:after="0" w:line="323" w:lineRule="auto"/>
        <w:rPr>
          <w:sz w:val="20"/>
          <w:szCs w:val="20"/>
          <w:color w:val="auto"/>
        </w:rPr>
      </w:pPr>
      <w:r>
        <w:rPr>
          <w:rFonts w:ascii="Times New Roman" w:cs="Times New Roman" w:eastAsia="Times New Roman" w:hAnsi="Times New Roman"/>
          <w:sz w:val="13"/>
          <w:szCs w:val="13"/>
          <w:color w:val="auto"/>
        </w:rPr>
        <w:t>We may issue warrants for the purchase of common stock, preferred stock and/or debt securities in one or more series. We may issue warrants independently or together with common stock, preferred stock and debt securities, and the warrants may be attached to or separate from these securities.</w:t>
      </w:r>
    </w:p>
    <w:p>
      <w:pPr>
        <w:spacing w:after="0" w:line="102" w:lineRule="exact"/>
        <w:rPr>
          <w:sz w:val="20"/>
          <w:szCs w:val="20"/>
          <w:color w:val="auto"/>
        </w:rPr>
      </w:pPr>
    </w:p>
    <w:p>
      <w:pPr>
        <w:ind w:left="1360" w:right="459"/>
        <w:spacing w:after="0" w:line="266" w:lineRule="auto"/>
        <w:rPr>
          <w:sz w:val="20"/>
          <w:szCs w:val="20"/>
          <w:color w:val="auto"/>
        </w:rPr>
      </w:pPr>
      <w:r>
        <w:rPr>
          <w:rFonts w:ascii="Times New Roman" w:cs="Times New Roman" w:eastAsia="Times New Roman" w:hAnsi="Times New Roman"/>
          <w:sz w:val="14"/>
          <w:szCs w:val="14"/>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warrants, including:</w:t>
      </w:r>
    </w:p>
    <w:p>
      <w:pPr>
        <w:spacing w:after="0" w:line="102" w:lineRule="exact"/>
        <w:rPr>
          <w:sz w:val="20"/>
          <w:szCs w:val="20"/>
          <w:color w:val="auto"/>
        </w:rPr>
      </w:pPr>
    </w:p>
    <w:p>
      <w:pPr>
        <w:ind w:left="2120" w:hanging="341"/>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and aggregate number of warrants offered;</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for which the warrants may be purchased;</w:t>
      </w:r>
    </w:p>
    <w:p>
      <w:pPr>
        <w:spacing w:after="0" w:line="101" w:lineRule="exact"/>
        <w:rPr>
          <w:rFonts w:ascii="Times New Roman" w:cs="Times New Roman" w:eastAsia="Times New Roman" w:hAnsi="Times New Roman"/>
          <w:sz w:val="14"/>
          <w:szCs w:val="14"/>
          <w:color w:val="auto"/>
        </w:rPr>
      </w:pPr>
    </w:p>
    <w:p>
      <w:pPr>
        <w:ind w:left="2120" w:right="419" w:hanging="341"/>
        <w:spacing w:after="0" w:line="282"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such security or each principal amount of such security;</w:t>
      </w:r>
    </w:p>
    <w:p>
      <w:pPr>
        <w:spacing w:after="0" w:line="52"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related securities will be separately transferable;</w:t>
      </w:r>
    </w:p>
    <w:p>
      <w:pPr>
        <w:spacing w:after="0" w:line="101" w:lineRule="exact"/>
        <w:rPr>
          <w:rFonts w:ascii="Times New Roman" w:cs="Times New Roman" w:eastAsia="Times New Roman" w:hAnsi="Times New Roman"/>
          <w:sz w:val="14"/>
          <w:szCs w:val="14"/>
          <w:color w:val="auto"/>
        </w:rPr>
      </w:pPr>
    </w:p>
    <w:p>
      <w:pPr>
        <w:ind w:left="2120" w:right="279" w:hanging="341"/>
        <w:spacing w:after="0" w:line="282"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52" w:lineRule="exact"/>
        <w:rPr>
          <w:rFonts w:ascii="Times New Roman" w:cs="Times New Roman" w:eastAsia="Times New Roman" w:hAnsi="Times New Roman"/>
          <w:sz w:val="14"/>
          <w:szCs w:val="14"/>
          <w:color w:val="auto"/>
        </w:rPr>
      </w:pPr>
    </w:p>
    <w:p>
      <w:pPr>
        <w:ind w:left="2120" w:right="239" w:hanging="341"/>
        <w:spacing w:after="0" w:line="282"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52"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 and the warrants;</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periods during which, and places at which, the warrants are exercisable;</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of exercise;</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warrant agreement and warrants may be modified;</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income tax consequences of holding or exercising the warrants;</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5"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77" w:lineRule="exact"/>
        <w:rPr>
          <w:sz w:val="20"/>
          <w:szCs w:val="20"/>
          <w:color w:val="auto"/>
        </w:rPr>
      </w:pPr>
    </w:p>
    <w:p>
      <w:pPr>
        <w:ind w:left="1360" w:right="299"/>
        <w:spacing w:after="0" w:line="254" w:lineRule="auto"/>
        <w:rPr>
          <w:sz w:val="20"/>
          <w:szCs w:val="20"/>
          <w:color w:val="auto"/>
        </w:rPr>
      </w:pPr>
      <w:r>
        <w:rPr>
          <w:rFonts w:ascii="Times New Roman" w:cs="Times New Roman" w:eastAsia="Times New Roman" w:hAnsi="Times New Roman"/>
          <w:sz w:val="14"/>
          <w:szCs w:val="14"/>
          <w:color w:val="auto"/>
        </w:rPr>
        <w:t>We may issue units comprised of one or more of the other securities that may be offered under this prospectus,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47"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66" w:lineRule="exact"/>
        <w:rPr>
          <w:sz w:val="20"/>
          <w:szCs w:val="20"/>
          <w:color w:val="auto"/>
        </w:rPr>
      </w:pPr>
    </w:p>
    <w:p>
      <w:pPr>
        <w:ind w:left="2120" w:right="459" w:hanging="341"/>
        <w:spacing w:after="0" w:line="282" w:lineRule="auto"/>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52"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of the governing unit agreement;</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units will be issued;</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United States federal income tax considerations relating to the units;</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comprising the units; and</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 and of the securities comprising the units</w:t>
      </w:r>
    </w:p>
    <w:p>
      <w:pPr>
        <w:spacing w:after="0" w:line="173" w:lineRule="exact"/>
        <w:rPr>
          <w:sz w:val="20"/>
          <w:szCs w:val="20"/>
          <w:color w:val="auto"/>
        </w:rPr>
      </w:pPr>
    </w:p>
    <w:p>
      <w:pPr>
        <w:ind w:left="1360" w:right="419"/>
        <w:spacing w:after="0" w:line="285" w:lineRule="auto"/>
        <w:rPr>
          <w:sz w:val="20"/>
          <w:szCs w:val="20"/>
          <w:color w:val="auto"/>
        </w:rPr>
      </w:pPr>
      <w:r>
        <w:rPr>
          <w:rFonts w:ascii="Times New Roman" w:cs="Times New Roman" w:eastAsia="Times New Roman" w:hAnsi="Times New Roman"/>
          <w:sz w:val="14"/>
          <w:szCs w:val="14"/>
          <w:color w:val="auto"/>
        </w:rPr>
        <w:t>The provisions described in this section, as well as those described under “</w:t>
      </w:r>
      <w:r>
        <w:rPr>
          <w:rFonts w:ascii="Times New Roman" w:cs="Times New Roman" w:eastAsia="Times New Roman" w:hAnsi="Times New Roman"/>
          <w:sz w:val="14"/>
          <w:szCs w:val="14"/>
          <w:i w:val="1"/>
          <w:iCs w:val="1"/>
          <w:color w:val="auto"/>
        </w:rPr>
        <w:t>Description of Capital Stock</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Description of Warrants</w:t>
      </w:r>
      <w:r>
        <w:rPr>
          <w:rFonts w:ascii="Times New Roman" w:cs="Times New Roman" w:eastAsia="Times New Roman" w:hAnsi="Times New Roman"/>
          <w:sz w:val="14"/>
          <w:szCs w:val="14"/>
          <w:color w:val="auto"/>
        </w:rPr>
        <w:t>” will apply to the securities included in each unit, to the extent relevant and as may be updated in any prospectus supplements.</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Issuance in Series</w:t>
      </w:r>
    </w:p>
    <w:p>
      <w:pPr>
        <w:spacing w:after="0" w:line="93" w:lineRule="exact"/>
        <w:rPr>
          <w:sz w:val="20"/>
          <w:szCs w:val="20"/>
          <w:color w:val="auto"/>
        </w:rPr>
      </w:pPr>
    </w:p>
    <w:p>
      <w:pPr>
        <w:ind w:left="1360" w:right="519"/>
        <w:spacing w:after="0" w:line="282" w:lineRule="auto"/>
        <w:rPr>
          <w:sz w:val="20"/>
          <w:szCs w:val="20"/>
          <w:color w:val="auto"/>
        </w:rPr>
      </w:pPr>
      <w:r>
        <w:rPr>
          <w:rFonts w:ascii="Times New Roman" w:cs="Times New Roman" w:eastAsia="Times New Roman" w:hAnsi="Times New Roman"/>
          <w:sz w:val="14"/>
          <w:szCs w:val="14"/>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Unit Agreements</w:t>
      </w:r>
    </w:p>
    <w:p>
      <w:pPr>
        <w:spacing w:after="0" w:line="93" w:lineRule="exact"/>
        <w:rPr>
          <w:sz w:val="20"/>
          <w:szCs w:val="20"/>
          <w:color w:val="auto"/>
        </w:rPr>
      </w:pPr>
    </w:p>
    <w:p>
      <w:pPr>
        <w:jc w:val="both"/>
        <w:ind w:left="1360" w:right="319"/>
        <w:spacing w:after="0" w:line="266" w:lineRule="auto"/>
        <w:rPr>
          <w:sz w:val="20"/>
          <w:szCs w:val="20"/>
          <w:color w:val="auto"/>
        </w:rPr>
      </w:pPr>
      <w:r>
        <w:rPr>
          <w:rFonts w:ascii="Times New Roman" w:cs="Times New Roman" w:eastAsia="Times New Roman" w:hAnsi="Times New Roman"/>
          <w:sz w:val="14"/>
          <w:szCs w:val="14"/>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following provisions will generally apply to all unit agreements unless otherwise stated in the applicable prospectus supplement:</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5"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Modification without Consent</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and the applicable unit agent may amend any unit or unit agreement without the consent of any holder:</w:t>
      </w:r>
    </w:p>
    <w:p>
      <w:pPr>
        <w:spacing w:after="0" w:line="102" w:lineRule="exact"/>
        <w:rPr>
          <w:sz w:val="20"/>
          <w:szCs w:val="20"/>
          <w:color w:val="auto"/>
        </w:rPr>
      </w:pPr>
    </w:p>
    <w:p>
      <w:pPr>
        <w:ind w:left="2120" w:hanging="341"/>
        <w:spacing w:after="0"/>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of the governing unit agreement that differ from those described below;</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correct or supplement any defective or inconsistent provision; or</w:t>
      </w:r>
    </w:p>
    <w:p>
      <w:pPr>
        <w:spacing w:after="0" w:line="101" w:lineRule="exact"/>
        <w:rPr>
          <w:rFonts w:ascii="Times New Roman" w:cs="Times New Roman" w:eastAsia="Times New Roman" w:hAnsi="Times New Roman"/>
          <w:sz w:val="14"/>
          <w:szCs w:val="14"/>
          <w:color w:val="auto"/>
        </w:rPr>
      </w:pPr>
    </w:p>
    <w:p>
      <w:pPr>
        <w:ind w:left="2120" w:right="319" w:hanging="341"/>
        <w:spacing w:after="0" w:line="282" w:lineRule="auto"/>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other change that we believe is necessary or desirable and will not adversely affect the interests of the affected holders in any material respect.</w:t>
      </w:r>
    </w:p>
    <w:p>
      <w:pPr>
        <w:spacing w:after="0" w:line="126" w:lineRule="exact"/>
        <w:rPr>
          <w:sz w:val="20"/>
          <w:szCs w:val="20"/>
          <w:color w:val="auto"/>
        </w:rPr>
      </w:pPr>
    </w:p>
    <w:p>
      <w:pPr>
        <w:ind w:left="1360" w:right="319"/>
        <w:spacing w:after="0" w:line="266" w:lineRule="auto"/>
        <w:rPr>
          <w:sz w:val="20"/>
          <w:szCs w:val="20"/>
          <w:color w:val="auto"/>
        </w:rPr>
      </w:pPr>
      <w:r>
        <w:rPr>
          <w:rFonts w:ascii="Times New Roman" w:cs="Times New Roman" w:eastAsia="Times New Roman" w:hAnsi="Times New Roman"/>
          <w:sz w:val="14"/>
          <w:szCs w:val="14"/>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Modification with Consent</w:t>
      </w:r>
    </w:p>
    <w:p>
      <w:pPr>
        <w:spacing w:after="0" w:line="93" w:lineRule="exact"/>
        <w:rPr>
          <w:sz w:val="20"/>
          <w:szCs w:val="20"/>
          <w:color w:val="auto"/>
        </w:rPr>
      </w:pPr>
    </w:p>
    <w:p>
      <w:pPr>
        <w:ind w:left="1360" w:right="419"/>
        <w:spacing w:after="0" w:line="282" w:lineRule="auto"/>
        <w:rPr>
          <w:sz w:val="20"/>
          <w:szCs w:val="20"/>
          <w:color w:val="auto"/>
        </w:rPr>
      </w:pPr>
      <w:r>
        <w:rPr>
          <w:rFonts w:ascii="Times New Roman" w:cs="Times New Roman" w:eastAsia="Times New Roman" w:hAnsi="Times New Roman"/>
          <w:sz w:val="14"/>
          <w:szCs w:val="14"/>
          <w:color w:val="auto"/>
        </w:rPr>
        <w:t>We may not amend any particular unit or a unit agreement with respect to any particular unit unless we obtain the consent of the holder of that unit, if the amendment would:</w:t>
      </w:r>
    </w:p>
    <w:p>
      <w:pPr>
        <w:spacing w:after="0" w:line="52" w:lineRule="exact"/>
        <w:rPr>
          <w:sz w:val="20"/>
          <w:szCs w:val="20"/>
          <w:color w:val="auto"/>
        </w:rPr>
      </w:pPr>
    </w:p>
    <w:p>
      <w:pPr>
        <w:ind w:left="2120" w:right="379" w:hanging="341"/>
        <w:spacing w:after="0" w:line="282" w:lineRule="auto"/>
        <w:tabs>
          <w:tab w:leader="none" w:pos="21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52" w:lineRule="exact"/>
        <w:rPr>
          <w:rFonts w:ascii="Times New Roman" w:cs="Times New Roman" w:eastAsia="Times New Roman" w:hAnsi="Times New Roman"/>
          <w:sz w:val="14"/>
          <w:szCs w:val="14"/>
          <w:color w:val="auto"/>
        </w:rPr>
      </w:pPr>
    </w:p>
    <w:p>
      <w:pPr>
        <w:ind w:left="2120" w:right="399" w:hanging="341"/>
        <w:spacing w:after="0" w:line="282" w:lineRule="auto"/>
        <w:tabs>
          <w:tab w:leader="none" w:pos="21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Any other change to a particular unit agreement and the units issued under that agreement would require the following approval:</w:t>
      </w:r>
    </w:p>
    <w:p>
      <w:pPr>
        <w:spacing w:after="0" w:line="102" w:lineRule="exact"/>
        <w:rPr>
          <w:sz w:val="20"/>
          <w:szCs w:val="20"/>
          <w:color w:val="auto"/>
        </w:rPr>
      </w:pPr>
    </w:p>
    <w:p>
      <w:pPr>
        <w:ind w:left="2120" w:right="559" w:hanging="341"/>
        <w:spacing w:after="0" w:line="282" w:lineRule="auto"/>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only the units of a particular series issued under that agreement, the change must be approved by the holders of a majority of the outstanding units of that series; or</w:t>
      </w:r>
    </w:p>
    <w:p>
      <w:pPr>
        <w:spacing w:after="0" w:line="52" w:lineRule="exact"/>
        <w:rPr>
          <w:rFonts w:ascii="Times New Roman" w:cs="Times New Roman" w:eastAsia="Times New Roman" w:hAnsi="Times New Roman"/>
          <w:sz w:val="14"/>
          <w:szCs w:val="14"/>
          <w:color w:val="auto"/>
        </w:rPr>
      </w:pPr>
    </w:p>
    <w:p>
      <w:pPr>
        <w:jc w:val="both"/>
        <w:ind w:left="2120" w:right="359" w:hanging="341"/>
        <w:spacing w:after="0" w:line="323" w:lineRule="auto"/>
        <w:tabs>
          <w:tab w:leader="none" w:pos="212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02" w:lineRule="exact"/>
        <w:rPr>
          <w:sz w:val="20"/>
          <w:szCs w:val="20"/>
          <w:color w:val="auto"/>
        </w:rPr>
      </w:pPr>
    </w:p>
    <w:p>
      <w:pPr>
        <w:ind w:left="1360" w:right="799"/>
        <w:spacing w:after="0" w:line="282" w:lineRule="auto"/>
        <w:rPr>
          <w:sz w:val="20"/>
          <w:szCs w:val="20"/>
          <w:color w:val="auto"/>
        </w:rPr>
      </w:pPr>
      <w:r>
        <w:rPr>
          <w:rFonts w:ascii="Times New Roman" w:cs="Times New Roman" w:eastAsia="Times New Roman" w:hAnsi="Times New Roman"/>
          <w:sz w:val="14"/>
          <w:szCs w:val="14"/>
          <w:color w:val="auto"/>
        </w:rPr>
        <w:t>These provisions regarding changes with majority approval also apply to changes affecting any securities issued under a unit agreement, as the governing document.</w:t>
      </w:r>
    </w:p>
    <w:p>
      <w:pPr>
        <w:spacing w:after="0" w:line="1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each case, the required approval must be given by written consent.</w:t>
      </w:r>
    </w:p>
    <w:p>
      <w:pPr>
        <w:spacing w:after="0" w:line="25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Unit Agreements Will Not Be Qualified under Trust Indenture Act</w:t>
      </w:r>
    </w:p>
    <w:p>
      <w:pPr>
        <w:spacing w:after="0" w:line="93" w:lineRule="exact"/>
        <w:rPr>
          <w:sz w:val="20"/>
          <w:szCs w:val="20"/>
          <w:color w:val="auto"/>
        </w:rPr>
      </w:pPr>
    </w:p>
    <w:p>
      <w:pPr>
        <w:ind w:left="1360" w:right="339"/>
        <w:spacing w:after="0" w:line="282" w:lineRule="auto"/>
        <w:rPr>
          <w:sz w:val="20"/>
          <w:szCs w:val="20"/>
          <w:color w:val="auto"/>
        </w:rPr>
      </w:pPr>
      <w:r>
        <w:rPr>
          <w:rFonts w:ascii="Times New Roman" w:cs="Times New Roman" w:eastAsia="Times New Roman" w:hAnsi="Times New Roman"/>
          <w:sz w:val="14"/>
          <w:szCs w:val="14"/>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Mergers and Similar Transactions Permitted; No Restrictive Covenants or Events of Default</w:t>
      </w:r>
    </w:p>
    <w:p>
      <w:pPr>
        <w:spacing w:after="0" w:line="93" w:lineRule="exact"/>
        <w:rPr>
          <w:sz w:val="20"/>
          <w:szCs w:val="20"/>
          <w:color w:val="auto"/>
        </w:rPr>
      </w:pPr>
    </w:p>
    <w:p>
      <w:pPr>
        <w:ind w:left="1360" w:right="279"/>
        <w:spacing w:after="0" w:line="266" w:lineRule="auto"/>
        <w:rPr>
          <w:sz w:val="20"/>
          <w:szCs w:val="20"/>
          <w:color w:val="auto"/>
        </w:rPr>
      </w:pPr>
      <w:r>
        <w:rPr>
          <w:rFonts w:ascii="Times New Roman" w:cs="Times New Roman" w:eastAsia="Times New Roman" w:hAnsi="Times New Roman"/>
          <w:sz w:val="14"/>
          <w:szCs w:val="14"/>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5"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and assume our obligations under the unit agreements. We will then be relieved of any further obligation under these agreements.</w:t>
      </w:r>
    </w:p>
    <w:p>
      <w:pPr>
        <w:spacing w:after="0" w:line="175" w:lineRule="exact"/>
        <w:rPr>
          <w:sz w:val="20"/>
          <w:szCs w:val="20"/>
          <w:color w:val="auto"/>
        </w:rPr>
      </w:pPr>
    </w:p>
    <w:p>
      <w:pPr>
        <w:ind w:left="1360" w:right="319"/>
        <w:spacing w:after="0" w:line="282" w:lineRule="auto"/>
        <w:rPr>
          <w:sz w:val="20"/>
          <w:szCs w:val="20"/>
          <w:color w:val="auto"/>
        </w:rPr>
      </w:pPr>
      <w:r>
        <w:rPr>
          <w:rFonts w:ascii="Times New Roman" w:cs="Times New Roman" w:eastAsia="Times New Roman" w:hAnsi="Times New Roman"/>
          <w:sz w:val="14"/>
          <w:szCs w:val="14"/>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unit agreements and the units will be governed by New York law.</w:t>
      </w:r>
    </w:p>
    <w:p>
      <w:pPr>
        <w:spacing w:after="0" w:line="25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93"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Each unit and all securities comprising the unit will be issued in the same form.</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If we issue any units in registered, non-global form, the following will apply to them.</w:t>
      </w:r>
    </w:p>
    <w:p>
      <w:pPr>
        <w:spacing w:after="0" w:line="175" w:lineRule="exact"/>
        <w:rPr>
          <w:sz w:val="20"/>
          <w:szCs w:val="20"/>
          <w:color w:val="auto"/>
        </w:rPr>
      </w:pPr>
    </w:p>
    <w:p>
      <w:pPr>
        <w:ind w:left="1360" w:right="579"/>
        <w:spacing w:after="0" w:line="282" w:lineRule="auto"/>
        <w:rPr>
          <w:sz w:val="20"/>
          <w:szCs w:val="20"/>
          <w:color w:val="auto"/>
        </w:rPr>
      </w:pPr>
      <w:r>
        <w:rPr>
          <w:rFonts w:ascii="Times New Roman" w:cs="Times New Roman" w:eastAsia="Times New Roman" w:hAnsi="Times New Roman"/>
          <w:sz w:val="14"/>
          <w:szCs w:val="14"/>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52" w:lineRule="exact"/>
        <w:rPr>
          <w:sz w:val="20"/>
          <w:szCs w:val="20"/>
          <w:color w:val="auto"/>
        </w:rPr>
      </w:pPr>
    </w:p>
    <w:p>
      <w:pPr>
        <w:ind w:left="2120" w:right="439" w:hanging="341"/>
        <w:spacing w:after="0" w:line="282" w:lineRule="auto"/>
        <w:tabs>
          <w:tab w:leader="none" w:pos="21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52" w:lineRule="exact"/>
        <w:rPr>
          <w:rFonts w:ascii="Times New Roman" w:cs="Times New Roman" w:eastAsia="Times New Roman" w:hAnsi="Times New Roman"/>
          <w:sz w:val="14"/>
          <w:szCs w:val="14"/>
          <w:color w:val="auto"/>
        </w:rPr>
      </w:pPr>
    </w:p>
    <w:p>
      <w:pPr>
        <w:ind w:left="2120" w:right="239" w:hanging="341"/>
        <w:spacing w:after="0" w:line="261" w:lineRule="auto"/>
        <w:tabs>
          <w:tab w:leader="none" w:pos="21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66" w:lineRule="exact"/>
        <w:rPr>
          <w:rFonts w:ascii="Times New Roman" w:cs="Times New Roman" w:eastAsia="Times New Roman" w:hAnsi="Times New Roman"/>
          <w:sz w:val="14"/>
          <w:szCs w:val="14"/>
          <w:color w:val="auto"/>
        </w:rPr>
      </w:pPr>
    </w:p>
    <w:p>
      <w:pPr>
        <w:ind w:left="2120" w:right="259" w:hanging="341"/>
        <w:spacing w:after="0" w:line="257" w:lineRule="auto"/>
        <w:tabs>
          <w:tab w:leader="none" w:pos="21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Only the depositary will be entitled to transfer or exchange a unit in global form, since it will be the sole holder of the unit.</w:t>
      </w:r>
    </w:p>
    <w:p>
      <w:pPr>
        <w:spacing w:after="0" w:line="25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Payments and Notices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making payments and giving notices with respect to our units, we will follow the procedures as described in the applicable prospectus supplement.</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5"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7"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We may sell the securities offered through this prospectus and any accompanying prospectus supplement, if required, in any of the following ways: (i) to or through underwriters or dealers, (ii) directly to purchasers, including our affiliates, (iii) through agents, (iv) in an “at the market offering,” within the meaning of Rule 415(a)(4) of the Securities Act, to or through market makers or into an existing market for the securities; or (v) through a combination of any of these methods or any other method permitted by law. The securities may be distributed at a fixed price or prices, which may be changed, market prices prevailing at the time of sale, prices related to the prevailing market prices, or negotiated prices, either:</w:t>
      </w:r>
    </w:p>
    <w:p>
      <w:pPr>
        <w:spacing w:after="0" w:line="69" w:lineRule="exact"/>
        <w:rPr>
          <w:sz w:val="20"/>
          <w:szCs w:val="20"/>
          <w:color w:val="auto"/>
        </w:rPr>
      </w:pPr>
    </w:p>
    <w:p>
      <w:pPr>
        <w:ind w:left="2120" w:right="439" w:hanging="341"/>
        <w:spacing w:after="0" w:line="282" w:lineRule="auto"/>
        <w:tabs>
          <w:tab w:leader="none" w:pos="21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through the facilities of The Nasdaq Global Market or any other securities exchange or quotation or trading service on which such securities may be listed, quoted or traded at the time of sale; and/or</w:t>
      </w:r>
    </w:p>
    <w:p>
      <w:pPr>
        <w:spacing w:after="0" w:line="52" w:lineRule="exact"/>
        <w:rPr>
          <w:rFonts w:ascii="Times New Roman" w:cs="Times New Roman" w:eastAsia="Times New Roman" w:hAnsi="Times New Roman"/>
          <w:sz w:val="14"/>
          <w:szCs w:val="14"/>
          <w:color w:val="auto"/>
        </w:rPr>
      </w:pPr>
    </w:p>
    <w:p>
      <w:pPr>
        <w:ind w:left="2120" w:right="559" w:hanging="341"/>
        <w:spacing w:after="0" w:line="282" w:lineRule="auto"/>
        <w:tabs>
          <w:tab w:leader="none" w:pos="21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a market maker otherwise than on The Nasdaq Global Market or such other securities exchanges or quotation or trading services.</w:t>
      </w:r>
    </w:p>
    <w:p>
      <w:pPr>
        <w:spacing w:after="0" w:line="1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addition, we may issue the securities as a dividend or distribution or in a subscription rights offering to our existing security holders.</w:t>
      </w:r>
    </w:p>
    <w:p>
      <w:pPr>
        <w:spacing w:after="0" w:line="175"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distribution of the securities may be effected from time to time in one or more transactions:</w:t>
      </w:r>
    </w:p>
    <w:p>
      <w:pPr>
        <w:spacing w:after="0" w:line="102" w:lineRule="exact"/>
        <w:rPr>
          <w:sz w:val="20"/>
          <w:szCs w:val="20"/>
          <w:color w:val="auto"/>
        </w:rPr>
      </w:pPr>
    </w:p>
    <w:p>
      <w:pPr>
        <w:ind w:left="2120" w:hanging="341"/>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 from time to time;</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Each prospectus supplement will describe the method of distribution of the securities and any applicable restrictions.</w:t>
      </w:r>
    </w:p>
    <w:p>
      <w:pPr>
        <w:spacing w:after="0" w:line="175" w:lineRule="exact"/>
        <w:rPr>
          <w:sz w:val="20"/>
          <w:szCs w:val="20"/>
          <w:color w:val="auto"/>
        </w:rPr>
      </w:pPr>
    </w:p>
    <w:p>
      <w:pPr>
        <w:ind w:left="1360" w:right="599"/>
        <w:spacing w:after="0" w:line="282" w:lineRule="auto"/>
        <w:rPr>
          <w:sz w:val="20"/>
          <w:szCs w:val="20"/>
          <w:color w:val="auto"/>
        </w:rPr>
      </w:pPr>
      <w:r>
        <w:rPr>
          <w:rFonts w:ascii="Times New Roman" w:cs="Times New Roman" w:eastAsia="Times New Roman" w:hAnsi="Times New Roman"/>
          <w:sz w:val="14"/>
          <w:szCs w:val="14"/>
          <w:color w:val="auto"/>
        </w:rPr>
        <w:t>The prospectus supplement with respect to the securities of a particular series will describe the terms of the offering of the securities, including the following:</w:t>
      </w:r>
    </w:p>
    <w:p>
      <w:pPr>
        <w:spacing w:after="0" w:line="52" w:lineRule="exact"/>
        <w:rPr>
          <w:sz w:val="20"/>
          <w:szCs w:val="20"/>
          <w:color w:val="auto"/>
        </w:rPr>
      </w:pPr>
    </w:p>
    <w:p>
      <w:pPr>
        <w:ind w:left="2120" w:hanging="341"/>
        <w:spacing w:after="0"/>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agent or any underwriters;</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or purchase price;</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paid to the agent or underwriters;</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items constituting underwriting compensation;</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paid to dealers; and</w:t>
      </w:r>
    </w:p>
    <w:p>
      <w:pPr>
        <w:spacing w:after="0" w:line="101" w:lineRule="exact"/>
        <w:rPr>
          <w:rFonts w:ascii="Times New Roman" w:cs="Times New Roman" w:eastAsia="Times New Roman" w:hAnsi="Times New Roman"/>
          <w:sz w:val="14"/>
          <w:szCs w:val="14"/>
          <w:color w:val="auto"/>
        </w:rPr>
      </w:pPr>
    </w:p>
    <w:p>
      <w:pPr>
        <w:ind w:left="2120" w:hanging="341"/>
        <w:spacing w:after="0"/>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exchanges on which the securities will be listed.</w:t>
      </w:r>
    </w:p>
    <w:p>
      <w:pPr>
        <w:spacing w:after="0" w:line="175" w:lineRule="exact"/>
        <w:rPr>
          <w:sz w:val="20"/>
          <w:szCs w:val="20"/>
          <w:color w:val="auto"/>
        </w:rPr>
      </w:pPr>
    </w:p>
    <w:p>
      <w:pPr>
        <w:ind w:left="1360" w:right="299"/>
        <w:spacing w:after="0" w:line="266" w:lineRule="auto"/>
        <w:rPr>
          <w:sz w:val="20"/>
          <w:szCs w:val="20"/>
          <w:color w:val="auto"/>
        </w:rPr>
      </w:pPr>
      <w:r>
        <w:rPr>
          <w:rFonts w:ascii="Times New Roman" w:cs="Times New Roman" w:eastAsia="Times New Roman" w:hAnsi="Times New Roman"/>
          <w:sz w:val="14"/>
          <w:szCs w:val="14"/>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5"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6" w:lineRule="auto"/>
        <w:rPr>
          <w:sz w:val="20"/>
          <w:szCs w:val="20"/>
          <w:color w:val="auto"/>
        </w:rPr>
      </w:pPr>
      <w:r>
        <w:rPr>
          <w:rFonts w:ascii="Times New Roman" w:cs="Times New Roman" w:eastAsia="Times New Roman" w:hAnsi="Times New Roman"/>
          <w:sz w:val="14"/>
          <w:szCs w:val="14"/>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37" w:lineRule="exact"/>
        <w:rPr>
          <w:sz w:val="20"/>
          <w:szCs w:val="20"/>
          <w:color w:val="auto"/>
        </w:rPr>
      </w:pPr>
    </w:p>
    <w:p>
      <w:pPr>
        <w:jc w:val="both"/>
        <w:ind w:left="1360" w:right="359"/>
        <w:spacing w:after="0" w:line="266" w:lineRule="auto"/>
        <w:rPr>
          <w:sz w:val="20"/>
          <w:szCs w:val="20"/>
          <w:color w:val="auto"/>
        </w:rPr>
      </w:pPr>
      <w:r>
        <w:rPr>
          <w:rFonts w:ascii="Times New Roman" w:cs="Times New Roman" w:eastAsia="Times New Roman" w:hAnsi="Times New Roman"/>
          <w:sz w:val="14"/>
          <w:szCs w:val="14"/>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37" w:lineRule="exact"/>
        <w:rPr>
          <w:sz w:val="20"/>
          <w:szCs w:val="20"/>
          <w:color w:val="auto"/>
        </w:rPr>
      </w:pPr>
    </w:p>
    <w:p>
      <w:pPr>
        <w:jc w:val="both"/>
        <w:ind w:left="1360" w:right="259"/>
        <w:spacing w:after="0" w:line="266" w:lineRule="auto"/>
        <w:rPr>
          <w:sz w:val="20"/>
          <w:szCs w:val="20"/>
          <w:color w:val="auto"/>
        </w:rPr>
      </w:pPr>
      <w:r>
        <w:rPr>
          <w:rFonts w:ascii="Times New Roman" w:cs="Times New Roman" w:eastAsia="Times New Roman" w:hAnsi="Times New Roman"/>
          <w:sz w:val="14"/>
          <w:szCs w:val="14"/>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37" w:lineRule="exact"/>
        <w:rPr>
          <w:sz w:val="20"/>
          <w:szCs w:val="20"/>
          <w:color w:val="auto"/>
        </w:rPr>
      </w:pPr>
    </w:p>
    <w:p>
      <w:pPr>
        <w:ind w:left="1360" w:right="359"/>
        <w:spacing w:after="0" w:line="266" w:lineRule="auto"/>
        <w:rPr>
          <w:sz w:val="20"/>
          <w:szCs w:val="20"/>
          <w:color w:val="auto"/>
        </w:rPr>
      </w:pPr>
      <w:r>
        <w:rPr>
          <w:rFonts w:ascii="Times New Roman" w:cs="Times New Roman" w:eastAsia="Times New Roman" w:hAnsi="Times New Roman"/>
          <w:sz w:val="14"/>
          <w:szCs w:val="14"/>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37"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68" w:lineRule="exact"/>
        <w:rPr>
          <w:sz w:val="20"/>
          <w:szCs w:val="20"/>
          <w:color w:val="auto"/>
        </w:rPr>
      </w:pPr>
    </w:p>
    <w:p>
      <w:pPr>
        <w:ind w:left="2120" w:right="339" w:hanging="341"/>
        <w:spacing w:after="0" w:line="282" w:lineRule="auto"/>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by an institution of the securities covered under that contract shall not at the time of delivery be prohibited under the laws of the jurisdiction to which that institution is subject; and</w:t>
      </w:r>
    </w:p>
    <w:p>
      <w:pPr>
        <w:spacing w:after="0" w:line="52" w:lineRule="exact"/>
        <w:rPr>
          <w:rFonts w:ascii="Times New Roman" w:cs="Times New Roman" w:eastAsia="Times New Roman" w:hAnsi="Times New Roman"/>
          <w:sz w:val="14"/>
          <w:szCs w:val="14"/>
          <w:color w:val="auto"/>
        </w:rPr>
      </w:pPr>
    </w:p>
    <w:p>
      <w:pPr>
        <w:ind w:left="2120" w:right="319" w:hanging="341"/>
        <w:spacing w:after="0" w:line="266" w:lineRule="auto"/>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37"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43" w:lineRule="exact"/>
        <w:rPr>
          <w:sz w:val="20"/>
          <w:szCs w:val="20"/>
          <w:color w:val="auto"/>
        </w:rPr>
      </w:pPr>
    </w:p>
    <w:p>
      <w:pPr>
        <w:ind w:left="1360" w:right="299"/>
        <w:spacing w:after="0" w:line="266" w:lineRule="auto"/>
        <w:rPr>
          <w:sz w:val="20"/>
          <w:szCs w:val="20"/>
          <w:color w:val="auto"/>
        </w:rPr>
      </w:pPr>
      <w:r>
        <w:rPr>
          <w:rFonts w:ascii="Times New Roman" w:cs="Times New Roman" w:eastAsia="Times New Roman" w:hAnsi="Times New Roman"/>
          <w:sz w:val="14"/>
          <w:szCs w:val="14"/>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37"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5"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43"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45"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142" w:lineRule="exact"/>
        <w:rPr>
          <w:sz w:val="20"/>
          <w:szCs w:val="20"/>
          <w:color w:val="auto"/>
        </w:rPr>
      </w:pPr>
    </w:p>
    <w:p>
      <w:pPr>
        <w:jc w:val="both"/>
        <w:ind w:left="1360" w:right="279"/>
        <w:spacing w:after="0" w:line="266" w:lineRule="auto"/>
        <w:rPr>
          <w:sz w:val="20"/>
          <w:szCs w:val="20"/>
          <w:color w:val="auto"/>
        </w:rPr>
      </w:pPr>
      <w:r>
        <w:rPr>
          <w:rFonts w:ascii="Times New Roman" w:cs="Times New Roman" w:eastAsia="Times New Roman" w:hAnsi="Times New Roman"/>
          <w:sz w:val="14"/>
          <w:szCs w:val="14"/>
          <w:color w:val="auto"/>
        </w:rPr>
        <w:t>The securities may be new issues of securities and may have no established trading market, other than the shares of Common Stock, which are listed on Nasdaq Global Market. The securities may or may not be listed on a national securities exchange. We can make no assurance as to the liquidity of or the existence of trading markets for any of the securities.</w:t>
      </w:r>
    </w:p>
    <w:p>
      <w:pPr>
        <w:spacing w:after="0" w:line="1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specific terms of any lock-up provisions in respect of any given offering will be described in the applicable prospectus supplement.</w:t>
      </w:r>
    </w:p>
    <w:p>
      <w:pPr>
        <w:spacing w:after="0" w:line="175" w:lineRule="exact"/>
        <w:rPr>
          <w:sz w:val="20"/>
          <w:szCs w:val="20"/>
          <w:color w:val="auto"/>
        </w:rPr>
      </w:pPr>
    </w:p>
    <w:p>
      <w:pPr>
        <w:ind w:left="1360" w:right="399"/>
        <w:spacing w:after="0" w:line="282" w:lineRule="auto"/>
        <w:rPr>
          <w:sz w:val="20"/>
          <w:szCs w:val="20"/>
          <w:color w:val="auto"/>
        </w:rPr>
      </w:pPr>
      <w:r>
        <w:rPr>
          <w:rFonts w:ascii="Times New Roman" w:cs="Times New Roman" w:eastAsia="Times New Roman" w:hAnsi="Times New Roman"/>
          <w:sz w:val="14"/>
          <w:szCs w:val="14"/>
          <w:color w:val="auto"/>
        </w:rPr>
        <w:t>Any underwriters, dealers and agents may engage in transactions with us, or perform services for us, in the ordinary course of business for which they receive compensation.</w:t>
      </w:r>
    </w:p>
    <w:p>
      <w:pPr>
        <w:spacing w:after="0" w:line="1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anticipated date of delivery of offered securities will be set forth in the applicable prospectus supplement relating to each offer.</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5"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ind w:left="1360" w:right="299"/>
        <w:spacing w:after="0" w:line="266" w:lineRule="auto"/>
        <w:rPr>
          <w:sz w:val="20"/>
          <w:szCs w:val="20"/>
          <w:color w:val="auto"/>
        </w:rPr>
      </w:pPr>
      <w:r>
        <w:rPr>
          <w:rFonts w:ascii="Times New Roman" w:cs="Times New Roman" w:eastAsia="Times New Roman" w:hAnsi="Times New Roman"/>
          <w:sz w:val="14"/>
          <w:szCs w:val="14"/>
          <w:color w:val="auto"/>
        </w:rPr>
        <w:t>Unless the applicable prospectus supplement indicates otherwise, the validity of the securities in respect of which this prospectus is being delivered will be passed upon by Goodwin Procter LLP, Boston, Massachusetts. Additional legal matters may be passed upon for us or any underwriters, dealers or agents, by counsel that we will name in the applicable prospectus supplement.</w:t>
      </w:r>
    </w:p>
    <w:p>
      <w:pPr>
        <w:spacing w:after="0" w:line="30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1360" w:right="379"/>
        <w:spacing w:after="0" w:line="257" w:lineRule="auto"/>
        <w:rPr>
          <w:sz w:val="20"/>
          <w:szCs w:val="20"/>
          <w:color w:val="auto"/>
        </w:rPr>
      </w:pPr>
      <w:r>
        <w:rPr>
          <w:rFonts w:ascii="Times New Roman" w:cs="Times New Roman" w:eastAsia="Times New Roman" w:hAnsi="Times New Roman"/>
          <w:sz w:val="14"/>
          <w:szCs w:val="14"/>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2024 have been so incorporated in reliance on the report (which contains an emphasis of matter paragraph relating to the Company’s incurrence of significant operating losses and expectation to continue generating operating losses and negative cash flows from operations for the foreseeable future as described in Note 1 to the financial statements) of PricewaterhouseCoopers LLP, an independent registered public accounting firm, given on the authority of said firm as experts in auditing and accounting.</w:t>
      </w:r>
    </w:p>
    <w:p>
      <w:pPr>
        <w:spacing w:after="0" w:line="30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7" w:lineRule="exact"/>
        <w:rPr>
          <w:sz w:val="20"/>
          <w:szCs w:val="20"/>
          <w:color w:val="auto"/>
        </w:rPr>
      </w:pPr>
    </w:p>
    <w:p>
      <w:pPr>
        <w:ind w:left="1360" w:right="319"/>
        <w:spacing w:after="0" w:line="266"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the public over the Internet at the SEC’s website at www.sec.gov and on our investor website at https://ir.tangotx.com/. Our website is not a part of this prospectus and is not incorporated by reference in this prospectus.</w:t>
      </w:r>
    </w:p>
    <w:p>
      <w:pPr>
        <w:spacing w:after="0" w:line="137"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We have the authority to designate and issue more than one class or series of stock having various preferences, conversion and other rights, voting powers, restrictions, limitations as to dividends, qualifications, and terms and conditions of redemption. See “</w:t>
      </w:r>
      <w:r>
        <w:rPr>
          <w:rFonts w:ascii="Times New Roman" w:cs="Times New Roman" w:eastAsia="Times New Roman" w:hAnsi="Times New Roman"/>
          <w:sz w:val="14"/>
          <w:szCs w:val="14"/>
          <w:i w:val="1"/>
          <w:iCs w:val="1"/>
          <w:color w:val="auto"/>
        </w:rPr>
        <w:t>Description of Capital Stock</w:t>
      </w:r>
      <w:r>
        <w:rPr>
          <w:rFonts w:ascii="Times New Roman" w:cs="Times New Roman" w:eastAsia="Times New Roman" w:hAnsi="Times New Roman"/>
          <w:sz w:val="14"/>
          <w:szCs w:val="14"/>
          <w:color w:val="auto"/>
        </w:rPr>
        <w:t>.”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Tango Therapeutics, Inc., 201 Brookline Avenue, Suite 901, Boston, MA 02215, Attention: Corporate Secretary.</w:t>
      </w:r>
    </w:p>
    <w:p>
      <w:pPr>
        <w:spacing w:after="0" w:line="143"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on Form S-3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5"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7"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Securities Exchange Act of 1934, as amended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71" w:lineRule="exact"/>
        <w:rPr>
          <w:sz w:val="20"/>
          <w:szCs w:val="20"/>
          <w:color w:val="auto"/>
        </w:rPr>
      </w:pPr>
    </w:p>
    <w:p>
      <w:pPr>
        <w:ind w:left="2120" w:hanging="341"/>
        <w:spacing w:after="0"/>
        <w:tabs>
          <w:tab w:leader="none" w:pos="21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115">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2024, filed with the SEC on February 27, 2025;</w:t>
      </w:r>
    </w:p>
    <w:p>
      <w:pPr>
        <w:spacing w:after="0" w:line="101" w:lineRule="exact"/>
        <w:rPr>
          <w:rFonts w:ascii="Times New Roman" w:cs="Times New Roman" w:eastAsia="Times New Roman" w:hAnsi="Times New Roman"/>
          <w:sz w:val="14"/>
          <w:szCs w:val="14"/>
          <w:color w:val="auto"/>
        </w:rPr>
      </w:pPr>
    </w:p>
    <w:p>
      <w:pPr>
        <w:ind w:left="2120" w:right="279" w:hanging="341"/>
        <w:spacing w:after="0" w:line="266" w:lineRule="auto"/>
        <w:tabs>
          <w:tab w:leader="none" w:pos="21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w:t>
      </w:r>
      <w:hyperlink r:id="rId115">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year ended December 31, 2024 from our amended definitive proxy statement on </w:t>
      </w:r>
      <w:hyperlink r:id="rId116">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(other than information furnished rather than filed) filed with the SEC on April 24, 2025;</w:t>
      </w:r>
    </w:p>
    <w:p>
      <w:pPr>
        <w:spacing w:after="0" w:line="63" w:lineRule="exact"/>
        <w:rPr>
          <w:rFonts w:ascii="Times New Roman" w:cs="Times New Roman" w:eastAsia="Times New Roman" w:hAnsi="Times New Roman"/>
          <w:sz w:val="14"/>
          <w:szCs w:val="14"/>
          <w:color w:val="auto"/>
        </w:rPr>
      </w:pPr>
    </w:p>
    <w:p>
      <w:pPr>
        <w:ind w:left="2120" w:right="479" w:hanging="341"/>
        <w:spacing w:after="0" w:line="282" w:lineRule="auto"/>
        <w:tabs>
          <w:tab w:leader="none" w:pos="2120" w:val="left"/>
        </w:tabs>
        <w:numPr>
          <w:ilvl w:val="0"/>
          <w:numId w:val="51"/>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Quarterly Reports on Form 10-Q for the quarters ended March 31, 2025, June 30, 2025 and September 30, 2025, filed with the SEC on </w:t>
      </w:r>
      <w:hyperlink r:id="rId117">
        <w:r>
          <w:rPr>
            <w:rFonts w:ascii="Times New Roman" w:cs="Times New Roman" w:eastAsia="Times New Roman" w:hAnsi="Times New Roman"/>
            <w:sz w:val="14"/>
            <w:szCs w:val="14"/>
            <w:u w:val="single" w:color="auto"/>
            <w:color w:val="0000EE"/>
          </w:rPr>
          <w:t>May 12,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118">
        <w:r>
          <w:rPr>
            <w:rFonts w:ascii="Times New Roman" w:cs="Times New Roman" w:eastAsia="Times New Roman" w:hAnsi="Times New Roman"/>
            <w:sz w:val="14"/>
            <w:szCs w:val="14"/>
            <w:u w:val="single" w:color="auto"/>
            <w:color w:val="0000EE"/>
          </w:rPr>
          <w:t xml:space="preserve">August 5, 2025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119">
        <w:r>
          <w:rPr>
            <w:rFonts w:ascii="Times New Roman" w:cs="Times New Roman" w:eastAsia="Times New Roman" w:hAnsi="Times New Roman"/>
            <w:sz w:val="14"/>
            <w:szCs w:val="14"/>
            <w:u w:val="single" w:color="auto"/>
            <w:color w:val="0000EE"/>
          </w:rPr>
          <w:t>November 4,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respectively;</w:t>
      </w:r>
    </w:p>
    <w:p>
      <w:pPr>
        <w:spacing w:after="0" w:line="52" w:lineRule="exact"/>
        <w:rPr>
          <w:rFonts w:ascii="Times New Roman" w:cs="Times New Roman" w:eastAsia="Times New Roman" w:hAnsi="Times New Roman"/>
          <w:sz w:val="14"/>
          <w:szCs w:val="14"/>
          <w:color w:val="0000EE"/>
        </w:rPr>
      </w:pPr>
    </w:p>
    <w:p>
      <w:pPr>
        <w:ind w:left="2120" w:right="339" w:hanging="341"/>
        <w:spacing w:after="0" w:line="282" w:lineRule="auto"/>
        <w:tabs>
          <w:tab w:leader="none" w:pos="21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with the SEC on </w:t>
      </w:r>
      <w:hyperlink r:id="rId120">
        <w:r>
          <w:rPr>
            <w:rFonts w:ascii="Times New Roman" w:cs="Times New Roman" w:eastAsia="Times New Roman" w:hAnsi="Times New Roman"/>
            <w:sz w:val="14"/>
            <w:szCs w:val="14"/>
            <w:u w:val="single" w:color="auto"/>
            <w:color w:val="0000EE"/>
          </w:rPr>
          <w:t>June 6, 2025</w:t>
        </w:r>
      </w:hyperlink>
      <w:r>
        <w:rPr>
          <w:rFonts w:ascii="Times New Roman" w:cs="Times New Roman" w:eastAsia="Times New Roman" w:hAnsi="Times New Roman"/>
          <w:sz w:val="14"/>
          <w:szCs w:val="14"/>
          <w:color w:val="auto"/>
        </w:rPr>
        <w:t xml:space="preserve">, </w:t>
      </w:r>
      <w:hyperlink r:id="rId121">
        <w:r>
          <w:rPr>
            <w:rFonts w:ascii="Times New Roman" w:cs="Times New Roman" w:eastAsia="Times New Roman" w:hAnsi="Times New Roman"/>
            <w:sz w:val="14"/>
            <w:szCs w:val="14"/>
            <w:u w:val="single" w:color="auto"/>
            <w:color w:val="0000EE"/>
          </w:rPr>
          <w:t>August 25, 2025</w:t>
        </w:r>
      </w:hyperlink>
      <w:r>
        <w:rPr>
          <w:rFonts w:ascii="Times New Roman" w:cs="Times New Roman" w:eastAsia="Times New Roman" w:hAnsi="Times New Roman"/>
          <w:sz w:val="14"/>
          <w:szCs w:val="14"/>
          <w:color w:val="auto"/>
        </w:rPr>
        <w:t xml:space="preserve">, </w:t>
      </w:r>
      <w:hyperlink r:id="rId122">
        <w:r>
          <w:rPr>
            <w:rFonts w:ascii="Times New Roman" w:cs="Times New Roman" w:eastAsia="Times New Roman" w:hAnsi="Times New Roman"/>
            <w:sz w:val="14"/>
            <w:szCs w:val="14"/>
            <w:u w:val="single" w:color="auto"/>
            <w:color w:val="0000EE"/>
          </w:rPr>
          <w:t>October 23, 2025</w:t>
        </w:r>
      </w:hyperlink>
      <w:r>
        <w:rPr>
          <w:rFonts w:ascii="Times New Roman" w:cs="Times New Roman" w:eastAsia="Times New Roman" w:hAnsi="Times New Roman"/>
          <w:sz w:val="14"/>
          <w:szCs w:val="14"/>
          <w:color w:val="auto"/>
        </w:rPr>
        <w:t xml:space="preserve">, </w:t>
      </w:r>
      <w:hyperlink r:id="rId123">
        <w:r>
          <w:rPr>
            <w:rFonts w:ascii="Times New Roman" w:cs="Times New Roman" w:eastAsia="Times New Roman" w:hAnsi="Times New Roman"/>
            <w:sz w:val="14"/>
            <w:szCs w:val="14"/>
            <w:u w:val="single" w:color="auto"/>
            <w:color w:val="0000EE"/>
          </w:rPr>
          <w:t>October 24, 2025</w:t>
        </w:r>
      </w:hyperlink>
      <w:r>
        <w:rPr>
          <w:rFonts w:ascii="Times New Roman" w:cs="Times New Roman" w:eastAsia="Times New Roman" w:hAnsi="Times New Roman"/>
          <w:sz w:val="14"/>
          <w:szCs w:val="14"/>
          <w:color w:val="auto"/>
        </w:rPr>
        <w:t>, but only to the extent that such information is filed, not furnished; and</w:t>
      </w:r>
    </w:p>
    <w:p>
      <w:pPr>
        <w:spacing w:after="0" w:line="52" w:lineRule="exact"/>
        <w:rPr>
          <w:rFonts w:ascii="Times New Roman" w:cs="Times New Roman" w:eastAsia="Times New Roman" w:hAnsi="Times New Roman"/>
          <w:sz w:val="14"/>
          <w:szCs w:val="14"/>
          <w:color w:val="auto"/>
        </w:rPr>
      </w:pPr>
    </w:p>
    <w:p>
      <w:pPr>
        <w:ind w:left="2120" w:right="239" w:hanging="341"/>
        <w:spacing w:after="0" w:line="266" w:lineRule="auto"/>
        <w:tabs>
          <w:tab w:leader="none" w:pos="21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w:t>
      </w:r>
      <w:hyperlink r:id="rId79">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on September 2, 2020, including any amendments or reports filed for the purpose of updating such description, including </w:t>
      </w:r>
      <w:hyperlink r:id="rId80">
        <w:r>
          <w:rPr>
            <w:rFonts w:ascii="Times New Roman" w:cs="Times New Roman" w:eastAsia="Times New Roman" w:hAnsi="Times New Roman"/>
            <w:sz w:val="14"/>
            <w:szCs w:val="14"/>
            <w:u w:val="single" w:color="auto"/>
            <w:color w:val="0000EE"/>
          </w:rPr>
          <w:t>Exhibit 4.2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2024.</w:t>
      </w:r>
    </w:p>
    <w:p>
      <w:pPr>
        <w:spacing w:after="0" w:line="137" w:lineRule="exact"/>
        <w:rPr>
          <w:rFonts w:ascii="Times New Roman" w:cs="Times New Roman" w:eastAsia="Times New Roman" w:hAnsi="Times New Roman"/>
          <w:sz w:val="14"/>
          <w:szCs w:val="14"/>
          <w:color w:val="auto"/>
        </w:rPr>
      </w:pPr>
    </w:p>
    <w:p>
      <w:pPr>
        <w:ind w:left="1360" w:right="279"/>
        <w:spacing w:after="0" w:line="282"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26" w:lineRule="exact"/>
        <w:rPr>
          <w:rFonts w:ascii="Times New Roman" w:cs="Times New Roman" w:eastAsia="Times New Roman" w:hAnsi="Times New Roman"/>
          <w:sz w:val="14"/>
          <w:szCs w:val="14"/>
          <w:color w:val="auto"/>
        </w:rPr>
      </w:pPr>
    </w:p>
    <w:p>
      <w:pPr>
        <w:ind w:left="1360" w:right="619"/>
        <w:spacing w:after="0" w:line="282" w:lineRule="auto"/>
        <w:rPr>
          <w:sz w:val="20"/>
          <w:szCs w:val="20"/>
          <w:color w:val="auto"/>
        </w:rPr>
      </w:pPr>
      <w:r>
        <w:rPr>
          <w:rFonts w:ascii="Times New Roman" w:cs="Times New Roman" w:eastAsia="Times New Roman" w:hAnsi="Times New Roman"/>
          <w:sz w:val="14"/>
          <w:szCs w:val="14"/>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26" w:lineRule="exact"/>
        <w:rPr>
          <w:rFonts w:ascii="Times New Roman" w:cs="Times New Roman" w:eastAsia="Times New Roman" w:hAnsi="Times New Roman"/>
          <w:sz w:val="14"/>
          <w:szCs w:val="14"/>
          <w:color w:val="auto"/>
        </w:rPr>
      </w:pPr>
    </w:p>
    <w:p>
      <w:pPr>
        <w:ind w:left="1360" w:right="239"/>
        <w:spacing w:after="0" w:line="266" w:lineRule="auto"/>
        <w:rPr>
          <w:sz w:val="20"/>
          <w:szCs w:val="20"/>
          <w:color w:val="auto"/>
        </w:rPr>
      </w:pPr>
      <w:r>
        <w:rPr>
          <w:rFonts w:ascii="Times New Roman" w:cs="Times New Roman" w:eastAsia="Times New Roman" w:hAnsi="Times New Roman"/>
          <w:sz w:val="14"/>
          <w:szCs w:val="14"/>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w:t>
      </w:r>
    </w:p>
    <w:p>
      <w:pPr>
        <w:spacing w:after="0" w:line="137" w:lineRule="exact"/>
        <w:rPr>
          <w:rFonts w:ascii="Times New Roman" w:cs="Times New Roman" w:eastAsia="Times New Roman" w:hAnsi="Times New Roman"/>
          <w:sz w:val="14"/>
          <w:szCs w:val="14"/>
          <w:color w:val="auto"/>
        </w:rPr>
      </w:pPr>
    </w:p>
    <w:p>
      <w:pPr>
        <w:ind w:left="1360"/>
        <w:spacing w:after="0"/>
        <w:rPr>
          <w:sz w:val="20"/>
          <w:szCs w:val="20"/>
          <w:color w:val="auto"/>
        </w:rPr>
      </w:pPr>
      <w:r>
        <w:rPr>
          <w:rFonts w:ascii="Times New Roman" w:cs="Times New Roman" w:eastAsia="Times New Roman" w:hAnsi="Times New Roman"/>
          <w:sz w:val="14"/>
          <w:szCs w:val="14"/>
          <w:color w:val="auto"/>
        </w:rPr>
        <w:t>You may request a copy of these filings, at no cost, by writing or telephoning us at the following address or telephone number:</w:t>
      </w:r>
    </w:p>
    <w:p>
      <w:pPr>
        <w:spacing w:after="0" w:line="175"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201 Brookline Avenue, Suite 901</w:t>
      </w:r>
    </w:p>
    <w:p>
      <w:pPr>
        <w:spacing w:after="0" w:line="22"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Boston, MA 02215</w:t>
      </w:r>
    </w:p>
    <w:p>
      <w:pPr>
        <w:spacing w:after="0" w:line="7"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Attn: Corporate Secretary</w:t>
      </w:r>
    </w:p>
    <w:p>
      <w:pPr>
        <w:spacing w:after="0" w:line="7"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(857) 320-4900</w:t>
      </w:r>
    </w:p>
    <w:p>
      <w:pPr>
        <w:spacing w:after="0" w:line="108"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5"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6" w:lineRule="exact"/>
        <w:rPr>
          <w:sz w:val="20"/>
          <w:szCs w:val="20"/>
          <w:color w:val="auto"/>
        </w:rPr>
      </w:pPr>
    </w:p>
    <w:p>
      <w:pPr>
        <w:jc w:val="center"/>
        <w:ind w:left="1660" w:right="80"/>
        <w:spacing w:after="0" w:line="380" w:lineRule="auto"/>
        <w:rPr>
          <w:sz w:val="20"/>
          <w:szCs w:val="20"/>
          <w:color w:val="auto"/>
        </w:rPr>
      </w:pPr>
      <w:r>
        <w:rPr>
          <w:rFonts w:ascii="Arial" w:cs="Arial" w:eastAsia="Arial" w:hAnsi="Arial"/>
          <w:sz w:val="25"/>
          <w:szCs w:val="25"/>
          <w:b w:val="1"/>
          <w:bCs w:val="1"/>
          <w:i w:val="1"/>
          <w:iCs w:val="1"/>
          <w:color w:val="auto"/>
        </w:rPr>
        <w:t>18,166,667 Shares of Common Stock Pre-Funded Warrants to Purchase 1,833,395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2703830</wp:posOffset>
            </wp:positionH>
            <wp:positionV relativeFrom="paragraph">
              <wp:posOffset>1508125</wp:posOffset>
            </wp:positionV>
            <wp:extent cx="1760855" cy="533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1760855" cy="53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740"/>
        <w:spacing w:after="0"/>
        <w:rPr>
          <w:sz w:val="20"/>
          <w:szCs w:val="20"/>
          <w:color w:val="auto"/>
        </w:rPr>
      </w:pPr>
      <w:r>
        <w:rPr>
          <w:rFonts w:ascii="Arial" w:cs="Arial" w:eastAsia="Arial" w:hAnsi="Arial"/>
          <w:sz w:val="34"/>
          <w:szCs w:val="34"/>
          <w:b w:val="1"/>
          <w:bCs w:val="1"/>
          <w:color w:val="auto"/>
        </w:rPr>
        <w:t>Prospectus supplement</w:t>
      </w:r>
    </w:p>
    <w:p>
      <w:pPr>
        <w:spacing w:after="0" w:line="395" w:lineRule="exact"/>
        <w:rPr>
          <w:sz w:val="20"/>
          <w:szCs w:val="20"/>
          <w:color w:val="auto"/>
        </w:rPr>
      </w:pPr>
    </w:p>
    <w:p>
      <w:pPr>
        <w:jc w:val="right"/>
        <w:ind w:right="239"/>
        <w:spacing w:after="0"/>
        <w:tabs>
          <w:tab w:leader="none" w:pos="5640" w:val="left"/>
          <w:tab w:leader="none" w:pos="2420" w:val="left"/>
          <w:tab w:leader="none" w:pos="520" w:val="left"/>
        </w:tabs>
        <w:rPr>
          <w:sz w:val="20"/>
          <w:szCs w:val="20"/>
          <w:color w:val="auto"/>
        </w:rPr>
      </w:pPr>
      <w:r>
        <w:rPr>
          <w:rFonts w:ascii="Arial" w:cs="Arial" w:eastAsia="Arial" w:hAnsi="Arial"/>
          <w:sz w:val="22"/>
          <w:szCs w:val="22"/>
          <w:b w:val="1"/>
          <w:bCs w:val="1"/>
          <w:color w:val="auto"/>
        </w:rPr>
        <w:t>J.P. Morgan</w:t>
      </w:r>
      <w:r>
        <w:rPr>
          <w:sz w:val="20"/>
          <w:szCs w:val="20"/>
          <w:color w:val="auto"/>
        </w:rPr>
        <w:tab/>
      </w:r>
      <w:r>
        <w:rPr>
          <w:rFonts w:ascii="Arial" w:cs="Arial" w:eastAsia="Arial" w:hAnsi="Arial"/>
          <w:sz w:val="22"/>
          <w:szCs w:val="22"/>
          <w:b w:val="1"/>
          <w:bCs w:val="1"/>
          <w:color w:val="auto"/>
        </w:rPr>
        <w:t>Leerink Partners</w:t>
      </w:r>
      <w:r>
        <w:rPr>
          <w:sz w:val="20"/>
          <w:szCs w:val="20"/>
          <w:color w:val="auto"/>
        </w:rPr>
        <w:tab/>
      </w:r>
      <w:r>
        <w:rPr>
          <w:rFonts w:ascii="Arial" w:cs="Arial" w:eastAsia="Arial" w:hAnsi="Arial"/>
          <w:sz w:val="22"/>
          <w:szCs w:val="22"/>
          <w:b w:val="1"/>
          <w:bCs w:val="1"/>
          <w:color w:val="auto"/>
        </w:rPr>
        <w:t>Cantor</w:t>
      </w:r>
      <w:r>
        <w:rPr>
          <w:sz w:val="20"/>
          <w:szCs w:val="20"/>
          <w:color w:val="auto"/>
        </w:rPr>
        <w:tab/>
      </w:r>
      <w:r>
        <w:rPr>
          <w:rFonts w:ascii="Arial" w:cs="Arial" w:eastAsia="Arial" w:hAnsi="Arial"/>
          <w:sz w:val="22"/>
          <w:szCs w:val="22"/>
          <w:b w:val="1"/>
          <w:bCs w:val="1"/>
          <w:color w:val="auto"/>
        </w:rPr>
        <w:t>Stifel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360"/>
        <w:spacing w:after="0"/>
        <w:rPr>
          <w:sz w:val="20"/>
          <w:szCs w:val="20"/>
          <w:color w:val="auto"/>
        </w:rPr>
      </w:pPr>
      <w:r>
        <w:rPr>
          <w:rFonts w:ascii="Arial" w:cs="Arial" w:eastAsia="Arial" w:hAnsi="Arial"/>
          <w:sz w:val="15"/>
          <w:szCs w:val="15"/>
          <w:b w:val="1"/>
          <w:bCs w:val="1"/>
          <w:color w:val="auto"/>
        </w:rPr>
        <w:t>June 9, 2026</w:t>
      </w:r>
    </w:p>
    <w:p>
      <w:pPr>
        <w:sectPr>
          <w:pgSz w:w="11900" w:h="16838" w:orient="portrait"/>
          <w:cols w:equalWidth="0" w:num="1">
            <w:col w:w="10159"/>
          </w:cols>
          <w:pgMar w:left="300" w:top="385" w:right="1440" w:bottom="1440" w:gutter="0" w:footer="0" w:header="0"/>
        </w:sectPr>
      </w:pPr>
    </w:p>
    <w:bookmarkStart w:id="85" w:name="page86"/>
    <w:bookmarkEnd w:id="85"/>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8"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Tango Therapeutics,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gridSpan w:val="14"/>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ind w:left="36"/>
              <w:spacing w:after="0"/>
              <w:rPr>
                <w:sz w:val="20"/>
                <w:szCs w:val="20"/>
                <w:color w:val="auto"/>
              </w:rPr>
            </w:pPr>
            <w:r>
              <w:rPr>
                <w:rFonts w:ascii="Arial" w:cs="Arial" w:eastAsia="Arial" w:hAnsi="Arial"/>
                <w:sz w:val="17"/>
                <w:szCs w:val="17"/>
                <w:b w:val="1"/>
                <w:bCs w:val="1"/>
                <w:color w:val="auto"/>
              </w:rPr>
              <w:t>Fee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40"/>
              <w:spacing w:after="0" w:line="16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940" w:type="dxa"/>
            <w:vAlign w:val="bottom"/>
            <w:gridSpan w:val="2"/>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6"/>
              <w:spacing w:after="0" w:line="189" w:lineRule="exact"/>
              <w:rPr>
                <w:sz w:val="20"/>
                <w:szCs w:val="20"/>
                <w:color w:val="auto"/>
              </w:rPr>
            </w:pPr>
            <w:r>
              <w:rPr>
                <w:rFonts w:ascii="Arial" w:cs="Arial" w:eastAsia="Arial" w:hAnsi="Arial"/>
                <w:sz w:val="17"/>
                <w:szCs w:val="17"/>
                <w:b w:val="1"/>
                <w:bCs w:val="1"/>
                <w:color w:val="auto"/>
                <w:w w:val="99"/>
              </w:rPr>
              <w:t>or Carry</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jc w:val="right"/>
              <w:ind w:right="36"/>
              <w:spacing w:after="0" w:line="189" w:lineRule="exact"/>
              <w:rPr>
                <w:sz w:val="20"/>
                <w:szCs w:val="20"/>
                <w:color w:val="auto"/>
              </w:rPr>
            </w:pPr>
            <w:r>
              <w:rPr>
                <w:rFonts w:ascii="Arial" w:cs="Arial" w:eastAsia="Arial" w:hAnsi="Arial"/>
                <w:sz w:val="17"/>
                <w:szCs w:val="17"/>
                <w:b w:val="1"/>
                <w:bCs w:val="1"/>
                <w:color w:val="auto"/>
              </w:rPr>
              <w:t>Amount</w:t>
            </w: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20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6"/>
              <w:spacing w:after="0" w:line="189" w:lineRule="exact"/>
              <w:rPr>
                <w:sz w:val="20"/>
                <w:szCs w:val="20"/>
                <w:color w:val="auto"/>
              </w:rPr>
            </w:pPr>
            <w:r>
              <w:rPr>
                <w:rFonts w:ascii="Arial" w:cs="Arial" w:eastAsia="Arial" w:hAnsi="Arial"/>
                <w:sz w:val="17"/>
                <w:szCs w:val="17"/>
                <w:b w:val="1"/>
                <w:bCs w:val="1"/>
                <w:color w:val="auto"/>
                <w:w w:val="98"/>
              </w:rPr>
              <w:t>Forward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ind w:left="36"/>
              <w:spacing w:after="0"/>
              <w:rPr>
                <w:sz w:val="20"/>
                <w:szCs w:val="20"/>
                <w:color w:val="auto"/>
              </w:rPr>
            </w:pPr>
            <w:r>
              <w:rPr>
                <w:rFonts w:ascii="Arial" w:cs="Arial" w:eastAsia="Arial" w:hAnsi="Arial"/>
                <w:sz w:val="17"/>
                <w:szCs w:val="17"/>
                <w:b w:val="1"/>
                <w:bCs w:val="1"/>
                <w:color w:val="auto"/>
              </w:rPr>
              <w:t>Rule</w:t>
            </w: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0"/>
                <w:szCs w:val="10"/>
                <w:color w:val="auto"/>
              </w:rPr>
            </w:pPr>
          </w:p>
        </w:tc>
        <w:tc>
          <w:tcPr>
            <w:tcW w:w="12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3"/>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gridSpan w:val="5"/>
          </w:tcPr>
          <w:p>
            <w:pPr>
              <w:ind w:left="24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7"/>
              </w:rPr>
              <w:t>par value</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ind w:left="36"/>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23,000,071</w:t>
            </w:r>
          </w:p>
        </w:tc>
        <w:tc>
          <w:tcPr>
            <w:tcW w:w="40" w:type="dxa"/>
            <w:vAlign w:val="bottom"/>
          </w:tcPr>
          <w:p>
            <w:pPr>
              <w:spacing w:after="0"/>
              <w:rPr>
                <w:sz w:val="16"/>
                <w:szCs w:val="16"/>
                <w:color w:val="auto"/>
              </w:rPr>
            </w:pPr>
          </w:p>
        </w:tc>
        <w:tc>
          <w:tcPr>
            <w:tcW w:w="78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w w:val="95"/>
              </w:rPr>
              <w:t>$ 30.00</w:t>
            </w: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$ 95,289.30</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$0.001</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continue"/>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9"/>
              </w:rPr>
              <w:t>690,002,130.00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rPr>
              <w:t>Pre-</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Funded</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Warrants</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89"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to</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ind w:left="36"/>
              <w:spacing w:after="0" w:line="189" w:lineRule="exact"/>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line="189" w:lineRule="exact"/>
              <w:rPr>
                <w:sz w:val="20"/>
                <w:szCs w:val="20"/>
                <w:color w:val="auto"/>
              </w:rPr>
            </w:pPr>
            <w:r>
              <w:rPr>
                <w:rFonts w:ascii="Arial" w:cs="Arial" w:eastAsia="Arial" w:hAnsi="Arial"/>
                <w:sz w:val="17"/>
                <w:szCs w:val="17"/>
                <w:color w:val="auto"/>
              </w:rPr>
              <w:t>1,833,395</w:t>
            </w:r>
          </w:p>
        </w:tc>
        <w:tc>
          <w:tcPr>
            <w:tcW w:w="40" w:type="dxa"/>
            <w:vAlign w:val="bottom"/>
          </w:tcPr>
          <w:p>
            <w:pPr>
              <w:spacing w:after="0"/>
              <w:rPr>
                <w:sz w:val="8"/>
                <w:szCs w:val="8"/>
                <w:color w:val="auto"/>
              </w:rPr>
            </w:pPr>
          </w:p>
        </w:tc>
        <w:tc>
          <w:tcPr>
            <w:tcW w:w="780" w:type="dxa"/>
            <w:vAlign w:val="bottom"/>
            <w:vMerge w:val="restart"/>
            <w:shd w:val="clear" w:color="auto" w:fill="E7E7E2"/>
          </w:tcPr>
          <w:p>
            <w:pPr>
              <w:ind w:left="220"/>
              <w:spacing w:after="0" w:line="189" w:lineRule="exact"/>
              <w:rPr>
                <w:sz w:val="20"/>
                <w:szCs w:val="20"/>
                <w:color w:val="auto"/>
              </w:rPr>
            </w:pPr>
            <w:r>
              <w:rPr>
                <w:rFonts w:ascii="Arial" w:cs="Arial" w:eastAsia="Arial" w:hAnsi="Arial"/>
                <w:sz w:val="17"/>
                <w:szCs w:val="17"/>
                <w:color w:val="auto"/>
                <w:w w:val="95"/>
              </w:rPr>
              <w:t>$ 30.00</w:t>
            </w:r>
          </w:p>
        </w:tc>
        <w:tc>
          <w:tcPr>
            <w:tcW w:w="20" w:type="dxa"/>
            <w:vAlign w:val="bottom"/>
          </w:tcPr>
          <w:p>
            <w:pPr>
              <w:spacing w:after="0"/>
              <w:rPr>
                <w:sz w:val="8"/>
                <w:szCs w:val="8"/>
                <w:color w:val="auto"/>
              </w:rPr>
            </w:pPr>
          </w:p>
        </w:tc>
        <w:tc>
          <w:tcPr>
            <w:tcW w:w="1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line="189" w:lineRule="exact"/>
              <w:rPr>
                <w:sz w:val="20"/>
                <w:szCs w:val="20"/>
                <w:color w:val="auto"/>
              </w:rPr>
            </w:pPr>
            <w:r>
              <w:rPr>
                <w:rFonts w:ascii="Arial" w:cs="Arial" w:eastAsia="Arial" w:hAnsi="Arial"/>
                <w:sz w:val="17"/>
                <w:szCs w:val="17"/>
                <w:color w:val="auto"/>
              </w:rPr>
              <w:t>$ 0.00</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w w:val="97"/>
              </w:rPr>
              <w:t>purchase</w:t>
            </w: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gridSpan w:val="5"/>
          </w:tcPr>
          <w:p>
            <w:pPr>
              <w:ind w:left="36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$ 95,289.30</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690,002,130.00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8"/>
              </w:rPr>
              <w:t>Net Fee Due:</w:t>
            </w:r>
          </w:p>
        </w:tc>
        <w:tc>
          <w:tcPr>
            <w:tcW w:w="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$ 95,289.30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9" w:lineRule="exact"/>
        <w:rPr>
          <w:sz w:val="20"/>
          <w:szCs w:val="20"/>
          <w:color w:val="auto"/>
        </w:rPr>
      </w:pPr>
    </w:p>
    <w:p>
      <w:pPr>
        <w:ind w:left="220" w:right="120" w:hanging="184"/>
        <w:spacing w:after="0" w:line="230" w:lineRule="auto"/>
        <w:tabs>
          <w:tab w:leader="none" w:pos="220" w:val="left"/>
        </w:tabs>
        <w:numPr>
          <w:ilvl w:val="0"/>
          <w:numId w:val="52"/>
        </w:numPr>
        <w:rPr>
          <w:rFonts w:ascii="Arial" w:cs="Arial" w:eastAsia="Arial" w:hAnsi="Arial"/>
          <w:sz w:val="21"/>
          <w:szCs w:val="21"/>
          <w:color w:val="auto"/>
          <w:vertAlign w:val="superscript"/>
        </w:rPr>
      </w:pPr>
      <w:r>
        <w:rPr>
          <w:rFonts w:ascii="Arial" w:cs="Arial" w:eastAsia="Arial" w:hAnsi="Arial"/>
          <w:sz w:val="17"/>
          <w:szCs w:val="17"/>
          <w:color w:val="auto"/>
        </w:rPr>
        <w:t>The amount registered assumes the exercise in full of the underwriters' option to purchase up to 3,000,009 additional shares of common stock and includes 1,833,395 shares of common stock issuable upon the exercise of the pre-funded warrants to purchase common stock. Represents the sum of the offering price of the pre-funded warrant sales price of $29.999 per pre-funded warrant and the exercise price of $0.001 per share issuable pursuant to the pre-funded warrants. The filing fee, calculated in accordance with Rule 457(r) under the Securities Act of 1933, as amended, has been transmitted to the Securities and Exchange Commission in connection with the securities offered by means of this prospectus supplement. This "Calculation of Filing Fee" table shall be deemed to update the "Calculation of Registration Fee" table in the Registrant's Registration Statement on Form S-3 filed with the Securities and Exchange Commission on November 21, 2025 (File No. 333-291684).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4819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21" w:lineRule="exact"/>
        <w:rPr>
          <w:sz w:val="20"/>
          <w:szCs w:val="20"/>
          <w:color w:val="auto"/>
        </w:rPr>
      </w:pPr>
    </w:p>
    <w:p>
      <w:pPr>
        <w:ind w:left="220" w:right="200" w:hanging="184"/>
        <w:spacing w:after="0" w:line="228" w:lineRule="auto"/>
        <w:tabs>
          <w:tab w:leader="none" w:pos="220" w:val="left"/>
        </w:tabs>
        <w:numPr>
          <w:ilvl w:val="0"/>
          <w:numId w:val="53"/>
        </w:numPr>
        <w:rPr>
          <w:rFonts w:ascii="Arial" w:cs="Arial" w:eastAsia="Arial" w:hAnsi="Arial"/>
          <w:sz w:val="21"/>
          <w:szCs w:val="21"/>
          <w:color w:val="auto"/>
          <w:vertAlign w:val="superscript"/>
        </w:rPr>
      </w:pPr>
      <w:r>
        <w:rPr>
          <w:rFonts w:ascii="Arial" w:cs="Arial" w:eastAsia="Arial" w:hAnsi="Arial"/>
          <w:sz w:val="17"/>
          <w:szCs w:val="17"/>
          <w:color w:val="auto"/>
        </w:rPr>
        <w:t>Pursuant to Rule 416 under the Securities Act, the pre-funded warrants to purchase common stock being registered hereunder include such indeterminate number of additional shares of common stock as may be issued after the date hereof as a result of share splits, share dividends or similar transactions. The registration fee for the pre-funded warrants is being allocated to the shares of common stock issuable upon exercise of the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4819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330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4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9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-996315</wp:posOffset>
            </wp:positionV>
            <wp:extent cx="7168515" cy="23799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168515" cy="2379980"/>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7"/>
          <w:szCs w:val="17"/>
          <w:b w:val="1"/>
          <w:bCs w:val="1"/>
          <w:color w:val="auto"/>
        </w:rPr>
        <w:t>Rules 457(b) and 0-11(a)(2)</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Claims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Rule 457(p)</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Claims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ectPr>
          <w:pgSz w:w="11900" w:h="16838" w:orient="portrait"/>
          <w:cols w:equalWidth="0" w:num="1">
            <w:col w:w="11360"/>
          </w:cols>
          <w:pgMar w:left="300" w:top="142" w:right="239" w:bottom="0" w:gutter="0" w:footer="0" w:header="0"/>
        </w:sectPr>
      </w:pPr>
    </w:p>
    <w:bookmarkStart w:id="86" w:name="page87"/>
    <w:bookmarkEnd w:id="86"/>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w w:val="98"/>
              </w:rPr>
              <w:t>Table 3: Combined Prospectuses</w:t>
            </w:r>
          </w:p>
        </w:tc>
        <w:tc>
          <w:tcPr>
            <w:tcW w:w="2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ind w:left="70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20"/>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1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right w:val="single" w:sz="8" w:color="auto"/>
            </w:tcBorders>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1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1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maximum aggregate offering price of the securities to which the prospectus relates is $690,002,130.00. The prospectus is a final prospectus for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related offering.</w:t>
      </w:r>
    </w:p>
    <w:sectPr>
      <w:pgSz w:w="11900" w:h="16838" w:orient="portrait"/>
      <w:cols w:equalWidth="0" w:num="1">
        <w:col w:w="11280"/>
      </w:cols>
      <w:pgMar w:left="300" w:top="9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2"/>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1."/>
      <w:numFmt w:val="lowerLetter"/>
      <w:start w:val="1"/>
    </w:lvl>
  </w:abstractNum>
  <w:abstractNum w:abstractNumId="14">
    <w:nsid w:val="614FD4A1"/>
    <w:multiLevelType w:val="hybridMultilevel"/>
    <w:lvl w:ilvl="0">
      <w:lvlJc w:val="left"/>
      <w:lvlText w:val="(%1)"/>
      <w:numFmt w:val="lowerRoman"/>
      <w:start w:val="1"/>
    </w:lvl>
  </w:abstractNum>
  <w:abstractNum w:abstractNumId="15">
    <w:nsid w:val="419AC241"/>
    <w:multiLevelType w:val="hybridMultilevel"/>
    <w:lvl w:ilvl="0">
      <w:lvlJc w:val="left"/>
      <w:lvlText w:val="(%1)"/>
      <w:numFmt w:val="lowerRoman"/>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lowerRoman"/>
      <w:start w:val="1"/>
    </w:lvl>
  </w:abstractNum>
  <w:abstractNum w:abstractNumId="19">
    <w:nsid w:val="3804823E"/>
    <w:multiLevelType w:val="hybridMultilevel"/>
    <w:lvl w:ilvl="0">
      <w:lvlJc w:val="left"/>
      <w:lvlText w:val="(%1)"/>
      <w:numFmt w:val="lowerRoman"/>
      <w:start w:val="1"/>
    </w:lvl>
  </w:abstractNum>
  <w:abstractNum w:abstractNumId="20">
    <w:nsid w:val="77465F01"/>
    <w:multiLevelType w:val="hybridMultilevel"/>
    <w:lvl w:ilvl="0">
      <w:lvlJc w:val="left"/>
      <w:lvlText w:val="(%1)"/>
      <w:numFmt w:val="lowerRoman"/>
      <w:start w:val="8"/>
    </w:lvl>
  </w:abstractNum>
  <w:abstractNum w:abstractNumId="21">
    <w:nsid w:val="7724C67E"/>
    <w:multiLevelType w:val="hybridMultilevel"/>
    <w:lvl w:ilvl="0">
      <w:lvlJc w:val="left"/>
      <w:lvlText w:val="(%1)"/>
      <w:numFmt w:val="lowerRoman"/>
      <w:start w:val="1"/>
    </w:lvl>
  </w:abstractNum>
  <w:abstractNum w:abstractNumId="22">
    <w:nsid w:val="5C482A97"/>
    <w:multiLevelType w:val="hybridMultilevel"/>
    <w:lvl w:ilvl="0">
      <w:lvlJc w:val="left"/>
      <w:lvlText w:val="%1."/>
      <w:numFmt w:val="decimal"/>
      <w:start w:val="1"/>
    </w:lvl>
    <w:lvl w:ilvl="1">
      <w:lvlJc w:val="left"/>
      <w:lvlText w:val="(%2)"/>
      <w:numFmt w:val="lowerLetter"/>
      <w:start w:val="1"/>
    </w:lvl>
  </w:abstractNum>
  <w:abstractNum w:abstractNumId="23">
    <w:nsid w:val="2463B9EA"/>
    <w:multiLevelType w:val="hybridMultilevel"/>
    <w:lvl w:ilvl="0">
      <w:lvlJc w:val="left"/>
      <w:lvlText w:val="%1."/>
      <w:numFmt w:val="decimal"/>
      <w:start w:val="1"/>
    </w:lvl>
    <w:lvl w:ilvl="1">
      <w:lvlJc w:val="left"/>
      <w:lvlText w:val="(%2)"/>
      <w:numFmt w:val="lowerLetter"/>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1"/>
      <w:numFmt w:val="bullet"/>
      <w:start w:val="1"/>
    </w:lvl>
  </w:abstractNum>
  <w:abstractNum w:abstractNumId="52">
    <w:nsid w:val="70C6A529"/>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jpe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jpe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69" Type="http://schemas.openxmlformats.org/officeDocument/2006/relationships/hyperlink" Target="http://www.sec.gov/ix?doc=/Archives/edgar/data/0001819133/000119312526092518/tngx-20251231.htm" TargetMode="External"/><Relationship Id="rId70" Type="http://schemas.openxmlformats.org/officeDocument/2006/relationships/hyperlink" Target="http://www.sec.gov/ix?doc=/Archives/edgar/data/0001819133/000119312526160287/tngx-20260416.htm" TargetMode="External"/><Relationship Id="rId71" Type="http://schemas.openxmlformats.org/officeDocument/2006/relationships/hyperlink" Target="http://www.sec.gov/ix?doc=/Archives/edgar/data/0001819133/000119312526221656/tngx-20260331.htm" TargetMode="External"/><Relationship Id="rId72" Type="http://schemas.openxmlformats.org/officeDocument/2006/relationships/hyperlink" Target="http://www.sec.gov/ix?doc=/Archives/edgar/data/0001819133/000119312526001495/d44532d8k.htm" TargetMode="External"/><Relationship Id="rId73" Type="http://schemas.openxmlformats.org/officeDocument/2006/relationships/hyperlink" Target="http://www.sec.gov/ix?doc=/Archives/edgar/data/0001819133/000119312526007086/d26323d8k.htm" TargetMode="External"/><Relationship Id="rId74" Type="http://schemas.openxmlformats.org/officeDocument/2006/relationships/hyperlink" Target="http://www.sec.gov/ix?doc=/Archives/edgar/data/0001819133/000119312526156127/d144586d8k.htm" TargetMode="External"/><Relationship Id="rId75" Type="http://schemas.openxmlformats.org/officeDocument/2006/relationships/hyperlink" Target="http://www.sec.gov/ix?doc=/Archives/edgar/data/0001819133/000119312526213491/d102174d8k.htm" TargetMode="External"/><Relationship Id="rId76" Type="http://schemas.openxmlformats.org/officeDocument/2006/relationships/hyperlink" Target="http://www.sec.gov/ix?doc=/Archives/edgar/data/0001819133/000119312526221677/tngx-20260513.htm" TargetMode="External"/><Relationship Id="rId77" Type="http://schemas.openxmlformats.org/officeDocument/2006/relationships/hyperlink" Target="http://www.sec.gov/ix?doc=/Archives/edgar/data/0001819133/000119312526257760/d149262d8k.htm" TargetMode="External"/><Relationship Id="rId78" Type="http://schemas.openxmlformats.org/officeDocument/2006/relationships/hyperlink" Target="http://www.sec.gov/ix?doc=/Archives/edgar/data/1819133/000119312526260679/d158334d8k.htm" TargetMode="External"/><Relationship Id="rId79" Type="http://schemas.openxmlformats.org/officeDocument/2006/relationships/hyperlink" Target="http://www.sec.gov/Archives/edgar/data/1819133/000121390020024994/ea126358-8a12b_bctgacquis.htm" TargetMode="External"/><Relationship Id="rId80" Type="http://schemas.openxmlformats.org/officeDocument/2006/relationships/hyperlink" Target="http://www.sec.gov/Archives/edgar/data/1819133/000095017023009854/tngx-ex4_2.htm" TargetMode="External"/><Relationship Id="rId115" Type="http://schemas.openxmlformats.org/officeDocument/2006/relationships/hyperlink" Target="http://www.sec.gov/ix?doc=/Archives/edgar/data/1819133/000095017025028353/tngx-20241231.htm" TargetMode="External"/><Relationship Id="rId116" Type="http://schemas.openxmlformats.org/officeDocument/2006/relationships/hyperlink" Target="http://www.sec.gov/ix?doc=/Archives/edgar/data/1819133/000095017025057632/tngx-20250424.htm" TargetMode="External"/><Relationship Id="rId117" Type="http://schemas.openxmlformats.org/officeDocument/2006/relationships/hyperlink" Target="http://www.sec.gov/ix?doc=/Archives/edgar/data/1819133/000095017025068549/tngx-20250331.htm" TargetMode="External"/><Relationship Id="rId118" Type="http://schemas.openxmlformats.org/officeDocument/2006/relationships/hyperlink" Target="http://www.sec.gov/ix?doc=/Archives/edgar/data/1819133/000095017025102392/tngx-20250630.htm" TargetMode="External"/><Relationship Id="rId119" Type="http://schemas.openxmlformats.org/officeDocument/2006/relationships/hyperlink" Target="http://www.sec.gov/ix?doc=/Archives/edgar/data/1819133/000119312525263680/tngx-20250930.htm" TargetMode="External"/><Relationship Id="rId120" Type="http://schemas.openxmlformats.org/officeDocument/2006/relationships/hyperlink" Target="http://www.sec.gov/ix?doc=/Archives/edgar/data/1819133/000119312525137032/d926935d8k.htm" TargetMode="External"/><Relationship Id="rId121" Type="http://schemas.openxmlformats.org/officeDocument/2006/relationships/hyperlink" Target="http://www.sec.gov/ix?doc=/Archives/edgar/data/1819133/000119312525187680/d88761d8k.htm" TargetMode="External"/><Relationship Id="rId122" Type="http://schemas.openxmlformats.org/officeDocument/2006/relationships/hyperlink" Target="http://www.sec.gov/ix?doc=/Archives/edgar/data/1819133/000119312525247658/d88744d8k.htm" TargetMode="External"/><Relationship Id="rId123" Type="http://schemas.openxmlformats.org/officeDocument/2006/relationships/hyperlink" Target="http://www.sec.gov/ix?doc=/Archives/edgar/data/1819133/000119312525249302/d80580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2026-06-10T16:35:45Z</dcterms:created>
  <dcterms:modified xsi:type="dcterms:W3CDTF">2026-06-10T16:35:45Z</dcterms:modified>
</cp:coreProperties>
</file>