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3820" w:right="1740" w:hanging="3812"/>
        <w:spacing w:after="0" w:line="500" w:lineRule="auto"/>
        <w:tabs>
          <w:tab w:leader="none" w:pos="3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640" w:right="1740" w:hanging="3632"/>
        <w:spacing w:after="0" w:line="495" w:lineRule="auto"/>
        <w:tabs>
          <w:tab w:leader="none" w:pos="3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BCTG ACQUISITION CORP.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3"/>
              </w:rPr>
              <w:t>Delaware</w:t>
            </w:r>
          </w:p>
        </w:tc>
        <w:tc>
          <w:tcPr>
            <w:tcW w:w="272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0"/>
              </w:rPr>
              <w:t>001-39485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85-1195036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center"/>
              <w:ind w:right="880"/>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incorporation or organization)</w:t>
            </w:r>
          </w:p>
        </w:tc>
        <w:tc>
          <w:tcPr>
            <w:tcW w:w="292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72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1"/>
              </w:rPr>
              <w:t>12860 El Camino Real, Suite 300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72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0"/>
              </w:rPr>
              <w:t>San Diego, CA</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92130</w:t>
            </w:r>
          </w:p>
        </w:tc>
      </w:tr>
      <w:tr>
        <w:trPr>
          <w:trHeight w:val="234"/>
        </w:trPr>
        <w:tc>
          <w:tcPr>
            <w:tcW w:w="47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400-3120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27"/>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5"/>
              </w:rPr>
              <w:t>BCTG</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2021, 21,377,250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196"/>
        </w:trPr>
        <w:tc>
          <w:tcPr>
            <w:tcW w:w="10340" w:type="dxa"/>
            <w:vAlign w:val="bottom"/>
            <w:gridSpan w:val="24"/>
            <w:shd w:val="clear" w:color="auto" w:fill="CCEEFF"/>
          </w:tcPr>
          <w:p>
            <w:pPr>
              <w:ind w:left="20"/>
              <w:spacing w:after="0" w:line="16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 as of March 31,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 of Operations for the three months ended March 31, 2021</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 of Changes in Stockholders’ Equity for the three months ended March 31,</w:t>
              </w:r>
            </w:hyperlink>
          </w:p>
        </w:tc>
        <w:tc>
          <w:tcPr>
            <w:tcW w:w="900" w:type="dxa"/>
            <w:vAlign w:val="bottom"/>
            <w:shd w:val="clear" w:color="auto" w:fill="CCEEFF"/>
          </w:tcPr>
          <w:p>
            <w:pPr>
              <w:spacing w:after="0"/>
              <w:rPr>
                <w:sz w:val="15"/>
                <w:szCs w:val="15"/>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ind w:left="16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2021</w:t>
              </w:r>
            </w:hyperlink>
          </w:p>
        </w:tc>
        <w:tc>
          <w:tcPr>
            <w:tcW w:w="8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19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15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1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 of Cash Flows for the three months ended March 31, 2021</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24"/>
            <w:shd w:val="clear" w:color="auto" w:fill="CCEEFF"/>
          </w:tcPr>
          <w:p>
            <w:pPr>
              <w:ind w:left="20"/>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90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 from Registered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3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BCTG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1,258,456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1,314,085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192,828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183,496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1,451,284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166,809,388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166,815,235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168,260,672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168,312,816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202,089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Franchise tax payable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24,164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32,563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301,964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5,836,250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6,138,214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5,950,604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15,712,245 and 15,736,221 shares subject to possible redemption at $10.00 per share as of March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157,122,450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157,362,210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30,000,000 shares authorized; 5,665,005 and 5,641,029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outstanding (excluding 15,712,245 and 15,736,221 shares subject to possible redemption) as of March 31, 2021 and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5,362,242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5,122,484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(362,800)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(123,046)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168,260,672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168,312,816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880"/>
              <w:spacing w:after="0"/>
              <w:rPr>
                <w:sz w:val="20"/>
                <w:szCs w:val="20"/>
                <w:color w:val="auto"/>
              </w:rPr>
            </w:pPr>
            <w:r>
              <w:rPr>
                <w:rFonts w:ascii="Arial" w:cs="Arial" w:eastAsia="Arial" w:hAnsi="Arial"/>
                <w:sz w:val="18"/>
                <w:szCs w:val="18"/>
                <w:b w:val="1"/>
                <w:bCs w:val="1"/>
                <w:color w:val="auto"/>
              </w:rPr>
              <w:t>For the Three Months Ended March 31, 2021</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211,731</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Administrative expenses - related party</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24,164</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(265,895)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before income tax expense</w:t>
            </w:r>
          </w:p>
        </w:tc>
        <w:tc>
          <w:tcPr>
            <w:tcW w:w="20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(239,229)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(239,754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Weighted average shares outstanding, of Public Shares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16,675,000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Public Shares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 of Founder Shares</w:t>
            </w: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4,702,250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Founder Shares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760" w:type="dxa"/>
            <w:vAlign w:val="bottom"/>
            <w:gridSpan w:val="6"/>
          </w:tcPr>
          <w:p>
            <w:pPr>
              <w:ind w:left="260"/>
              <w:spacing w:after="0"/>
              <w:rPr>
                <w:sz w:val="20"/>
                <w:szCs w:val="20"/>
                <w:color w:val="auto"/>
              </w:rPr>
            </w:pPr>
            <w:r>
              <w:rPr>
                <w:rFonts w:ascii="Arial" w:cs="Arial" w:eastAsia="Arial" w:hAnsi="Arial"/>
                <w:sz w:val="18"/>
                <w:szCs w:val="18"/>
                <w:b w:val="1"/>
                <w:bCs w:val="1"/>
                <w:color w:val="auto"/>
                <w:w w:val="92"/>
              </w:rPr>
              <w:t>For the Three Months Ended March 31,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0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5,641,029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5,122,484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80"/>
              </w:rPr>
              <w:t>(123,046)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7"/>
              </w:rPr>
              <w:t>Common stock subject to possible redemption</w:t>
            </w:r>
          </w:p>
        </w:tc>
        <w:tc>
          <w:tcPr>
            <w:tcW w:w="2380" w:type="dxa"/>
            <w:vAlign w:val="bottom"/>
            <w:gridSpan w:val="3"/>
          </w:tcPr>
          <w:p>
            <w:pPr>
              <w:jc w:val="right"/>
              <w:ind w:right="240"/>
              <w:spacing w:after="0"/>
              <w:rPr>
                <w:sz w:val="20"/>
                <w:szCs w:val="20"/>
                <w:color w:val="auto"/>
              </w:rPr>
            </w:pPr>
            <w:r>
              <w:rPr>
                <w:rFonts w:ascii="Arial" w:cs="Arial" w:eastAsia="Arial" w:hAnsi="Arial"/>
                <w:sz w:val="18"/>
                <w:szCs w:val="18"/>
                <w:color w:val="auto"/>
              </w:rPr>
              <w:t>23,976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239,758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239,760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(239,754)</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(239,754)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1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5,665,005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566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5,362,242</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w w:val="87"/>
              </w:rPr>
              <w:t>(362,800</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3880"/>
              <w:spacing w:after="0"/>
              <w:rPr>
                <w:sz w:val="20"/>
                <w:szCs w:val="20"/>
                <w:color w:val="auto"/>
              </w:rPr>
            </w:pPr>
            <w:r>
              <w:rPr>
                <w:rFonts w:ascii="Arial" w:cs="Arial" w:eastAsia="Arial" w:hAnsi="Arial"/>
                <w:sz w:val="18"/>
                <w:szCs w:val="18"/>
                <w:b w:val="1"/>
                <w:bCs w:val="1"/>
                <w:color w:val="auto"/>
              </w:rPr>
              <w:t>For the Three Months Ended March 31,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(239,754)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Interest earned on investments held in Trust Account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(26,666)</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(9,332)</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68,322</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127,162</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525</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Franchise tax payable</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24,114</w:t>
            </w:r>
          </w:p>
        </w:tc>
      </w:tr>
      <w:tr>
        <w:trPr>
          <w:trHeight w:val="223"/>
        </w:trPr>
        <w:tc>
          <w:tcPr>
            <w:tcW w:w="10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(55,629)</w:t>
            </w: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1,314,085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1,258,456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Value of common stock subject to possible redemption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(239,760)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BCTG Acquisition Corp. (“BCTG” or the “Company”) was incorporated as a Delaware corporation on May 21, 2020. The Company was formed for the purpose of effecting a merger, capital stock exchange, asset acquisition, stock purchase, reorganization or other similar business combination (a “Business Combination”) with one or more operating businesses or entities that it has not yet selected (a “target business”). Although the Company is not limited to a particular industry or sector for purposes of consummating a Business Combination, the Company intends to focus on businesses that have their primary operations located in North America and Europe in the biotechnology industry. The Company has neither engaged in any operations nor generated revenue to date, other than searching for a target business and the negotiation of the transactions related to the Proposed Business Combination (as defined below). The Company is an “emerging growth company,” as defined in Section 2(a) of the Securities Act of 1933, as amended (the “Securities Act”), as modified by the Jumpstart our Business Startups Act of 2012 (the “JOBS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2021, BCTG entered into an agreement and plan of merger (as it may be amended and/or restated from time to time, the “Merger Agreement”), by and among BCTG, BCTG Merger Sub Inc., a Delaware corporation and a wholly-owned subsidiary of BCTG (“Merger Sub”), and Tango Therapeutics, Inc. (“Tango”). The Merger Agreement provides for the merger of Merger Sub with and into Tango, with Tango continuing as the surviving entity. Tango is a biotechnology company committed to discovering and delivering the next generation of precision cancer medicines. See “The Proposed Business Combination” described below.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Company activity for the period from May 21, 2020 (inception) through March 31, 2021 has been related to the Company’s formation and initial public offering (“Initial Public Offering”) described below, and since the Initial Public Offering, the search for a prospective initial Business Combination and the negotiation of the transactions related to the Proposed Business Combination. The Company will not generate any operating revenue until after the completion of its initial Business Combination, at the earliest. The Company generates non-operating income in the form of income earned on investments on cash and cash equivalents in the Trust Account (as defined below). The Company has selected December 31 as its fiscal year end.</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sponsor is BCTG Holdings, LLC, a Delaware limited liability company (the “Sponsor”). The registration statement for the Company’s Initial Public Offering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stock exchange listing rules, the Company’s initial Business Combination must be with one or more operating businesses or assets with a fair market value equal to at least 80% of the net assets held in the Trust Account (excluding the amount of any deferred underwriting discount held in trust and taxes payable on the income earned on the Trust Account) at the time the Company signs a definitive agreement in connection with its initial Business Combination. The terms of the Merger Agreement satisfy this requirement. However, the Company will only complete an initial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the Company will be able to successfully complete a Business Combination.</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will provide the holders of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share, plus any pro rata interest earned on the funds held in the Trust Account and not previously released to the Company to pay its tax obligations). The per-share amount to be distributed to Public Stockholders who redeem their Public Shares will not be reduced by the deferred underwriting commissions the Company will pay to the underwriters (as discussed in Note 5). In such case, 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in connection with the Initial Public Offering (the “Amended and Restated Certificate”),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holders of the Founder Shares prior to the Initial Public Offering (the “Initial Stockholders”) have agreed to vote their Founder Shares (as defined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 In addition, the Company has agreed not to enter into a definitive agreement regarding an initial Business Combination without the prior consent of the Sponsor.</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Company holds a stockholder vote or there is a tender offer for shares in connection with an initial Business Combination, a stockholder will have the right to redeem such holder’s Public Shares for an amount in cash equal to such holder’s pro rata share of the aggregate amount on deposit in the Trust Account as of two business days prior to the consummation of the initial Business Combination, including interest not previously released to the Company to pay its franchise and income taxes. As a result, such common stock has been recorded at redemption amount and classified as temporary equity, in accordance with the Financial Accounting Standard Board (“FASB”), Accounting Standard Codification (“ASC”) 480, “Distinguishing Liabilities from Equity.” The amount in the Trust Account is initially anticipated to be $10.00 per Public Share.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the foregoing, the Company’s Amended and Restated Certificate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shares of common stock sold in the Initial Public Offering, without the prior consent of the Company.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Sponsor, executive officers, and directors have agreed not to propose an amendment to the Company’s Amended and Restated Certificate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Stockholders with the opportunity to redeem their shares of common stock in conjunction with any such amendment.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the Company’s obligations under Delaware law to provide for claims of creditors and the requirements of other applicable law.</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waive their liquidation rights with respect to the Founder Shares if the Company fails to complete a Business Combination within the Combination Period. However, if the Initial Stockholders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seek to have all third parties (other than the Company’s independent registered public accounting firm) and any prospective target businesses enter into valid and enforceable agreements with the Company waiving any right, title, interest or claim of any kind they may have in or to any monies held in the Trust Account. Nevertheless, there is no guarantee that vendors, service providers and prospective target businesses will execute such agreements. The Company’s insiders have agreed that they will be jointly and severally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Public Share, except as to any claims by a third party who executed a valid and enforceable agreement with the Company waiving any right, title, interest or claim of any kind they may have in or to any monies held in the Trust Account and except as to any claims under our indemnity of the underwriters of the Initial Public Offering against certain liabilities, including liabilities under the Securities Act. However, the Company’s insiders may not be able to satisfy their indemnification obligations. Moreover, the Company’s insiders will not be liable to the Public Stockholders and instead will only have liability to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 Stock certificates evidencing the Merger Consideration shall bear restrictive legends as required by any securities laws at the time of the closing of the Proposed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(i) stockholder approval;</w:t>
      </w:r>
    </w:p>
    <w:p>
      <w:pPr>
        <w:spacing w:after="0" w:line="46" w:lineRule="exact"/>
        <w:rPr>
          <w:sz w:val="20"/>
          <w:szCs w:val="20"/>
          <w:color w:val="auto"/>
        </w:rPr>
      </w:pPr>
    </w:p>
    <w:p>
      <w:pPr>
        <w:jc w:val="both"/>
        <w:ind w:firstLine="8"/>
        <w:spacing w:after="0" w:line="281" w:lineRule="auto"/>
        <w:tabs>
          <w:tab w:leader="none" w:pos="282"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Material Adverse Effect (as defined in the Merger Agreement) with respect to Tango since the date of the Merger Agreement; (iii) 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w:t>
      </w:r>
    </w:p>
    <w:p>
      <w:pPr>
        <w:spacing w:after="0" w:line="2"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BCTG and certain Tango stockholders having entered into an amended and restated registration rights agreement.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execution of the Merger Agreement, BCTG entered into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20, 2021, the Company filed with the SEC a Registration Statement on Form S-4, that includes a preliminary proxy statement/prospectus, and, when available, the Company intends to file a definitive proxy statement and final prospectus to call a special meeting of the holders of BCTG common stock to vote at the meeting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may be terminated by BCTG or Tango under certain circumstances, including (i) by mutual written consent of BCTG and Tango;</w:t>
      </w:r>
    </w:p>
    <w:p>
      <w:pPr>
        <w:spacing w:after="0" w:line="46" w:lineRule="exact"/>
        <w:rPr>
          <w:sz w:val="20"/>
          <w:szCs w:val="20"/>
          <w:color w:val="auto"/>
        </w:rPr>
      </w:pPr>
    </w:p>
    <w:p>
      <w:pPr>
        <w:jc w:val="both"/>
        <w:ind w:firstLine="8"/>
        <w:spacing w:after="0" w:line="255" w:lineRule="auto"/>
        <w:tabs>
          <w:tab w:leader="none" w:pos="268"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$1.3 million of cash in its operating account and approximately $1.2 million of working capital.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Through March 31, 2021, the Company’s liquidity needs were satisfied through a payment of $25,000 from the Company’s Sponsor in exchange for the issuance of the Founder Shares (as defined in Note 4), the loan under the certain promissory notes from the Company to the Sponsor of approximately $127,000 to the Company to cover for offering costs in connection with the Initial Public Offering, and net proceeds from the consummation of the Private Placement not held in the Trust Account. The Company fully repaid the promissory notes on September 10, 2020. In addition, in order to finance transaction costs in connection with a Business Combination, the Company’s officers, directors and initial stockholders may, but are not obligated to, provide the Company Working Capital Loans (see Note 4). However, in the Merger Agreement, we have covenanted not to enter into any such arrangements. Accordingly, as of March 31, 2021, there were no amounts outstanding under any Working Capital Loans.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period for the three months ended March 31, 2021 are not necessarily indicative of the results that may be expected through December 31, 2021.</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Tango. All significant intercompany accounts and transactions are eliminated.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As of March 31, 2021,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w:t>
      </w:r>
    </w:p>
    <w:p>
      <w:pPr>
        <w:spacing w:after="0" w:line="46" w:lineRule="exact"/>
        <w:rPr>
          <w:sz w:val="20"/>
          <w:szCs w:val="20"/>
          <w:color w:val="auto"/>
        </w:rPr>
      </w:pPr>
    </w:p>
    <w:p>
      <w:pPr>
        <w:jc w:val="both"/>
        <w:ind w:firstLine="8"/>
        <w:spacing w:after="0" w:line="271" w:lineRule="auto"/>
        <w:tabs>
          <w:tab w:leader="none" w:pos="35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are included in interest earned on investments held in the Trust Account on the accompanying statement of operations. The estimated fair values of investments held in the Trust Account are determined using available market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 in conformity with U.S. GAAP requires the Company’s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carrying values of cash, accounts payable and accrued expenses approximate their fair values due to the short-term nature of the instruments. The Company’s marketable securities held in Trust Account are comprised of investments in U.S. Treasury securities with an original maturity of 185 days or less and are recognized at fair value. The fair value of marketable securities held in Trust Account is determined using quoted prices in active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and that were charged to Stockholders’ equity upon the completion of the Initial Public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shares of common stock are classified as stockholders’ equity. The Company’s common stock features certain redemption rights that are considered to be outside of the Company’s control and subject to the occurrence of uncertain future events. Accordingly, at March 31, 2021 and December 31, 2020, 15,712,245 and 15,736,221 shares of common stock subject to possible redemption are presented as temporary equity, outside of the stockholders’ equity section of the Company’s balance sheet,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complies with the accounting and reporting requirements of Financial Accounting Standards Board Accounting Standard Codification, or FASB ASC,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per common share is computed by dividing net loss by the weighted-average number of common shares outstanding during the periods.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unaudited condensed consolidated statement of operations include a presentation of loss per share for common shares subject to redemption in a manner similar to the two-class method of income per share. Net loss per share, basic and diluted for Public Shares for three months ended March 31, 2021 is calculated by dividing the investment income earned on the Trust Account of approximately $27,000, net of applicable income and franchise taxes available to be withdrawn from the Trust Account of approximately $25,000 by the weighted average number of Public Shares outstanding for the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per share, basic and diluted for Founder Shares for the three months ended March 31, 2021 is calculated by dividing the net loss of approximately $240,000, less net income attributable to Public Shares of approximately $2,000, resulting in a net loss of approximately $242,000, by the weighted average number of non-redeemable common shares outstanding for the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Options (Subtopic 470-20) and Derivatives and Hedging—Contracts in Entity’s Own Equity (Subtopic 815-40): 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8, 2020, the Company consummated its Initial Public Offering of 16,675,000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2020, the Company issued 3,593,750 shares of common stock to the Sponsor (the “Founder Shares”) for an aggregate purchase price of $25,000. On September 2, 2020, the Company declared a dividend of 0.16 shares for each outstanding share of common stock (an aggregate of 575,000 shares), resulting in an aggregate of 4,168,750 shares outstanding. All shares and associated amounts have been retroactively restated to reflect the share dividend.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the Company’s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Concurrently with the closing of the Initial Public Offering, the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Sponsor and the Company’s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finance transaction costs in connection with a Business Combination, the Initial Stockholders may, but are not obligated to, loan the Company funds, from time to time or at any time, in whatever amount they deem reasonable in their sole discretion (the “Working Capital Loans”). Each loan would be evidenced by a promissory note. The notes would either be paid upon consummation of the initial Business Combination, without interest, or, at the lender’s discretion, up to $1,500,000 of the notes may be converted upon consummation of the Business Combination into additional private placement shares at a conversion price of $10.00 per share. If the Company does not complete a Business Combination, the loans would not be repaid. Such private placement shares would be identical to the Private Placement Shares. However, in the Merger Agreement, we have covenanted not to enter into any such arrangements. Accordingly, to date, the Company had no borrowings under the Working Capital Loans.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September 2, 2020, the Company agreed to pay an affiliate of the Sponsor a total of $10,000 per month for office space and certain office and secretarial services. Upon completion of the initial Business Combination or the Company’s liquidation, the Company will cease paying these monthly fees. The Company incurred $30,000 of such expenses during the three months ended March 31, 2021. As of March 31, 2021, no amounts were payable related to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Sponsor entered into an agreement to purchase an aggregate of at least 2,500,000 shares of common stock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its efforts with respect to an initial Business Combination, the specific impact is not readily determinable as of the date of this financial statement. The financial statement does not include any adjustments that might result from the outcome of this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with a par value of $0.0001 per share. As of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shares of preferred stock issued or outstanding.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—The Company is authorized to issue 30,000,000 shares of common stock, par value of $0.0001 per share. On September 2,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declared a dividend of 0.16 shares for each outstanding share of common stock (an aggregate of 575,000 shares). All shares and associated amounts have been retroactively restated to reflect the share dividend. As of March 31, 2021, there were 21,377,250 shares of common stock outstanding, including 15,712,245 shares of common stock subject to possible redemption that were classified outside of permanent equity in the accompanying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information about the Company’s assets that are measured at fair value on a recurring basis and indicates the fair value hierarchy of the valuation techniques that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Significant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Quoted Prices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280"/>
              <w:spacing w:after="0"/>
              <w:rPr>
                <w:sz w:val="20"/>
                <w:szCs w:val="20"/>
                <w:color w:val="auto"/>
              </w:rPr>
            </w:pPr>
            <w:r>
              <w:rPr>
                <w:rFonts w:ascii="Arial" w:cs="Arial" w:eastAsia="Arial" w:hAnsi="Arial"/>
                <w:sz w:val="18"/>
                <w:szCs w:val="18"/>
                <w:b w:val="1"/>
                <w:bCs w:val="1"/>
                <w:color w:val="auto"/>
              </w:rPr>
              <w:t>in Active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Observable</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b w:val="1"/>
                <w:bCs w:val="1"/>
                <w:color w:val="auto"/>
              </w:rPr>
              <w:t>Markets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3)</w:t>
            </w:r>
          </w:p>
        </w:tc>
        <w:tc>
          <w:tcPr>
            <w:tcW w:w="100" w:type="dxa"/>
            <w:vAlign w:val="bottom"/>
            <w:tcBorders>
              <w:bottom w:val="single" w:sz="8" w:color="CCEEFF"/>
            </w:tcBorders>
          </w:tcPr>
          <w:p>
            <w:pPr>
              <w:spacing w:after="0"/>
              <w:rPr>
                <w:sz w:val="20"/>
                <w:szCs w:val="20"/>
                <w:color w:val="auto"/>
              </w:rPr>
            </w:pPr>
          </w:p>
        </w:tc>
      </w:tr>
      <w:tr>
        <w:trPr>
          <w:trHeight w:val="257"/>
        </w:trPr>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1"/>
              </w:rPr>
              <w:t>166,809,38 8</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(1)  Includes approximately $4,000 of investments held in cash within the Trust Account.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ind w:left="40"/>
              <w:spacing w:after="0"/>
              <w:rPr>
                <w:sz w:val="20"/>
                <w:szCs w:val="20"/>
                <w:color w:val="auto"/>
              </w:rPr>
            </w:pPr>
            <w:r>
              <w:rPr>
                <w:rFonts w:ascii="Arial" w:cs="Arial" w:eastAsia="Arial" w:hAnsi="Arial"/>
                <w:sz w:val="18"/>
                <w:szCs w:val="18"/>
                <w:b w:val="1"/>
                <w:bCs w:val="1"/>
                <w:color w:val="auto"/>
              </w:rPr>
              <w:t>Quoted Prices in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6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Active Markets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rPr>
              <w:t>(Level 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Treasury Securities maturing March 4, 2021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87"/>
              </w:rPr>
              <w:t>166,811,648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Includes approximately $4,000 of investments held in cash within the Trust Account.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BCTG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Transfers to/from Levels 1, 2, and 3 are recognized at the end of the reporting period. There were no transfers between levels of the hierarchy for the three months ended March 31, 2021. Level 1 instruments include investments U.S. Treasury securities with an original maturity of 185 days or less.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subsequent events and transactions that occurred up to the date unaudited condensed consolidated financial statements were available to be issued. Based upon this review, the Company determined that, except as disclosed in Note 1, there have been no events that have occurred that would require adjustments to the disclosures in the unaudited condensed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to the “Company,” “BCTG Acquisition Corp.,” “BCTG,” “our,” “us” or “we” refer to BCTG Acquisition Corp. The following discussion and analysis of the Company’s financial condition and results of operations should be read in conjunction with the unaudited interim condensed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blank check company incorporated in Delaware on May 21,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sponsor is BCTG Holdings, LLC, a Delaware limited liability company (the “Sponsor”). The registration statement for our Initial Public Offering was declared effective on September 2, 2020. On September 8, 2020, we consummated our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(Note 5).</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533,500 shares of common stock (the “Private Placement Shares”), at a price of $10.00 per Private Placement Share to the Sponsor, generating gross proceeds of approximately $5.3 million (Note 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Upon the closing of the Initial Public Offering and the Private Placement, approximately $166.8 million, representing the net proceeds of the Initial Public Offering and certain of the proceeds of the Private Placement was placed in a trust account (“Trust Account”) in the United States maintained by Continental Stock Transfer &amp; Trust Company, as trustee, and will remain invested only in U.S. government treasury bills, notes and bonds with a maturity of 185 days or less or in money market funds meeting certain conditions under Rule 2a-7 under the Investment Company Act and which invest solely in U.S. Treasuries, until the earlier of: (i) the completion of a Business Combination and (ii) the distribution of the Trust Account as described below.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Our management has broad discretion with respect to the specific application of the net proceeds of its Initial Public Offering and the sale of Private Placement Shares, although substantially all of the net proceeds are intended to be applied generally toward consummating a Business Combination. Furthermore, there is no assurance that we will be able to successfully complete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Business Combination has not been consummated within 24 months from the closing of the Initial Public Offering, or September 8, 2022 (the “Combination Period”) and stockholders do not approve an amendment to the amended and restated certificate of incorporation to extend this date, we will</w:t>
      </w:r>
    </w:p>
    <w:p>
      <w:pPr>
        <w:jc w:val="both"/>
        <w:ind w:firstLine="8"/>
        <w:spacing w:after="0" w:line="253" w:lineRule="auto"/>
        <w:tabs>
          <w:tab w:leader="none" w:pos="218"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stockholders and the board of directors, dissolve and liquidate, subject (in the case of (ii) and (iii) above) to our obligations under Delaware law to provide for claims of creditors and the requirements of other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 Pursuant to the Merger Agreement, at the closing of the transactions contemplated thereby, Merger Sub will merge with and into Tango (the “Merger”) with Tango surviving the merger as a wholly-owned subsidiary of BCTG (the “Proposed Business Combination”). In addition, in connection with the consummation of the Proposed Business Combination, BCTG will be renamed “Tango Therapeutics, Inc.”</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At the effective time of the Proposed Business Combination (the “Effective Time”), by virtue of the consummation of the Proposed Business Combination and without any further action on the part of BCTG, Merger Sub or Tango (after Tango causes each share of Tango preferred stock that is issued and outstanding immediately prior to the consummation of the Proposed Business Combination to be automatically converted immediately prior to the consummation of the Proposed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common stock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consummation of the Proposed Business Combination. Stock certificates evidencing the Merger Consideration shall bear restrictive legends as required by any securities laws at the time of the closing of the Proposed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spacing w:after="0" w:line="291" w:lineRule="auto"/>
        <w:rPr>
          <w:sz w:val="20"/>
          <w:szCs w:val="20"/>
          <w:color w:val="auto"/>
        </w:rPr>
      </w:pPr>
      <w:r>
        <w:rPr>
          <w:rFonts w:ascii="Arial" w:cs="Arial" w:eastAsia="Arial" w:hAnsi="Arial"/>
          <w:sz w:val="16"/>
          <w:szCs w:val="16"/>
          <w:color w:val="auto"/>
        </w:rPr>
        <w:t>The closing of the Proposed Business Combination is subject to certain customary conditions of the respective parties, including, among other things, (i) stockholder approval; (ii) no Material Adverse Effect (as defined in the Merger Agreement) with respect to Tango since the date of the Merger Agreement;</w:t>
      </w:r>
    </w:p>
    <w:p>
      <w:pPr>
        <w:jc w:val="both"/>
        <w:ind w:firstLine="8"/>
        <w:spacing w:after="0" w:line="273"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expiration or termination of the Hart Scott-Rodino waiting period; (iv) a minimum of $5,000,001 of net tangible assets immediately following the closing (after giving effect to any redemptions); (v) proceeds, net of BCTG expenses, at the closing of at least $300 million (subject to certain shortfall provisions); (vi) satisfaction of any applicable listing requirements of The Nasdaq Capital Market; (vii) delivery by certain Tango stockholders of lock-up agreements; and (viii) BCTG and certain Tango stockholders having entered into an amended and restated registration rights agreement.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execution of the Merger Agreement BCTG also entered into certain subscription agreements (the “Subscription Agreements”) with certain institutional and accredited investors, pursuant to which, among other things, BCTG agreed to issue and sell, in a private placement to close immediately prior to the closing of the Proposed Business Combination, an aggregate of 18,610,000 shares of BCTG common stock for $10.00 per share for a total of $186,100,000.00.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20, 2021, the Company filed with the SEC a Registration Statement on Form S-4, that includes a preliminary proxy statement/prospectus, and, when available, the Company intends to file a definitive proxy statement and final prospectus to call a special meeting of the holders of BCTG common stock to vote at the meeting (the “Special Meeting”). The holders of the majority of the voting power of BCTG’s common stock present in person or represented by proxy at the Special Meeting must approve the Merger Agreement, the Proposed Business Combination and certain other actions related thereto, as provided in the Delaware General Corporation Law, BCTG’s certificate of incorporation and applicable listing rules of The Nasdaq Stock Market LLC.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may be terminated by BCTG or Tango under certain circumstances, including (i) by mutual written consent of BCTG and Tango;</w:t>
      </w:r>
    </w:p>
    <w:p>
      <w:pPr>
        <w:spacing w:after="0" w:line="46" w:lineRule="exact"/>
        <w:rPr>
          <w:sz w:val="20"/>
          <w:szCs w:val="20"/>
          <w:color w:val="auto"/>
        </w:rPr>
      </w:pPr>
    </w:p>
    <w:p>
      <w:pPr>
        <w:jc w:val="both"/>
        <w:ind w:firstLine="8"/>
        <w:spacing w:after="0" w:line="255"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either BCTG or Tango if the closing of the Business Combination has not occurred on or before September 30, 2021; (iii) by either BCTG or Tango if BCTG has not obtained the necessary stockholder approvals; or (iv) by BCTG if Tango has not timely delivered written consent of the Tango stockholders to the Merger Agreement.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Subscription Agreements and other support agreements have been filed as exhibits to and described in the Company’s Current Report on Form 8-K filed with the SEC on April 14,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Merger Agreement and other agreements have been filed with the SEC as a Current Report on Form 8-K on April 14, 2021. We have also filed a Form S-4 with a preliminary proxy on April 20,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approximately $1.3 million in our operating bank account, and working capital of approximately $1.2 million.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March 31, 2021, our liquidity needs were satisfied through a payment of $25,000 from our Sponsor in exchange for the issuance of the Founder Shares (as defined below), the loan under the certain promissory notes we issued to the Sponsor of approximately $127,000 to us to cover for offering costs in connection with the Initial Public Offering, and net proceeds from the consummation of the Private Placement not held in the Trust Account. We fully repaid the promissory notes on September 10, 2020. In addition, in order to finance transaction costs in connection with a Business Combination, our officers, directors and initial stockholders may, but are not obligated to, provide us Working Capital Loans (see Note 4). However, in the Merger Agreement, we have covenanted not to enter into any such arrangements. Accordingly, as of March 31, 2021, there were no amounts outstanding under any Working Capital Loans.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initial Business Combination.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our financial position, results of our operations and/or its efforts with respect to an initial Business Combination, the specific impact is not readily determinable as of the date of the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entire activity since inception up to March 31, 2021 was in preparation for our formation and the Initial Public Offering and, since the closing of our Initial Public Offering, a search for business combination candidates and the negotiation of the transactions related to the Proposed Business Combination. We will not be generating any operating revenues until the closing and completion of our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we had net loss of approximately $240,000, which consisted of approximately $242,000 general and administrative expenses including $30,000 general and administrative expenses – related party, approximately $25,000 of franchise tax expense, and $525 of income tax expense, offset by approximately $27,000 of net gain from investments held in the trust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2020, we issued 3,593,750 shares of common stock to our Sponsor in exchange for a payment of $25,000 (the “Founder Shares”). On September 2, 2020, we declared a dividend of 0.16 shares for each outstanding share of common stock (an aggregate of 575,000 shares), resulting in an aggregate of 4,168,750 shares outstanding. All shares and associated amounts have been retroactively restated to reflect the share dividend. Our Sponsor currently owns an aggregate of 4,488,450 shares of common stock, and our independent directors and advisors collectively own 213,800 shares of common stock.</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agreed not to transfer, assign or sell any of their Founder Shares (except to certain permitted transferees) until the earlier of (i) one year after the date of the consummation of the initial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initial Business Combination, or earlier if, subsequent to the initial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Concurrently with the closing of the Initial Public Offering, our Sponsor purchased 533,500 Private Placement Shares, at a price of $10.00 per share, in a private placement for an aggregate purchase price of approximately $5.3 million. The Private Placement Shares are identical to the shares of common stock sold in the Initial Public Offering, subject to certain limited exceptions as described in Note 1 of our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Our Sponsor and our officers and directors have agreed, subject to limited exceptions, not to transfer, assign or sell any of their Private Placement Shares until 30 days after the completion of the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21, 2020 and June 10, 2020, our Sponsor agreed to loan us up to $25,025 and $274,975, respectively, for an aggregate amount of $300,000 to be used for the payment of costs related to the Initial Public Offering pursuant to certain promissory notes. These promissory notes were non-interest bearing, unsecured and due upon the date we consummate the Initial Public Offering. We borrowed approximately $127,000 under these promissory notes and repaid them in full on September 10, 2020.</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fund working capital deficiencies or finance transaction costs in connection with an intended initial Business Combination, the initial stockholders, officers and directors and their affiliates may, but are not obligated to, loan us funds as may be required (the “Working Capital Loans”). Each loan would be evidenced by a promissory note. The notes would either be paid upon consummation of the initial Business Combination, without interest, or, at the lender’s discretion, up to $1.5 million of the notes may be converted upon consummation of the Business Combination into additional private placement shares at a conversion price of $10.00 per share. If we do not complete a Business Combination, the loans will not be repaid. Such private placement shares would be identical to the Private Placement Shares. However, in the Merger Agreement, we have covenanted not to enter into any such arrangements. Accordingly, we did not have any borrowings under the Working Capital Loans as of March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Commencing on September 2, 2020, we agreed to pay an affiliate of the Sponsor a total of $10,000 per month for office space and certain office and secretarial services. Upon completion of the initial Business Combination or our liquidation, we will cease paying these monthly fees. For the three months ended March 31, 2021, we incurred $30,000 related to these services. As of March 31, 2021, no amounts were payable related to this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Commitment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Sponsor entered into an agreement to purchase an aggregate of at least 2,500,000 shares of common for an aggregate purchase price of $25.0 million, or $10.00 per share, prior to, concurrently with, or following the closing of the initial Business Combination in a private placement. The funds from such private placement may be used as part of the consideration to the sellers in the initial Business Combination, and any excess funds from such private placement may be used for working capital in the post-transaction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the Founder Shares, Private Placement Shares and shares that may be issued upon conversion of Working Capital Loans are entitled to registration rights pursuant to a registration rights agreement.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consummation of a Business Combination. We will bear the expenses incurred in connection with the filing of any such registration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underwriters in our Initial Public Offering were entitled to an underwriting discount of $0.20 per share, or approximately $3.3 million in the aggregate, which was paid upon the closing of the Initial Public Offering. In addition, the underwriters will be entitled to a deferred underwriting commission of $0.35 per share, or approximately $5.8 million in the aggregate. The deferred fee will become payable to the underwriters from the amounts held in the Trust Account solely in the event that we complete a Business Combination, subject to the terms of the underwriting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common stock subject to possible redemption in accordance with the guidance in ASC Topic 480 “Distinguishing Liabilities from Equity.” Shares of common stock subject to mandatory redemption (if any) are classified as liability instruments and are measured at fair value. Shares of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shares of common stock are classified as stockholders’ equity. Our common stock features certain redemption rights that are considered to be outside of our control and subject to the occurrence of uncertain future events.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is computed by dividing net loss by the weighted-average number of common shares outstanding during the periods.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unaudited condensed consolidated statements of operation include a presentation of loss per share for common shares subject to redemption in a manner similar to the two-class method of income per share. Net loss per share, basic and diluted for Public Shares for three months ended March 31, 2021 is calculated by dividing the investment income earned on the Trust Account of approximately $27,000, net of applicable income and franchise taxes available to be withdrawn from the Trust Account of approximately $25,000 by the weighted average number of Public Shares outstanding for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per share, basic and diluted for Founder Shares for the three months ended March 31, 2021 is calculated by dividing the net loss of approximately $240,000, less net income attributable to Public Shares of approximately $2,000, resulting in a net loss of approximately $242,000, by the weighted average number of non-redeemable common shares outstanding for the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2020, the Financial Accounting Standards Board (“FASB”) issued Accounting standards update (“ASU”) 2020-06, </w:t>
      </w:r>
      <w:r>
        <w:rPr>
          <w:rFonts w:ascii="Arial" w:cs="Arial" w:eastAsia="Arial" w:hAnsi="Arial"/>
          <w:sz w:val="18"/>
          <w:szCs w:val="18"/>
          <w:i w:val="1"/>
          <w:iCs w:val="1"/>
          <w:color w:val="auto"/>
        </w:rPr>
        <w:t>Debt—Debt with Conversion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Options (Subtopic 470-20) and Derivatives and Hedging—Contracts in Entity’s Own Equity (Subtopic 815-40): 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our annual fiscal year. We are currently evaluating the impact of this standard on our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unaudited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March 31, 2021,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ended March 31, 2021 covered by this Quarterly Report on Form 10-Q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r>
        <w:rPr>
          <w:rFonts w:ascii="Arial" w:cs="Arial" w:eastAsia="Arial" w:hAnsi="Arial"/>
          <w:sz w:val="15"/>
          <w:szCs w:val="15"/>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7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1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7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Certification of Chief Executive Officer (Principal Executive Officer) Pursuant to Rules 13a-14(a) and 15d-14(a) under the Securities</w:t>
              </w:r>
            </w:hyperlink>
          </w:p>
        </w:tc>
      </w:tr>
      <w:tr>
        <w:trPr>
          <w:trHeight w:val="196"/>
        </w:trPr>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Exchange Act of 1934, as Adopted Pursuant to Section 302 of the Sarbanes-Oxley Act of 2002.</w:t>
              </w:r>
            </w:hyperlink>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tcBorders>
              <w:bottom w:val="single" w:sz="8" w:color="0000EE"/>
            </w:tcBorders>
            <w:gridSpan w:val="6"/>
          </w:tcPr>
          <w:p>
            <w:pPr>
              <w:spacing w:after="0" w:line="17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Certification of Chief Financial Officer (Principal Financial and Accounting Officer) Pursuant to Rules 13a-14(a) and 15d-14(a) under the</w:t>
              </w:r>
            </w:hyperlink>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Securities Exchange Act of 1934, as Adopted Pursuant to Section 302 of the Sarbanes-Oxley Act of 2002.</w:t>
              </w:r>
            </w:hyperlink>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760" w:type="dxa"/>
            <w:vAlign w:val="bottom"/>
            <w:tcBorders>
              <w:bottom w:val="single" w:sz="8" w:color="CCECFF"/>
            </w:tcBorders>
            <w:shd w:val="clear" w:color="auto" w:fill="CCECFF"/>
          </w:tcPr>
          <w:p>
            <w:pPr>
              <w:spacing w:after="0" w:line="176" w:lineRule="exact"/>
              <w:rPr>
                <w:sz w:val="20"/>
                <w:szCs w:val="20"/>
                <w:color w:val="auto"/>
              </w:rPr>
            </w:pPr>
            <w:r>
              <w:rPr>
                <w:rFonts w:ascii="Arial" w:cs="Arial" w:eastAsia="Arial" w:hAnsi="Arial"/>
                <w:sz w:val="18"/>
                <w:szCs w:val="18"/>
                <w:color w:val="auto"/>
              </w:rPr>
              <w:t>32.1*</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0100" w:type="dxa"/>
            <w:vAlign w:val="bottom"/>
            <w:tcBorders>
              <w:bottom w:val="single" w:sz="8" w:color="0000EE"/>
            </w:tcBorders>
            <w:gridSpan w:val="6"/>
            <w:shd w:val="clear" w:color="auto" w:fill="CCECFF"/>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Certification of Chief Executive Officer (Principal Executive Officer) Pursuant to 18 U.S.C. Section 1350, as Adopted Pursuant to Section</w:t>
              </w:r>
            </w:hyperlink>
          </w:p>
        </w:tc>
      </w:tr>
      <w:tr>
        <w:trPr>
          <w:trHeight w:val="217"/>
        </w:trPr>
        <w:tc>
          <w:tcPr>
            <w:tcW w:w="7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880" w:type="dxa"/>
            <w:vAlign w:val="bottom"/>
            <w:tcBorders>
              <w:bottom w:val="single" w:sz="8" w:color="0000EE"/>
            </w:tcBorders>
            <w:shd w:val="clear" w:color="auto" w:fill="CCECFF"/>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906 of the Sarbanes-Oxley Act of 2002.</w:t>
              </w:r>
            </w:hyperlink>
          </w:p>
        </w:tc>
        <w:tc>
          <w:tcPr>
            <w:tcW w:w="7220" w:type="dxa"/>
            <w:vAlign w:val="bottom"/>
            <w:tcBorders>
              <w:bottom w:val="single" w:sz="8" w:color="CCECFF"/>
            </w:tcBorders>
            <w:gridSpan w:val="5"/>
            <w:shd w:val="clear" w:color="auto" w:fill="CCECFF"/>
          </w:tcPr>
          <w:p>
            <w:pPr>
              <w:spacing w:after="0"/>
              <w:rPr>
                <w:sz w:val="18"/>
                <w:szCs w:val="18"/>
                <w:color w:val="auto"/>
              </w:rPr>
            </w:pPr>
          </w:p>
        </w:tc>
      </w:tr>
      <w:tr>
        <w:trPr>
          <w:trHeight w:val="175"/>
        </w:trPr>
        <w:tc>
          <w:tcPr>
            <w:tcW w:w="76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6"/>
          </w:tcPr>
          <w:p>
            <w:pPr>
              <w:spacing w:after="0" w:line="176" w:lineRule="exact"/>
              <w:rPr>
                <w:rFonts w:ascii="Arial" w:cs="Arial" w:eastAsia="Arial" w:hAnsi="Arial"/>
                <w:sz w:val="18"/>
                <w:szCs w:val="18"/>
                <w:color w:val="0000EE"/>
                <w:w w:val="97"/>
              </w:rPr>
            </w:pPr>
            <w:hyperlink w:anchor="page32">
              <w:r>
                <w:rPr>
                  <w:rFonts w:ascii="Arial" w:cs="Arial" w:eastAsia="Arial" w:hAnsi="Arial"/>
                  <w:sz w:val="18"/>
                  <w:szCs w:val="18"/>
                  <w:color w:val="0000EE"/>
                  <w:w w:val="97"/>
                </w:rPr>
                <w:t>Certification of Chief Financial Officer (Principal Financial and Accounting Officer) Pursuant to 18 U.S.C. Section 1350, as Adopted</w:t>
              </w:r>
            </w:hyperlink>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Pursuant to Section 906 of the Sarbanes-Oxley Act of 2002.</w:t>
              </w:r>
            </w:hyperlink>
          </w:p>
        </w:tc>
        <w:tc>
          <w:tcPr>
            <w:tcW w:w="20" w:type="dxa"/>
            <w:vAlign w:val="bottom"/>
          </w:tcPr>
          <w:p>
            <w:pPr>
              <w:spacing w:after="0"/>
              <w:rPr>
                <w:sz w:val="17"/>
                <w:szCs w:val="17"/>
                <w:color w:val="auto"/>
              </w:rPr>
            </w:pPr>
          </w:p>
        </w:tc>
      </w:tr>
      <w:tr>
        <w:trPr>
          <w:trHeight w:val="21"/>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87" w:lineRule="exact"/>
        <w:rPr>
          <w:sz w:val="20"/>
          <w:szCs w:val="20"/>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Dated: May 14, 2021</w:t>
            </w:r>
          </w:p>
        </w:tc>
        <w:tc>
          <w:tcPr>
            <w:tcW w:w="7700" w:type="dxa"/>
            <w:vAlign w:val="bottom"/>
            <w:gridSpan w:val="2"/>
          </w:tcPr>
          <w:p>
            <w:pPr>
              <w:ind w:left="3220"/>
              <w:spacing w:after="0"/>
              <w:rPr>
                <w:sz w:val="20"/>
                <w:szCs w:val="20"/>
                <w:color w:val="auto"/>
              </w:rPr>
            </w:pPr>
            <w:r>
              <w:rPr>
                <w:rFonts w:ascii="Arial" w:cs="Arial" w:eastAsia="Arial" w:hAnsi="Arial"/>
                <w:sz w:val="18"/>
                <w:szCs w:val="18"/>
                <w:b w:val="1"/>
                <w:bCs w:val="1"/>
                <w:color w:val="auto"/>
              </w:rPr>
              <w:t>BCTG ACQUISITION CORP.</w:t>
            </w:r>
          </w:p>
        </w:tc>
      </w:tr>
      <w:tr>
        <w:trPr>
          <w:trHeight w:val="439"/>
        </w:trPr>
        <w:tc>
          <w:tcPr>
            <w:tcW w:w="3540" w:type="dxa"/>
            <w:vAlign w:val="bottom"/>
          </w:tcPr>
          <w:p>
            <w:pPr>
              <w:spacing w:after="0"/>
              <w:rPr>
                <w:sz w:val="24"/>
                <w:szCs w:val="24"/>
                <w:color w:val="auto"/>
              </w:rPr>
            </w:pPr>
          </w:p>
        </w:tc>
        <w:tc>
          <w:tcPr>
            <w:tcW w:w="3780" w:type="dxa"/>
            <w:vAlign w:val="bottom"/>
          </w:tcPr>
          <w:p>
            <w:pPr>
              <w:ind w:left="3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2"/>
        </w:trPr>
        <w:tc>
          <w:tcPr>
            <w:tcW w:w="3540" w:type="dxa"/>
            <w:vAlign w:val="bottom"/>
          </w:tcPr>
          <w:p>
            <w:pPr>
              <w:spacing w:after="0"/>
              <w:rPr>
                <w:sz w:val="17"/>
                <w:szCs w:val="17"/>
                <w:color w:val="auto"/>
              </w:rPr>
            </w:pPr>
          </w:p>
        </w:tc>
        <w:tc>
          <w:tcPr>
            <w:tcW w:w="3780" w:type="dxa"/>
            <w:vAlign w:val="bottom"/>
          </w:tcPr>
          <w:p>
            <w:pPr>
              <w:ind w:left="32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Aaron I. Davis</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540" w:type="dxa"/>
            <w:vAlign w:val="bottom"/>
          </w:tcPr>
          <w:p>
            <w:pPr>
              <w:spacing w:after="0"/>
              <w:rPr>
                <w:sz w:val="24"/>
                <w:szCs w:val="24"/>
                <w:color w:val="auto"/>
              </w:rPr>
            </w:pPr>
          </w:p>
        </w:tc>
        <w:tc>
          <w:tcPr>
            <w:tcW w:w="3780" w:type="dxa"/>
            <w:vAlign w:val="bottom"/>
          </w:tcPr>
          <w:p>
            <w:pPr>
              <w:ind w:left="3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Beauchamp</w:t>
            </w:r>
          </w:p>
        </w:tc>
      </w:tr>
      <w:tr>
        <w:trPr>
          <w:trHeight w:val="202"/>
        </w:trPr>
        <w:tc>
          <w:tcPr>
            <w:tcW w:w="3540" w:type="dxa"/>
            <w:vAlign w:val="bottom"/>
          </w:tcPr>
          <w:p>
            <w:pPr>
              <w:spacing w:after="0"/>
              <w:rPr>
                <w:sz w:val="17"/>
                <w:szCs w:val="17"/>
                <w:color w:val="auto"/>
              </w:rPr>
            </w:pPr>
          </w:p>
        </w:tc>
        <w:tc>
          <w:tcPr>
            <w:tcW w:w="3780" w:type="dxa"/>
            <w:vAlign w:val="bottom"/>
          </w:tcPr>
          <w:p>
            <w:pPr>
              <w:ind w:left="32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Michael Beauchamp</w:t>
            </w:r>
          </w:p>
        </w:tc>
      </w:tr>
      <w:tr>
        <w:trPr>
          <w:trHeight w:val="216"/>
        </w:trPr>
        <w:tc>
          <w:tcPr>
            <w:tcW w:w="3540" w:type="dxa"/>
            <w:vAlign w:val="bottom"/>
          </w:tcPr>
          <w:p>
            <w:pPr>
              <w:spacing w:after="0"/>
              <w:rPr>
                <w:sz w:val="18"/>
                <w:szCs w:val="18"/>
                <w:color w:val="auto"/>
              </w:rPr>
            </w:pPr>
          </w:p>
        </w:tc>
        <w:tc>
          <w:tcPr>
            <w:tcW w:w="3780" w:type="dxa"/>
            <w:vAlign w:val="bottom"/>
          </w:tcPr>
          <w:p>
            <w:pPr>
              <w:ind w:left="32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55"/>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26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Aaron I. Davis,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760" w:hanging="428"/>
        <w:spacing w:after="0" w:line="308" w:lineRule="auto"/>
        <w:tabs>
          <w:tab w:leader="none" w:pos="7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428"/>
        <w:spacing w:after="0" w:line="263"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428"/>
        <w:spacing w:after="0" w:line="277"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428"/>
        <w:spacing w:after="0" w:line="277" w:lineRule="auto"/>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Aaron I. Davis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 and Chairman of the Board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Beauchamp,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BCTG Acquisition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760" w:hanging="428"/>
        <w:spacing w:after="0" w:line="263"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ind w:left="760" w:hanging="428"/>
        <w:spacing w:after="0" w:line="308" w:lineRule="auto"/>
        <w:tabs>
          <w:tab w:leader="none" w:pos="7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60" w:hanging="428"/>
        <w:spacing w:after="0" w:line="263"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hanging="428"/>
        <w:spacing w:after="0" w:line="277"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hanging="428"/>
        <w:spacing w:after="0" w:line="277"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ind w:left="20"/>
        <w:spacing w:after="0"/>
        <w:tabs>
          <w:tab w:leader="none" w:pos="6740" w:val="left"/>
          <w:tab w:leader="none" w:pos="7180" w:val="left"/>
        </w:tabs>
        <w:rPr>
          <w:sz w:val="20"/>
          <w:szCs w:val="20"/>
          <w:color w:val="auto"/>
        </w:rPr>
      </w:pPr>
      <w:r>
        <w:rPr>
          <w:rFonts w:ascii="Arial" w:cs="Arial" w:eastAsia="Arial" w:hAnsi="Arial"/>
          <w:sz w:val="18"/>
          <w:szCs w:val="18"/>
          <w:color w:val="auto"/>
        </w:rPr>
        <w:t>Date: May 14,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Michael Beauchamp</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BCTG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quarter ended March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Aaron I. Davis, Chief Executive Officer and Chairman of the Board of Directors of the Company, certify, pursuant to 18 U.S.C. Section 1350, as adopted pursuant to Section 906 of the Sarbanes-Oxley Act of 2002, that, to my knowledge:</w:t>
      </w:r>
    </w:p>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Aaron I. Davis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and Chairman of the Board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BCTG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March 31,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Michael Beauchamp, Chief Financial Officer of the Company, certify, pursuant to 18 U.S.C. Section 1350, as adopted pursuant to Section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20" w:firstLine="8"/>
        <w:spacing w:after="0" w:line="500" w:lineRule="auto"/>
        <w:tabs>
          <w:tab w:leader="none" w:pos="3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14, 2021</w:t>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Michael Beauchamp</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1)"/>
      <w:numFmt w:val="lowerRoman"/>
      <w:start w:val="8"/>
    </w:lvl>
  </w:abstractNum>
  <w:abstractNum w:abstractNumId="4">
    <w:nsid w:val="4DB127F8"/>
    <w:multiLevelType w:val="hybridMultilevel"/>
    <w:lvl w:ilvl="0">
      <w:lvlJc w:val="left"/>
      <w:lvlText w:val="(%1)"/>
      <w:numFmt w:val="lowerRoman"/>
      <w:start w:val="2"/>
    </w:lvl>
  </w:abstractNum>
  <w:abstractNum w:abstractNumId="5">
    <w:nsid w:val="216231B"/>
    <w:multiLevelType w:val="hybridMultilevel"/>
    <w:lvl w:ilvl="0">
      <w:lvlJc w:val="left"/>
      <w:lvlText w:val="(%1)"/>
      <w:numFmt w:val="decimal"/>
      <w:start w:val="16"/>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3"/>
    </w:lvl>
  </w:abstractNum>
  <w:abstractNum w:abstractNumId="9">
    <w:nsid w:val="140E0F76"/>
    <w:multiLevelType w:val="hybridMultilevel"/>
    <w:lvl w:ilvl="0">
      <w:lvlJc w:val="left"/>
      <w:lvlText w:val="(%1)"/>
      <w:numFmt w:val="lowerRoman"/>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2021-05-14T15:13:07Z</dcterms:created>
  <dcterms:modified xsi:type="dcterms:W3CDTF">2021-05-14T15:13:07Z</dcterms:modified>
</cp:coreProperties>
</file>