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gx_def14a_proxy_2024_v.htm"/>
      <w:bookmarkStart w:id="1" w:name="kstngx_def14a_proxy_2024_v"/>
      <w:bookmarkEnd w:id="0"/>
      <w:bookmarkEnd w:id="1"/>
      <w:r>
        <w:rPr/>
        <w:t> </w:t>
      </w:r>
    </w:p>
    <w:p>
      <w:pPr>
        <w:pStyle w:val="TextBody"/>
        <w:bidi w:val="0"/>
        <w:spacing w:before="12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30"/>
        </w:rPr>
      </w:pPr>
      <w:r>
        <w:rPr>
          <w:rFonts w:ascii="Times New Roman" w:hAnsi="Times New Roman"/>
          <w:b/>
          <w:color w:val="000000"/>
          <w:sz w:val="30"/>
        </w:rPr>
        <w:t>Schedule 14A Information</w:t>
      </w:r>
    </w:p>
    <w:p>
      <w:pPr>
        <w:pStyle w:val="TextBody"/>
        <w:bidi w:val="0"/>
        <w:spacing w:before="240" w:after="283"/>
        <w:jc w:val="center"/>
        <w:rPr>
          <w:rFonts w:ascii="Times New Roman" w:hAnsi="Times New Roman"/>
          <w:sz w:val="20"/>
        </w:rPr>
      </w:pPr>
      <w:r>
        <w:rPr>
          <w:rFonts w:ascii="Times New Roman" w:hAnsi="Times New Roman"/>
          <w:b/>
          <w:color w:val="000000"/>
          <w:sz w:val="22"/>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(Amendment No. )</w:t>
      </w:r>
    </w:p>
    <w:p>
      <w:pPr>
        <w:pStyle w:val="TextBody"/>
        <w:bidi w:val="0"/>
        <w:spacing w:before="240" w:after="283"/>
        <w:jc w:val="left"/>
        <w:rPr>
          <w:rFonts w:ascii="Times New Roman" w:hAnsi="Times New Roman"/>
          <w:sz w:val="20"/>
        </w:rPr>
      </w:pPr>
      <w:r>
        <w:rPr>
          <w:rFonts w:ascii="Times New Roman" w:hAnsi="Times New Roman"/>
          <w:color w:val="000000"/>
          <w:sz w:val="18"/>
        </w:rPr>
        <w:t>Filed by the Registrant ☒ Filed by a Party other than the Registrant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Preliminary Proxy Statement</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Confidential, for Use of the Commission Only (as permitted by Rule 14a-6(e)(2))</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Definitive Proxy Statement</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Definitive Additional Materials</w:t>
      </w:r>
      <w:r>
        <w:rPr>
          <w:rFonts w:ascii="Times New Roman" w:hAnsi="Times New Roman"/>
          <w:color w:val="000000"/>
          <w:sz w:val="20"/>
        </w:rPr>
        <w:t xml:space="preserve"> </w:t>
      </w:r>
    </w:p>
    <w:p>
      <w:pPr>
        <w:pStyle w:val="TextBody"/>
        <w:bidi w:val="0"/>
        <w:spacing w:before="120" w:after="480"/>
        <w:jc w:val="left"/>
        <w:rPr>
          <w:color w:val="000000"/>
        </w:rPr>
      </w:pPr>
      <w:r>
        <w:rPr>
          <w:color w:val="000000"/>
        </w:rPr>
        <w:t xml:space="preserve">☐ </w:t>
      </w:r>
      <w:r>
        <w:rPr>
          <w:rFonts w:ascii="Times New Roman" w:hAnsi="Times New Roman"/>
          <w:color w:val="000000"/>
          <w:sz w:val="18"/>
        </w:rPr>
        <w:t>Soliciting Material under §240.14a-12</w:t>
      </w:r>
    </w:p>
    <w:p>
      <w:pPr>
        <w:pStyle w:val="TextBody"/>
        <w:bidi w:val="0"/>
        <w:jc w:val="center"/>
        <w:rPr>
          <w:rFonts w:ascii="Times New Roman" w:hAnsi="Times New Roman"/>
          <w:b/>
          <w:color w:val="000000"/>
          <w:sz w:val="44"/>
        </w:rPr>
      </w:pPr>
      <w:r>
        <w:rPr>
          <w:rFonts w:ascii="Times New Roman" w:hAnsi="Times New Roman"/>
          <w:b/>
          <w:color w:val="000000"/>
          <w:sz w:val="44"/>
        </w:rPr>
        <w:t>TANGO THERAPEUTICS, INC.</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(Name of Person(s) Filing Proxy Statement, if other than the Registrant)</w:t>
      </w:r>
      <w:r>
        <w:rPr>
          <w:rFonts w:ascii="Times New Roman" w:hAnsi="Times New Roman"/>
          <w:color w:val="000000"/>
          <w:sz w:val="20"/>
        </w:rPr>
        <w:t xml:space="preserve"> </w:t>
      </w:r>
    </w:p>
    <w:p>
      <w:pPr>
        <w:pStyle w:val="TextBody"/>
        <w:bidi w:val="0"/>
        <w:spacing w:before="480" w:after="283"/>
        <w:jc w:val="left"/>
        <w:rPr>
          <w:rFonts w:ascii="Times New Roman" w:hAnsi="Times New Roman"/>
          <w:sz w:val="20"/>
        </w:rPr>
      </w:pPr>
      <w:r>
        <w:rPr>
          <w:rFonts w:ascii="Times New Roman" w:hAnsi="Times New Roman"/>
          <w:color w:val="000000"/>
          <w:sz w:val="18"/>
        </w:rPr>
        <w:t>Payment of Filing Fee (Check all boxes that apply):</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No fee required.</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Fee paid previously with preliminary materials.</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Fee computed on table in exhibit required by Item 25(b) per Exchange Act Rules 14a-6(i)(1) and 0-11.</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924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771525"/>
                    </a:xfrm>
                    <a:prstGeom prst="rect">
                      <a:avLst/>
                    </a:prstGeom>
                  </pic:spPr>
                </pic:pic>
              </a:graphicData>
            </a:graphic>
          </wp:inline>
        </w:drawing>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Dear Fellow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Tango Therapeutics was founded with a clear mission: to discover the next generation of precision medicines to help patients with cancer by addressing the specific genetic alterations that drive cancer. We leverage our state-of-the-art target discovery platform to identify novel targets and develop new drugs directed at tumor suppressor gene loss in defined patient populations with high unmet medical need. In 2023, we made meaningful progress in our clinical development programs: (i) in May 2023, we released initial pharmacodynamic data from the ongoing TNG908 dose escalation study that provided the first clinical proof-of-mechanism of MTA-cooperative PRMT5 inhibition, demonstrated by marked dose dependent reduction of SDMA staining in MTAP-deleted cancer cells versus normal tissue; (ii) in the first quarter of 2023, the Investigational New Drug Application (IND) for TNG462, our next-generation PRMT5 inhibitor, was cleared by the U.S. Food and Drug Administration (FDA), and we announced the first patient in the Phase 1/2 clinical trial was dosed in July 2023; (iii) in the first quarter of 2023, the IND for TNG260, our first-in-class CoREST inhibitor, which reverses the immune evasion effect of STK11 loss-of-function mutations, was cleared by the FDA and we announced the first patient in the Phase 1/2 clinical trial was dosed in July 2023 and (iv) in the third quarter of 2023, the FDA cleared the IND for TNG348, a novel allosteric inhibitor of USP1 for treatment of BRCA1, BRCA2-mutant and other HRD+ cancers, and we announced the first patient in the Phase 1/2 clinical trial was dosed in January 2024. In addition, we continue to leverage our target discovery platform to discover synthetic lethal targets that we believe serves as the basis of our product pipeline. Finally, our collaboration with Gilead Sciences continues to identify and develop novel immune evasion targets, resulting in Gilead licensing targets, most recently in June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along with our board of directors, are pleased to invite you to attend the 2024 Annual Meeting of Stockholders, or the Annual Meeting, of Tango Therapeutics, Inc. ("Tango" or the "Company") to be held virtually on Wednesday, June 5, 2024 at 10:00 a.m. Eastern Time. Stockholders will have the ability to participate in the Annual Meeting, vote their shares and ask questions by accessing the virtual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Annual Meeting, our stockholders will be asked to: (1) elect the three nominees who are named in the Proxy Statement as Class III Directors; (2) ratify the appointment of PricewaterhouseCoopers LLP as our independent registered public accounting firm for the fiscal year ending December 31, 2024; (3) approve an amendment to our Second Amended and Restated Certificate of Incorporation to limit the liability of certain officers of Tango as permitted by recent amendments to Delaware law; and (4) transact any other business that properly comes before the Annual Meeting (including adjournments, continuations and postponements thereof). Our board of directors recommends that you vote "FOR" the election of each director nominee, "FOR" the ratification of the appointment of PricewaterhouseCoopers LLP and "FOR" the amendment to our Second Amended and Restated Certificate of Incorporation to limit the liability of certain officers as permitted by recent amendments to Delaware law. You should carefully read our proxy materials, which contain detailed information concerning each of these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vote is very important. Whether or not you plan to virtually attend the meeting, please carefully review the proxy materials and then complete, sign, date and return the enclosed proxy card as promptly as possible in the postage-prepaid envelope provided to ensure your representation and the presence of a quorum at the Annual Meeting. Alternatively, you may vote your shares on the Internet by visiting www.proxyvote.com or by telephone by calling 1-800-690-6903 and following the recorded instructions by 11:59 p.m. Eastern Time on June 4, 2024. If you vote your shares on the Internet or by telephone, you will need to enter the 16-digit control number provided on your proxy card or in the instructions that accompanied your proxy materials. Submitting your vote via the Internet or by telephone or proxy card will not affect your right to attend and to vote at the Annual Meeting if you decide to virtually attend the Annual Meeting. If your shares are held in street name (held for your account by a broker or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Thank you for your ongoing support of, and continued interest in, Tango.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80" w:after="283"/>
        <w:jc w:val="left"/>
        <w:rPr/>
      </w:pPr>
      <w:r>
        <w:rPr/>
        <w:drawing>
          <wp:inline distT="0" distB="0" distL="0" distR="0">
            <wp:extent cx="12954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552450"/>
                    </a:xfrm>
                    <a:prstGeom prst="rect">
                      <a:avLst/>
                    </a:prstGeom>
                  </pic:spPr>
                </pic:pic>
              </a:graphicData>
            </a:graphic>
          </wp:inline>
        </w:drawing>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Barbara Weber, M.D.</w:t>
      </w:r>
    </w:p>
    <w:p>
      <w:pPr>
        <w:pStyle w:val="TextBody"/>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145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771525"/>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201 Brookline Avenue, Suite 901</w:t>
      </w:r>
    </w:p>
    <w:p>
      <w:pPr>
        <w:pStyle w:val="TextBody"/>
        <w:bidi w:val="0"/>
        <w:jc w:val="center"/>
        <w:rPr>
          <w:rFonts w:ascii="Times New Roman" w:hAnsi="Times New Roman"/>
          <w:color w:val="000000"/>
          <w:sz w:val="20"/>
        </w:rPr>
      </w:pPr>
      <w:r>
        <w:rPr>
          <w:rFonts w:ascii="Times New Roman" w:hAnsi="Times New Roman"/>
          <w:color w:val="000000"/>
          <w:sz w:val="20"/>
        </w:rPr>
        <w:t>Boston, MA 02215</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2024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5, 2024</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2024 Annual Meeting of Stockholders, or Annual Meeting, of Tango Therapeutics, Inc., will be held online on Wednesday, June 5, 2024. You may attend the meeting virtually via the Internet, where you will be able to participate in the meeting, vote electronically and submit questions that are germane to the matters under consideration at the Annual Meeting. You will need the 16-digit control number included with your proxy card or in the instructions that accompanied your proxy materials in order to attend the Annual Meeting. The purpose of the Annual Meeting is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To elect three Class III Directors, Alexis Borisy, John Ketchum and Barbara Weber, M.D. to our board of directors, each to serve until the 2027 annual meeting of stockholders and until his or her successor has been duly elected and qualified, or until his or her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To ratify the appointment of PricewaterhouseCoopers LLP as the independent registered public accounting firm for the fiscal year ending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To approve an amendment to our Second Amended and Restated Certificate of Incorporation to limit the liability of certain officers of Tango Therapeutics, Inc. as permitted by recent amendments to Delaware law;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To transact any other business properly brought before the Annual Meeting or any adjournment or postponement of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Meeting will begin promptly at 10:00 a.m. Eastern Time. Only stockholders of record at the close of business on April 9, 2024 will be entitled to vote at the Annual Meeting and any adjournment or postponement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virtually admitted to the Annual Meeting and vote your shares, you must provide the 16-digit control number as provided in your proxy card or in the instructions that accompanied your proxy materials. Please see the “General Information Regarding the Meeting” 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29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096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9675" cy="542925"/>
                          </a:xfrm>
                          <a:prstGeom prst="rect">
                            <a:avLst/>
                          </a:prstGeom>
                        </pic:spPr>
                      </pic:pic>
                    </a:graphicData>
                  </a:graphic>
                </wp:inline>
              </w:drawing>
            </w:r>
            <w:r>
              <w:rPr>
                <w:color w:val="000000"/>
              </w:rPr>
              <w:t xml:space="preserve"> </w:t>
            </w:r>
          </w:p>
        </w:tc>
      </w:tr>
      <w:tr>
        <w:trPr/>
        <w:tc>
          <w:tcPr>
            <w:tcW w:w="295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Douglas Barry</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Legal Officer, Chief Compliance Officer and Corporate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w:t>
      </w:r>
    </w:p>
    <w:p>
      <w:pPr>
        <w:pStyle w:val="TextBody"/>
        <w:bidi w:val="0"/>
        <w:jc w:val="left"/>
        <w:rPr>
          <w:rFonts w:ascii="Times New Roman" w:hAnsi="Times New Roman"/>
          <w:color w:val="000000"/>
          <w:sz w:val="20"/>
        </w:rPr>
      </w:pPr>
      <w:r>
        <w:rPr>
          <w:rFonts w:ascii="Times New Roman" w:hAnsi="Times New Roman"/>
          <w:color w:val="000000"/>
          <w:sz w:val="20"/>
        </w:rPr>
        <w:t>April 29, 2024</w:t>
      </w:r>
    </w:p>
    <w:p>
      <w:pPr>
        <w:pStyle w:val="TextBody"/>
        <w:bidi w:val="0"/>
        <w:jc w:val="left"/>
        <w:rPr/>
      </w:pPr>
      <w:r>
        <w:rPr/>
        <w:t> </w:t>
      </w:r>
    </w:p>
    <w:p>
      <w:pPr>
        <w:pStyle w:val="TextBody"/>
        <w:bidi w:val="0"/>
        <w:spacing w:before="240" w:after="283"/>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Table of Contents</w:t>
      </w:r>
    </w:p>
    <w:tbl>
      <w:tblPr>
        <w:tblW w:w="9424" w:type="dxa"/>
        <w:jc w:val="left"/>
        <w:tblInd w:w="0" w:type="dxa"/>
        <w:tblLayout w:type="fixed"/>
        <w:tblCellMar>
          <w:top w:w="28" w:type="dxa"/>
          <w:left w:w="28" w:type="dxa"/>
          <w:bottom w:w="28" w:type="dxa"/>
          <w:right w:w="28" w:type="dxa"/>
        </w:tblCellMar>
      </w:tblPr>
      <w:tblGrid>
        <w:gridCol w:w="8913"/>
        <w:gridCol w:w="511"/>
      </w:tblGrid>
      <w:tr>
        <w:trPr/>
        <w:tc>
          <w:tcPr>
            <w:tcW w:w="891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9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oxy_statement_summary">
              <w:r>
                <w:rPr>
                  <w:rStyle w:val="InternetLink"/>
                  <w:rFonts w:ascii="Times New Roman" w:hAnsi="Times New Roman"/>
                  <w:color w:val="0000FF"/>
                  <w:sz w:val="20"/>
                  <w:u w:val="single"/>
                </w:rPr>
                <w:t>Proxy Statement Summary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general_information_regarding">
              <w:r>
                <w:rPr>
                  <w:rStyle w:val="InternetLink"/>
                  <w:rFonts w:ascii="Times New Roman" w:hAnsi="Times New Roman"/>
                  <w:color w:val="0000FF"/>
                  <w:sz w:val="20"/>
                  <w:u w:val="single"/>
                </w:rPr>
                <w:t>General Information Regarding the Meeting</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overview_of_proposals">
              <w:r>
                <w:rPr>
                  <w:rStyle w:val="InternetLink"/>
                  <w:rFonts w:ascii="Times New Roman" w:hAnsi="Times New Roman"/>
                  <w:color w:val="0000FF"/>
                  <w:sz w:val="20"/>
                  <w:u w:val="single"/>
                </w:rPr>
                <w:t>Overview of Proposals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oposal_no_1">
              <w:r>
                <w:rPr>
                  <w:rStyle w:val="InternetLink"/>
                  <w:rFonts w:ascii="Times New Roman" w:hAnsi="Times New Roman"/>
                  <w:color w:val="0000FF"/>
                  <w:sz w:val="20"/>
                  <w:u w:val="single"/>
                </w:rPr>
                <w:t>Proposal No. 1 – Election of Class III Directors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general_information_about_the_board">
              <w:r>
                <w:rPr>
                  <w:rStyle w:val="InternetLink"/>
                  <w:rFonts w:ascii="Times New Roman" w:hAnsi="Times New Roman"/>
                  <w:color w:val="0000FF"/>
                  <w:sz w:val="20"/>
                  <w:u w:val="single"/>
                </w:rPr>
                <w:t>General Information About the Board of Directors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color w:val="0000FF"/>
                  <w:sz w:val="20"/>
                  <w:u w:val="single"/>
                </w:rPr>
                <w:t>Corporate Governance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general_information_about_the_executive">
              <w:r>
                <w:rPr>
                  <w:rStyle w:val="InternetLink"/>
                  <w:rFonts w:ascii="Times New Roman" w:hAnsi="Times New Roman"/>
                  <w:color w:val="0000FF"/>
                  <w:sz w:val="20"/>
                  <w:u w:val="single"/>
                </w:rPr>
                <w:t>General Information About the Executive Officers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non_employee_director_compensation">
              <w:r>
                <w:rPr>
                  <w:rStyle w:val="InternetLink"/>
                  <w:rFonts w:ascii="Times New Roman" w:hAnsi="Times New Roman"/>
                  <w:color w:val="0000FF"/>
                  <w:sz w:val="20"/>
                  <w:u w:val="single"/>
                </w:rPr>
                <w:t>Non-Employee Director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oposal_no_2">
              <w:r>
                <w:rPr>
                  <w:rStyle w:val="InternetLink"/>
                  <w:rFonts w:ascii="Times New Roman" w:hAnsi="Times New Roman"/>
                  <w:color w:val="0000FF"/>
                  <w:sz w:val="20"/>
                  <w:u w:val="single"/>
                </w:rPr>
                <w:t>Proposal No. 2 – Ratification of the Appointment of the Independent Registered Public Accounting Firm</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principal_accountant_fees_and_services">
              <w:r>
                <w:rPr>
                  <w:rStyle w:val="InternetLink"/>
                  <w:rFonts w:ascii="Times New Roman" w:hAnsi="Times New Roman"/>
                  <w:color w:val="0000FF"/>
                  <w:sz w:val="20"/>
                  <w:u w:val="single"/>
                </w:rPr>
                <w:t>Principal Accountant Fees and Services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Times New Roman" w:hAnsi="Times New Roman"/>
                  <w:color w:val="0000FF"/>
                  <w:sz w:val="20"/>
                  <w:u w:val="single"/>
                </w:rPr>
                <w:t>Report of the Audit Committee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913"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proposal_3">
              <w:r>
                <w:rPr>
                  <w:rStyle w:val="InternetLink"/>
                  <w:rFonts w:ascii="Times New Roman" w:hAnsi="Times New Roman"/>
                  <w:color w:val="0000FF"/>
                  <w:sz w:val="20"/>
                  <w:u w:val="single"/>
                </w:rPr>
                <w:t>Proposal 3 - Approval of An Amendment to our Second Amended and Restated Certificate of Incorporation</w:t>
              </w:r>
            </w:hyperlink>
          </w:p>
        </w:tc>
        <w:tc>
          <w:tcPr>
            <w:tcW w:w="511" w:type="dxa"/>
            <w:tcBorders/>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36</w:t>
            </w:r>
          </w:p>
        </w:tc>
      </w:tr>
      <w:tr>
        <w:trPr/>
        <w:tc>
          <w:tcPr>
            <w:tcW w:w="8913"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511" w:type="dxa"/>
            <w:tcBorders/>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38</w:t>
            </w:r>
          </w:p>
        </w:tc>
      </w:tr>
      <w:tr>
        <w:trPr/>
        <w:tc>
          <w:tcPr>
            <w:tcW w:w="8913"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certain_relationships_and_related_party">
              <w:r>
                <w:rPr>
                  <w:rStyle w:val="InternetLink"/>
                  <w:rFonts w:ascii="Times New Roman" w:hAnsi="Times New Roman"/>
                  <w:color w:val="0000FF"/>
                  <w:sz w:val="20"/>
                  <w:u w:val="single"/>
                </w:rPr>
                <w:t>Certain Relationships and Related Party Transactions</w:t>
              </w:r>
            </w:hyperlink>
          </w:p>
        </w:tc>
        <w:tc>
          <w:tcPr>
            <w:tcW w:w="511" w:type="dxa"/>
            <w:tcBorders/>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40</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Times New Roman" w:hAnsi="Times New Roman"/>
                  <w:color w:val="0000FF"/>
                  <w:sz w:val="20"/>
                  <w:u w:val="single"/>
                </w:rPr>
                <w:t>Additional Information and Other Business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913"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Times New Roman" w:hAnsi="Times New Roman"/>
                  <w:color w:val="0000FF"/>
                  <w:sz w:val="20"/>
                  <w:u w:val="single"/>
                </w:rPr>
                <w:t>Appendix A</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43100" cy="781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781050"/>
                    </a:xfrm>
                    <a:prstGeom prst="rect">
                      <a:avLst/>
                    </a:prstGeom>
                  </pic:spPr>
                </pic:pic>
              </a:graphicData>
            </a:graphic>
          </wp:inline>
        </w:drawing>
      </w:r>
    </w:p>
    <w:p>
      <w:pPr>
        <w:pStyle w:val="TextBody"/>
        <w:bidi w:val="0"/>
        <w:spacing w:before="0" w:after="240"/>
        <w:jc w:val="center"/>
        <w:rPr>
          <w:rFonts w:ascii="Times New Roman" w:hAnsi="Times New Roman"/>
          <w:b/>
          <w:caps/>
          <w:color w:val="000000"/>
          <w:sz w:val="24"/>
        </w:rPr>
      </w:pPr>
      <w:bookmarkStart w:id="2" w:name="proxy_statement_summary"/>
      <w:bookmarkEnd w:id="2"/>
      <w:r>
        <w:rPr>
          <w:rFonts w:ascii="Times New Roman" w:hAnsi="Times New Roman"/>
          <w:b/>
          <w:caps/>
          <w:color w:val="000000"/>
          <w:sz w:val="24"/>
        </w:rPr>
        <w:t>PROXY STATEMENT SUMMARY</w:t>
      </w:r>
    </w:p>
    <w:p>
      <w:pPr>
        <w:pStyle w:val="TextBody"/>
        <w:bidi w:val="0"/>
        <w:jc w:val="center"/>
        <w:rPr>
          <w:rFonts w:ascii="Times New Roman" w:hAnsi="Times New Roman"/>
          <w:sz w:val="20"/>
        </w:rPr>
      </w:pPr>
      <w:r>
        <w:rPr>
          <w:rFonts w:ascii="Times New Roman" w:hAnsi="Times New Roman"/>
          <w:b/>
          <w:caps/>
          <w:color w:val="000000"/>
          <w:sz w:val="20"/>
        </w:rPr>
        <w:t>FOR THE 2024 ANNUAL MEETING OF STOCKHOLDERS</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JUNE 5,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proxy statement contains information about the 2024 Annual Meeting of Stockholders, or the Annual Meeting, of Tango Therapeutics, Inc. which will be held online on June 5, 2024 at 10:00 a.m. Eastern Time. You may attend the Annual Meeting virtually via the Internet at www.virtualshareholdermeeting.com/TNGX2024,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Annual Report and this proxy statement and proxy card are first being mailed to stockholders on or about April 29,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under applicable federal securities laws and therefore we are permitted to conform with certain reduced public company reporting requirements. As an emerging growth company, we provide in this proxy statement the scaled disclosure permitted under the Jumpstart Our Business Startups Act of 2012,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and we are not required to disclose pay versus performance information under Item 402(v) of Regulation S-K. We will remain an “emerging growth company” until the earliest of (i) the last day of the fiscal year following the fifth anniversary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Annual Meeting of Stockholders to be Held on June 5, 2024: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i/>
          <w:color w:val="000000"/>
          <w:sz w:val="20"/>
        </w:rPr>
        <w:t>This proxy statement and our 2023 Annual Report on Form 10-K are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available for viewing, printing and downloading at www.proxyvote.com.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A copy of our 2023 Annual Report on Form 10-K, as filed with the SEC, except for exhibits, will be furnished without charge to any stockholder upon written request or oral request to Tango Therapeutics, Inc., 201 Brookline Avenue, Suite 901, Boston, Massachusetts, 02215, (857) 320-4900, Attention: Corporate Secretary. This proxy statement and our 2023 Annual Report are also available on the SEC’s website at</w:t>
      </w:r>
      <w:r>
        <w:rPr>
          <w:rFonts w:ascii="Times New Roman" w:hAnsi="Times New Roman"/>
          <w:color w:val="000000"/>
          <w:sz w:val="20"/>
        </w:rPr>
        <w:t xml:space="preserve"> </w:t>
      </w:r>
      <w:r>
        <w:rPr>
          <w:rFonts w:ascii="Times New Roman" w:hAnsi="Times New Roman"/>
          <w:b/>
          <w:i/>
          <w:color w:val="000000"/>
          <w:sz w:val="20"/>
        </w:rPr>
        <w:t>www.sec.gov</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 w:name="general_information_regarding"/>
      <w:bookmarkEnd w:id="3"/>
      <w:r>
        <w:rPr>
          <w:rFonts w:ascii="Times New Roman" w:hAnsi="Times New Roman"/>
          <w:b/>
          <w:caps/>
          <w:color w:val="000000"/>
          <w:sz w:val="20"/>
        </w:rPr>
        <w:t>GENERAL INFORMATION REGARDING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Why is Tango holding a virtual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year’s Annual Meeting will be a “virtual meeting” of stockholders. We have implemented the virtual format in order to facilitate stockholder attendance at our Annual Meeting. While you will not be able to attend the Annual Meeting in person, stockholders will, to the extent possible, be afforded rights and opportunities to participate at the virtual meeting similar to those they would have at an in-person meeting. We have designed our virtual format to enhance, rather than constrain, stockholder access, participation and communication. For example, the virtual format allows stockholders to communicate with us during the Annual Meeting so they can ask questions of our board of directors or management that are germane to the matters under consideration at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virtually attend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attend and participate in the Annual Meeting, stockholders will need to access the live webcast of the meeting. To do so, stockholders will need to visit www.virtualshareholdermeeting.com/TNGX2024 and enter the 16-digit control number provided in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day of the Annual Meeting, stockholders may log-in to the online virtual annual meeting platform beginning at 9:45 a.m. Eastern Time, and the meeting will begin promptly at 10:00 a.m. Eastern Time. Please allow ample time for on-line login so that you may participate in the entire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www.virtualshareholdermeeting.com/TNGX2024.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get help if I have trouble checking in or listening to the meeting online?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(www.virtualshareholdermeeting.com/TNGX2024), which may be accessed beginning 15 minutes prior to the scheduled start time of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When are this proxy statement and the accompanying materials scheduled to be sent to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proxy materials, including this proxy statement, a proxy card for shares held in street name (i.e. held for your account by a broker of other nominee), or voting instruction card and our 2023 Annual Report, are being mailed to stockholders on or about April 29, 2024. These materials are also available for viewing, printing and downloading on the Internet at www.proxyvote.com. You will need the 16-digit control number included on your proxy card to access these materials. </w:t>
      </w:r>
    </w:p>
    <w:p>
      <w:pPr>
        <w:pStyle w:val="TextBody"/>
        <w:bidi w:val="0"/>
        <w:spacing w:before="240" w:after="283"/>
        <w:jc w:val="left"/>
        <w:rPr>
          <w:rFonts w:ascii="Times New Roman" w:hAnsi="Times New Roman"/>
          <w:sz w:val="20"/>
        </w:rPr>
      </w:pPr>
      <w:r>
        <w:rPr>
          <w:rFonts w:ascii="Times New Roman" w:hAnsi="Times New Roman"/>
          <w:b/>
          <w:color w:val="000000"/>
          <w:sz w:val="20"/>
        </w:rPr>
        <w:t>Who is soliciting my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is soliciting your vote for the Annual Meeting, including at any adjournments or postponements of the meeting.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When is the record date for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record date for determination of stockholders entitled to vote at the Annual Meeting is the close of business on April 9, 2024. Only stockholders of record at the close of business on April 9, 2024 are entitled to notice of and to vote at the Annual Meeting and any adjournment or postponement of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many votes can be cast by all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106,735,395 shares of our voting common stock, par value $0.001 per share, outstanding on April 9, 2024,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9, 2024. </w:t>
      </w:r>
    </w:p>
    <w:p>
      <w:pPr>
        <w:pStyle w:val="TextBody"/>
        <w:bidi w:val="0"/>
        <w:spacing w:before="240" w:after="283"/>
        <w:jc w:val="left"/>
        <w:rPr>
          <w:rFonts w:ascii="Times New Roman" w:hAnsi="Times New Roman"/>
          <w:sz w:val="20"/>
        </w:rPr>
      </w:pPr>
      <w:r>
        <w:rPr>
          <w:rFonts w:ascii="Times New Roman" w:hAnsi="Times New Roman"/>
          <w:b/>
          <w:color w:val="000000"/>
          <w:sz w:val="20"/>
        </w:rPr>
        <w:t>Who is entitled to vote?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Registered Stockholders</w:t>
      </w:r>
      <w:r>
        <w:rPr>
          <w:rFonts w:ascii="Times New Roman" w:hAnsi="Times New Roman"/>
          <w:color w:val="000000"/>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bank, broker or other nominee explaining how to vote your shares, and you will have the option to cast your vote by telephone or over the Internet if your voting instruction form from your bank, broker or nominee includes instructions and a toll-free telephone number or Internet website to do so. Note that if your shares are held in "street name," you should also be receiving a voting instruction form for you to use from your broker. Throughout this proxy statement, we refer to stockholders who hold their shares through a bank, broker, bank or other nominee as “street name stockholders.”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matters are being voted 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matters are being voted 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Elect three members, Alexis Borisy, John Ketchum and Barbara Weber, M.D., as Class III Directors of the board of directors, each to serve until the 2027 annual meeting of stockholders and until his or her successor has been duly elected and qualified.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Ratify the appointment of PricewaterhouseCoopers LLP as Tango's independent registered public accounting firm for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Approval of an amendment to our Second Amended and Restated Certificate of Incorporation to limit the liability of certain officers of Tango Therapeutics, Inc. as permitted by recent amendments to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pStyle w:val="TextBody"/>
        <w:bidi w:val="0"/>
        <w:spacing w:before="24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there are four ways to vote: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By Internet. </w:t>
      </w:r>
      <w:r>
        <w:rPr>
          <w:rFonts w:ascii="Times New Roman" w:hAnsi="Times New Roman"/>
          <w:color w:val="000000"/>
          <w:sz w:val="20"/>
        </w:rPr>
        <w:t xml:space="preserve">You may vote at www.proxyvote.com, 24 hours a day, seven days a week. You will need the control number included on your proxy card in order to vote by Internet.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During the Annual Meeting. </w:t>
      </w:r>
      <w:r>
        <w:rPr>
          <w:rFonts w:ascii="Times New Roman" w:hAnsi="Times New Roman"/>
          <w:color w:val="000000"/>
          <w:sz w:val="20"/>
        </w:rPr>
        <w:t xml:space="preserve">You may vote in person virtually by attending the Annual Meeting through www.virtualshareholdermeeting.com/TNGX2024. To attend the Annual Meeting virtually and vote your shares, you must register for the Annual Meeting and provide the control number located on your proxy card.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By Telephone. </w:t>
      </w:r>
      <w:r>
        <w:rPr>
          <w:rFonts w:ascii="Times New Roman" w:hAnsi="Times New Roman"/>
          <w:color w:val="000000"/>
          <w:sz w:val="20"/>
        </w:rPr>
        <w:t xml:space="preserve">You may vote using a touch-tone telephone by calling 1-800-690-6903, 24 hours a day, seven days a week. You will need the control number included on your proxy card to vote by telephone.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By Mail</w:t>
      </w:r>
      <w:r>
        <w:rPr>
          <w:rFonts w:ascii="Times New Roman" w:hAnsi="Times New Roman"/>
          <w:color w:val="000000"/>
          <w:sz w:val="20"/>
        </w:rPr>
        <w:t xml:space="preserve">. You may vote by completing and mailing your proxy card.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you plan to participate in our virtual Annual Meeting, we recommend that you vote by proxy in advance of the Annual Meeting date so that your vote will be counted if you later decide not to participate in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240" w:after="283"/>
        <w:jc w:val="left"/>
        <w:rPr>
          <w:rFonts w:ascii="Times New Roman" w:hAnsi="Times New Roman"/>
          <w:sz w:val="20"/>
        </w:rPr>
      </w:pPr>
      <w:r>
        <w:rPr>
          <w:rFonts w:ascii="Times New Roman" w:hAnsi="Times New Roman"/>
          <w:b/>
          <w:i/>
          <w:color w:val="000000"/>
          <w:sz w:val="20"/>
        </w:rPr>
        <w:t>By Proxy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will not be attending the Annual Meeting, you may vote by proxy. You can vote by proxy over the Internet or telephone by following the instructions provided in the enclosed proxy card. Proxies submitted by mail must be received by the deadline set forth on the proxy card.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do I change or revoke my vote or proxy?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revoke your proxy by (1) entering a new vote by mail, over the Internet or via telephone that we receive before the start of the Annual Meeting,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broker, bank, or other nominee holds your shares, you must contact such broker, bank, or nominee in order to find out how to change your vote. </w:t>
      </w:r>
    </w:p>
    <w:p>
      <w:pPr>
        <w:pStyle w:val="TextBody"/>
        <w:bidi w:val="0"/>
        <w:spacing w:before="240" w:after="283"/>
        <w:jc w:val="left"/>
        <w:rPr>
          <w:rFonts w:ascii="Times New Roman" w:hAnsi="Times New Roman"/>
          <w:sz w:val="20"/>
        </w:rPr>
      </w:pPr>
      <w:r>
        <w:rPr>
          <w:rFonts w:ascii="Times New Roman" w:hAnsi="Times New Roman"/>
          <w:b/>
          <w:color w:val="000000"/>
          <w:sz w:val="20"/>
        </w:rPr>
        <w:t>How is a quorum reached?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Bylaws, or bylaws, provide that a majority of the shares entitled to vote, present or represented by proxy, will constitute a quorum for the transaction of business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106,735,395 shares of common stock outstanding and entitled to vote on April 9, 2024, our record date. Therefore, a quorum will be present if 53,367,698 shares of our common stock are present in person or represented by executed proxies timely received by us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What vote is required for each proposal?</w:t>
      </w:r>
      <w:r>
        <w:rPr>
          <w:rFonts w:ascii="Times New Roman" w:hAnsi="Times New Roman"/>
          <w:color w:val="000000"/>
          <w:sz w:val="20"/>
        </w:rPr>
        <w:t xml:space="preserve">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837"/>
        <w:gridCol w:w="3105"/>
        <w:gridCol w:w="1807"/>
        <w:gridCol w:w="1387"/>
        <w:gridCol w:w="1593"/>
        <w:gridCol w:w="1476"/>
      </w:tblGrid>
      <w:tr>
        <w:trPr/>
        <w:tc>
          <w:tcPr>
            <w:tcW w:w="837"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83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31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80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Board's Recommendation</w:t>
            </w:r>
          </w:p>
        </w:tc>
        <w:tc>
          <w:tcPr>
            <w:tcW w:w="138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Broker Discretionary Voting Allowed</w:t>
            </w:r>
          </w:p>
        </w:tc>
        <w:tc>
          <w:tcPr>
            <w:tcW w:w="159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Treatment of Votes Withheld, Abstentions and Broker Non-Votes</w:t>
            </w:r>
            <w:r>
              <w:rPr>
                <w:rFonts w:ascii="Times New Roman" w:hAnsi="Times New Roman"/>
                <w:color w:val="000000"/>
                <w:sz w:val="20"/>
              </w:rPr>
              <w:t xml:space="preserve"> </w:t>
            </w:r>
          </w:p>
        </w:tc>
        <w:tc>
          <w:tcPr>
            <w:tcW w:w="14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Required</w:t>
            </w:r>
          </w:p>
        </w:tc>
      </w:tr>
      <w:tr>
        <w:trPr/>
        <w:tc>
          <w:tcPr>
            <w:tcW w:w="83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1</w:t>
            </w:r>
          </w:p>
        </w:tc>
        <w:tc>
          <w:tcPr>
            <w:tcW w:w="31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 of Class III Directors</w:t>
            </w:r>
          </w:p>
        </w:tc>
        <w:tc>
          <w:tcPr>
            <w:tcW w:w="1807" w:type="dxa"/>
            <w:tcBorders>
              <w:bottom w:val="single" w:sz="4" w:space="0" w:color="000000"/>
              <w:right w:val="single" w:sz="4" w:space="0" w:color="000000"/>
            </w:tcBorders>
            <w:tcMar>
              <w:top w:w="0" w:type="dxa"/>
              <w:left w:w="0" w:type="dxa"/>
            </w:tcMar>
            <w:vAlign w:val="center"/>
          </w:tcPr>
          <w:p>
            <w:pPr>
              <w:pStyle w:val="TableContents"/>
              <w:bidi w:val="0"/>
              <w:jc w:val="left"/>
              <w:rPr/>
            </w:pPr>
            <w:r>
              <w:rPr>
                <w:color w:val="000000"/>
              </w:rPr>
              <w:t> </w:t>
            </w:r>
            <w:r>
              <w:rPr>
                <w:rFonts w:ascii="Times New Roman" w:hAnsi="Times New Roman"/>
                <w:color w:val="000000"/>
                <w:sz w:val="20"/>
              </w:rPr>
              <w:t xml:space="preserve">FOR ALL Class III Director Nominees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 John Ketchum and Barbara Weber, M.D.)</w:t>
            </w:r>
          </w:p>
        </w:tc>
        <w:tc>
          <w:tcPr>
            <w:tcW w:w="13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5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Votes withheld and broker non-votes will have no effect on the outcome of the proposal</w:t>
            </w:r>
          </w:p>
        </w:tc>
        <w:tc>
          <w:tcPr>
            <w:tcW w:w="14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Plurality of votes properly cast</w:t>
            </w:r>
          </w:p>
        </w:tc>
      </w:tr>
      <w:tr>
        <w:trPr/>
        <w:tc>
          <w:tcPr>
            <w:tcW w:w="83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2</w:t>
            </w:r>
          </w:p>
        </w:tc>
        <w:tc>
          <w:tcPr>
            <w:tcW w:w="31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Ratification of PricewaterhouseCoopers LLP as independent auditors for 2024</w:t>
            </w:r>
          </w:p>
        </w:tc>
        <w:tc>
          <w:tcPr>
            <w:tcW w:w="180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3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5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if any, will have no effect on the outcome of the proposal</w:t>
            </w:r>
          </w:p>
        </w:tc>
        <w:tc>
          <w:tcPr>
            <w:tcW w:w="14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properly cast</w:t>
            </w:r>
          </w:p>
        </w:tc>
      </w:tr>
      <w:tr>
        <w:trPr/>
        <w:tc>
          <w:tcPr>
            <w:tcW w:w="83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3</w:t>
            </w:r>
          </w:p>
        </w:tc>
        <w:tc>
          <w:tcPr>
            <w:tcW w:w="310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Amendment to our Second Amended and Restated Certificate of Incorporation to limit the liability of certain officers as permitted by recent amendments to Delaware law</w:t>
            </w:r>
          </w:p>
        </w:tc>
        <w:tc>
          <w:tcPr>
            <w:tcW w:w="180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3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5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will be counted as votes against the proposal</w:t>
            </w:r>
          </w:p>
        </w:tc>
        <w:tc>
          <w:tcPr>
            <w:tcW w:w="14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the outstanding shares of capital stock entitled to vote</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How is the vote counted?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bylaws, any proposal other than an election of directors is decided by a majority of the votes properly cast for and against such proposal, except where a larger vote is required by law or by our Second Amended and Restated Certificate of Incorporation, or certificate of incorporation, or bylaws (as described below with respect to the approval of the amendment to the Second Amended and Restated Certificate of Incorporation).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and Proposal No. 3 are “non-discretionary” items. If you do not instruct your broker how to vote with respect to these proposals, your broker may not vote for these proposals, and those votes will be counted as broker “non-votes.” Proposal No. 2 is considered to be a discretionary item, and your brokerage firm will be able to vote on this proposal even if it does not receive instructions from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elected, the directors nominated via Proposal No. 1 must receive a plurality of the votes properly cast and entitled to vote on the proposal, meaning that the three director nominees receiving the most votes will be elected (even if it is less than a majority of the votes cast). You may vote for each of the director nominees or withhold authority to vote your shares with respect to any one or more of the director nominees. Shares voting “withheld” have no effect on the election of directors. Broker non-votes will have no effect on the election of the nominees for Class III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approved, the proposal for the Amendment to our Second Amended and Restated Certificate of Incorporation, must receive an affirmative vote by the majority of the outstanding shares of capital stock entitled to vote on the matter. Abstentions will be counted as votes AGAINST Proposal 3. Proposal 3 is a non-discretionary matter. Therefore, if your shares are held by your bank, broker or other nominee in street name and you do not vote your shares, your bank, broker or other nominee cannot vote your shares on Proposal 3. Broker non-votes will be counted as votes AGAINST Proposal 3.</w:t>
      </w:r>
    </w:p>
    <w:p>
      <w:pPr>
        <w:pStyle w:val="TextBody"/>
        <w:bidi w:val="0"/>
        <w:spacing w:before="240" w:after="283"/>
        <w:jc w:val="left"/>
        <w:rPr>
          <w:rFonts w:ascii="Times New Roman" w:hAnsi="Times New Roman"/>
          <w:sz w:val="20"/>
        </w:rPr>
      </w:pPr>
      <w:r>
        <w:rPr>
          <w:rFonts w:ascii="Times New Roman" w:hAnsi="Times New Roman"/>
          <w:b/>
          <w:color w:val="000000"/>
          <w:sz w:val="20"/>
        </w:rPr>
        <w:t>Who pays the cost for soliciting proxies?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t>
      </w:r>
    </w:p>
    <w:p>
      <w:pPr>
        <w:pStyle w:val="TextBody"/>
        <w:bidi w:val="0"/>
        <w:spacing w:before="240" w:after="283"/>
        <w:jc w:val="left"/>
        <w:rPr>
          <w:rFonts w:ascii="Times New Roman" w:hAnsi="Times New Roman"/>
          <w:sz w:val="20"/>
        </w:rPr>
      </w:pPr>
      <w:r>
        <w:rPr>
          <w:rFonts w:ascii="Times New Roman" w:hAnsi="Times New Roman"/>
          <w:b/>
          <w:color w:val="000000"/>
          <w:sz w:val="20"/>
        </w:rPr>
        <w:t>How may stockholders submit matters for consideration at an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was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2025 Annual Meeting of Stockholders, the required notice must be received by our Corporate Secretary at our principal executive offices no earlier than February 5, 2025 and no later than March 7, 2025. See the section titled “</w:t>
      </w:r>
      <w:r>
        <w:rPr>
          <w:rFonts w:ascii="Times New Roman" w:hAnsi="Times New Roman"/>
          <w:i/>
          <w:color w:val="000000"/>
          <w:sz w:val="20"/>
        </w:rPr>
        <w:t>Stockholder Proposals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stockholder proposal intended to be included in the proxy statement for the next annual meeting of our stockholders in 2025 must also satisfy the requirements of SEC Rule 14a-8 under the Exchange Act, and be received not later than December 30, 2024.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2025.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overview_of_proposals"/>
      <w:bookmarkEnd w:id="4"/>
      <w:r>
        <w:rPr>
          <w:rFonts w:ascii="Times New Roman" w:hAnsi="Times New Roman"/>
          <w:b/>
          <w:color w:val="000000"/>
          <w:sz w:val="20"/>
        </w:rPr>
        <w:t>OVERVIEW OF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Proxy Statement contains three proposals requiring stockholder action. </w:t>
      </w:r>
    </w:p>
    <w:p>
      <w:pPr>
        <w:pStyle w:val="TextBody"/>
        <w:bidi w:val="0"/>
        <w:spacing w:before="240" w:after="283"/>
        <w:jc w:val="left"/>
        <w:rPr>
          <w:rFonts w:ascii="Times New Roman" w:hAnsi="Times New Roman"/>
          <w:sz w:val="20"/>
        </w:rPr>
      </w:pPr>
      <w:r>
        <w:rPr>
          <w:rFonts w:ascii="Times New Roman" w:hAnsi="Times New Roman"/>
          <w:b/>
          <w:color w:val="000000"/>
          <w:sz w:val="20"/>
        </w:rPr>
        <w:t>Proposal No. 1 - Election of Class III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being asked to vote on the election of three Class III Directors, Alexis Borisy, John Ketchum and Barbara Weber, M.D. to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Proposal No. 2 - Ratification of PricewaterhouseCoopers LLP as our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are being asked to vote to ratify the appointment of PricewaterhouseCoopers LLP as our independent registered public accounting firm for the fiscal year ending December 31, 2024. </w:t>
      </w:r>
    </w:p>
    <w:p>
      <w:pPr>
        <w:pStyle w:val="TextBody"/>
        <w:bidi w:val="0"/>
        <w:jc w:val="left"/>
        <w:rPr>
          <w:rFonts w:ascii="Times New Roman" w:hAnsi="Times New Roman"/>
          <w:b/>
          <w:color w:val="000000"/>
          <w:sz w:val="20"/>
        </w:rPr>
      </w:pPr>
      <w:r>
        <w:rPr>
          <w:rFonts w:ascii="Times New Roman" w:hAnsi="Times New Roman"/>
          <w:b/>
          <w:color w:val="000000"/>
          <w:sz w:val="20"/>
        </w:rPr>
        <w:t>Proposal 3 - Approval of Amendment to our Second Amended and Restated Certificate of Incorporation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are being asked to vote to approve the Amendment to our Second Amended and Restated Certificate of Incorporation to limit the liability of certain officers as permitted by recent amendments to Delaware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board of directors recommends that you vote </w:t>
      </w:r>
      <w:r>
        <w:rPr>
          <w:rFonts w:ascii="Times New Roman" w:hAnsi="Times New Roman"/>
          <w:b/>
          <w:color w:val="000000"/>
          <w:sz w:val="20"/>
        </w:rPr>
        <w:t>FOR</w:t>
      </w:r>
      <w:r>
        <w:rPr>
          <w:rFonts w:ascii="Times New Roman" w:hAnsi="Times New Roman"/>
          <w:color w:val="000000"/>
          <w:sz w:val="20"/>
        </w:rPr>
        <w:t xml:space="preserve"> each of the director nominees in Proposal 1 and </w:t>
      </w:r>
      <w:r>
        <w:rPr>
          <w:rFonts w:ascii="Times New Roman" w:hAnsi="Times New Roman"/>
          <w:b/>
          <w:color w:val="000000"/>
          <w:sz w:val="20"/>
        </w:rPr>
        <w:t>FOR</w:t>
      </w:r>
      <w:r>
        <w:rPr>
          <w:rFonts w:ascii="Times New Roman" w:hAnsi="Times New Roman"/>
          <w:color w:val="000000"/>
          <w:sz w:val="20"/>
        </w:rPr>
        <w:t xml:space="preserve"> both Proposal No. 2 and Proposal No.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proposals listed above is discussed in more detail in the pages that follow.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proposal_no_1"/>
      <w:bookmarkEnd w:id="5"/>
      <w:r>
        <w:rPr>
          <w:rFonts w:ascii="Times New Roman" w:hAnsi="Times New Roman"/>
          <w:b/>
          <w:caps/>
          <w:color w:val="000000"/>
          <w:sz w:val="20"/>
        </w:rPr>
        <w:t>PROPOSAL NO. 1 – ELECTION OF CLASS II DIRECTORS</w:t>
      </w:r>
      <w:r>
        <w:rPr>
          <w:rFonts w:ascii="Times New Roman" w:hAnsi="Times New Roman"/>
          <w:caps/>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w:t>
      </w:r>
    </w:p>
    <w:p>
      <w:pPr>
        <w:pStyle w:val="TextBody"/>
        <w:bidi w:val="0"/>
        <w:jc w:val="left"/>
        <w:rPr>
          <w:rFonts w:ascii="Times New Roman" w:hAnsi="Times New Roman"/>
          <w:color w:val="000000"/>
          <w:sz w:val="20"/>
        </w:rPr>
      </w:pPr>
      <w:r>
        <w:rPr>
          <w:rFonts w:ascii="Times New Roman" w:hAnsi="Times New Roman"/>
          <w:color w:val="000000"/>
          <w:sz w:val="20"/>
        </w:rPr>
        <w:t>Three directors have been nominated for election at the Annual Meeting to serve until the 2027 annual meeting of stockholders and until their successors have been duly elected and qualified. In the event any nominee is unable to serve as a director, the shares represented by the proxy will be voted for such other candidate, if any, who is nominated by the board of directors to replace the nominee. All nominees have consented to be named in the proxy statement and have indicated their intent to serve if elected. The board of directors has no reason to believe that any of the nominees will be unable to serve. Pursuant to our by-laws, directors are elected by plurality vote in uncontested director elections, such as this one. The number of candidates for election as Class III Directors at the Annual Meeting is the same as the number of Class III Directors to be elected at the Annual Meeting. Therefore, this is an uncontested election and directors will be elected by the affirmative vote of a plurality of the votes properly cast by the shares present or represented and entitled to vote at the Annual Meeting, in person or by proxy. The nominees for election as director are those identified in this proxy statement.</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our current directors, their respective term on the board of directors, ages and positions as of April 9, 2024. Director service dates in the table below and elsewhere in this proxy statement reflect the periods such director commenced director service with Tango prior to the completion of the Business Combination (as described below). </w:t>
      </w:r>
    </w:p>
    <w:tbl>
      <w:tblPr>
        <w:tblW w:w="8399" w:type="dxa"/>
        <w:jc w:val="left"/>
        <w:tblInd w:w="0" w:type="dxa"/>
        <w:tblLayout w:type="fixed"/>
        <w:tblCellMar>
          <w:top w:w="28" w:type="dxa"/>
          <w:left w:w="28" w:type="dxa"/>
          <w:bottom w:w="28" w:type="dxa"/>
          <w:right w:w="28" w:type="dxa"/>
        </w:tblCellMar>
      </w:tblPr>
      <w:tblGrid>
        <w:gridCol w:w="1861"/>
        <w:gridCol w:w="146"/>
        <w:gridCol w:w="146"/>
        <w:gridCol w:w="286"/>
        <w:gridCol w:w="146"/>
        <w:gridCol w:w="146"/>
        <w:gridCol w:w="3466"/>
        <w:gridCol w:w="146"/>
        <w:gridCol w:w="205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Served as a Director Since</w:t>
            </w:r>
          </w:p>
        </w:tc>
      </w:tr>
      <w:tr>
        <w:trPr/>
        <w:tc>
          <w:tcPr>
            <w:tcW w:w="6197" w:type="dxa"/>
            <w:gridSpan w:val="7"/>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 Directors with terms that will expire at the 2025 Annual Meeting</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Lesley Ann Calhoun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2021</w:t>
            </w:r>
          </w:p>
        </w:tc>
      </w:tr>
      <w:tr>
        <w:trPr/>
        <w:tc>
          <w:tcPr>
            <w:tcW w:w="6197" w:type="dxa"/>
            <w:gridSpan w:val="7"/>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II Directors with terms that will expire at the 2026 Annual Meeting</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Malte Peters,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2018</w:t>
            </w:r>
          </w:p>
        </w:tc>
      </w:tr>
      <w:tr>
        <w:trPr/>
        <w:tc>
          <w:tcPr>
            <w:tcW w:w="186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Mace Rothenberg, M.D.</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2021</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Kanishka Pothula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2023</w:t>
            </w:r>
          </w:p>
        </w:tc>
      </w:tr>
      <w:tr>
        <w:trPr/>
        <w:tc>
          <w:tcPr>
            <w:tcW w:w="6197" w:type="dxa"/>
            <w:gridSpan w:val="7"/>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III Directors with terms that will expire at the Annual Meeting</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Alexis Borisy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Chairman of the Board</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r>
        <w:trPr/>
        <w:tc>
          <w:tcPr>
            <w:tcW w:w="186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Ketchum</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2023</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FFFFFF" w:val="clear"/>
            <w:vAlign w:val="center"/>
          </w:tcPr>
          <w:p>
            <w:pPr>
              <w:pStyle w:val="TableContents"/>
              <w:bidi w:val="0"/>
              <w:spacing w:before="0" w:after="283"/>
              <w:jc w:val="left"/>
              <w:rPr/>
            </w:pPr>
            <w:r>
              <w:rPr/>
              <w:t> </w:t>
            </w:r>
          </w:p>
        </w:tc>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before="240" w:after="283"/>
        <w:jc w:val="left"/>
        <w:rPr>
          <w:rFonts w:ascii="Times New Roman" w:hAnsi="Times New Roman"/>
          <w:sz w:val="20"/>
        </w:rPr>
      </w:pPr>
      <w:r>
        <w:rPr>
          <w:rFonts w:ascii="Times New Roman" w:hAnsi="Times New Roman"/>
          <w:b/>
          <w:color w:val="000000"/>
          <w:sz w:val="20"/>
        </w:rPr>
        <w:t>Nominees for Election as Class III</w:t>
      </w:r>
      <w:r>
        <w:rPr>
          <w:rFonts w:ascii="Times New Roman" w:hAnsi="Times New Roman"/>
          <w:color w:val="000000"/>
          <w:sz w:val="20"/>
        </w:rPr>
        <w:t xml:space="preserve"> </w:t>
      </w:r>
      <w:r>
        <w:rPr>
          <w:rFonts w:ascii="Times New Roman" w:hAnsi="Times New Roman"/>
          <w:b/>
          <w:color w:val="000000"/>
          <w:sz w:val="20"/>
        </w:rPr>
        <w:t>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nominated Alexis Borisy, John Ketchum and Barbara Weber, M.D. for election as Class III Directors to serve for a three-year term ending at the 2027 annual meeting of stockholders and until their successors are elected and qualified. Each of the nominees is a current member of our board of directors and has consented to serve if elected. </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stockholder has one vote per share. Stockholders do not have the right to vote cumulatively in electing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nominees for Class III Director who receive the most votes (also known as a plurality) will be elected. You may vote either FOR all the nominees, WITHHOLD your vote from all the nominees or WITHHOLD your vote from any one or more of the nominees. Shares voting “withheld” will have no effect on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proxies will be voted in favor of the above nominees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the election of Alexis Borisy, John Ketchum and Barbara Weber, M.D. as Class III Directors, to serve for a three-year term ending at the annual meeting of stockholders to be held in 2027.</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6" w:name="general_information_about_the_board"/>
      <w:bookmarkEnd w:id="6"/>
      <w:r>
        <w:rPr>
          <w:rFonts w:ascii="Times New Roman" w:hAnsi="Times New Roman"/>
          <w:b/>
          <w:color w:val="000000"/>
          <w:sz w:val="20"/>
        </w:rPr>
        <w:t>GENERAL INFORMATION ABOUT THE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Our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Commination).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Class III Directors, at the annual meeting of stockholders to be held during the year 2025 for Class I Directors and at the annual meeting of stockholders to be held during the year 2026 for Class II Directors. Lesley Ann Calhoun currently serves as our Class I Director, Malte Peters, M.D., Mace Rothenberg, M.D. and Kanishka Pothula currently serve as our Class II Directors and Alexis Borisy, John Ketchum and Barbara Weber, M.D. currently serve as our Class III Directors. </w:t>
      </w:r>
    </w:p>
    <w:p>
      <w:pPr>
        <w:pStyle w:val="TextBody"/>
        <w:bidi w:val="0"/>
        <w:jc w:val="left"/>
        <w:rPr>
          <w:rFonts w:ascii="Times New Roman" w:hAnsi="Times New Roman"/>
          <w:color w:val="000000"/>
          <w:sz w:val="20"/>
        </w:rPr>
      </w:pPr>
      <w:r>
        <w:rPr>
          <w:rFonts w:ascii="Times New Roman" w:hAnsi="Times New Roman"/>
          <w:color w:val="000000"/>
          <w:sz w:val="20"/>
        </w:rPr>
        <w:t>Our certificate of incorporation and bylaws provide that the number of directors shall be fixed solely and exclusively by a resolution adopted from time to time by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III Director Nominees for Election for a Three-Year Term Ending at the 2027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Alexis Borisy</w:t>
      </w:r>
      <w:r>
        <w:rPr>
          <w:rFonts w:ascii="Times New Roman" w:hAnsi="Times New Roman"/>
          <w:color w:val="000000"/>
          <w:sz w:val="20"/>
        </w:rPr>
        <w:t xml:space="preserve"> has served as a member of our board of directors since our founding in 2017 and as the chairman of the board of directors since August 2021. Mr. Borisy is the co-founder and operating chairman of Curie.Bio, a new model for venture in biotech. In 2022, Mr. Borisy co-founded IDRx, Inc., a biopharmaceutical company and did the initial build through Borisy Labs Production, LLC. Also in 2022, Mr. Borisy became a director of Nextech Invest, a Swiss-based venture firm, where he also serves as Chairman. Prior to its acquisition by Revolution Medicines, Inc. (NASDAQ: RVMD), Mr. Borisy served as Chief Executive Officer and Chairman of EQRx, Inc., (formerly NASDAQ: EQRX), a biotechnology company, from June 2019 to November 2023.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Mr. Borisy serves as a member of the board of directors of OPKO Health, Inc. (NASDAQ: OPK), Relay Therapeutics, Inc. (NASDAQ: RLAY) and Revolution Medicines, Inc. During the past five years, Mr. Borisy also served as a member of the board of directors of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pStyle w:val="TextBody"/>
        <w:bidi w:val="0"/>
        <w:jc w:val="left"/>
        <w:rPr>
          <w:rFonts w:ascii="Times New Roman" w:hAnsi="Times New Roman"/>
          <w:sz w:val="20"/>
        </w:rPr>
      </w:pPr>
      <w:r>
        <w:rPr>
          <w:rFonts w:ascii="Times New Roman" w:hAnsi="Times New Roman"/>
          <w:i/>
          <w:color w:val="000000"/>
          <w:sz w:val="20"/>
        </w:rPr>
        <w:t>John Ketchum</w:t>
      </w:r>
      <w:r>
        <w:rPr>
          <w:rFonts w:ascii="Times New Roman" w:hAnsi="Times New Roman"/>
          <w:color w:val="000000"/>
          <w:sz w:val="20"/>
        </w:rPr>
        <w:t xml:space="preserve"> has served as a member of our board of directors since August 2023. Since 2018, Mr. Ketchum has operated Bonnieview Consulting, LLC, a consulting agency that provides strategic and business services to pharmaceutical and biotech companies from research and development to full commercialization stages. In 2019, Mr. Ketchum founded, and continues to provide advisory services to, CureLeads, a company that operates in the Middle East/North Africa providing a range of services for biomedical firms commercializing specialty drugs in the region. From 1996 to 2017, Mr. Ketchum held various positions at Novartis International AG, including as Senior Vice President, Region Head, Emerging Growth Markets from 2014 to 2017 and Senior Vice President, Region Head, Latin America, from 2014 to 2017. Mr. Ketchum serves as an advisor and the Chairman of the Board of Ernest Pharmaceuticals LLC, a privately held oncology company. Mr. Ketchum received his B.A. from Hamilton College and his M.B.A. from the University of North Carolina at Chapel Hill. We believe Mr. Ketchum's industry experience and life science expertise, including his extensive work in commercializing pharmaceuticals in the U.S. and in international markets, make him qualified to serve on our board of directors.</w:t>
      </w:r>
    </w:p>
    <w:p>
      <w:pPr>
        <w:pStyle w:val="TextBody"/>
        <w:bidi w:val="0"/>
        <w:spacing w:before="240" w:after="240"/>
        <w:jc w:val="left"/>
        <w:rPr>
          <w:rFonts w:ascii="Times New Roman" w:hAnsi="Times New Roman"/>
          <w:sz w:val="20"/>
        </w:rPr>
      </w:pPr>
      <w:r>
        <w:rPr>
          <w:rFonts w:ascii="Times New Roman" w:hAnsi="Times New Roman"/>
          <w:i/>
          <w:color w:val="000000"/>
          <w:sz w:val="20"/>
        </w:rPr>
        <w:t>Barbara Weber, M.D.</w:t>
      </w:r>
      <w:r>
        <w:rPr>
          <w:rFonts w:ascii="Times New Roman" w:hAnsi="Times New Roman"/>
          <w:color w:val="000000"/>
          <w:sz w:val="20"/>
        </w:rPr>
        <w:t xml:space="preserve"> has served as our President and Chief Executive Officer since March 2017. Dr. Weber was a Venture Partner at Third Rock Ventures from March 2015 until June 2022, during which time she led the formation of the Company.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previously served as a director of OPY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Corp. I (NASDAQ: OHAA), a special purpose acquisition company. Dr. Weber received a B.S. in Chemistry and an M.D. from the University of Washington, was a resident in internal medicine at Yale University and fellow in Medical Oncology at the Dana Farber Cancer Institute. We believe Dr. Weber is qualified to serve on our board based on her position as our President and Chief Executive Officer, her leadership experience and her extensive experience in the biopharmaceutical industry.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 Directors Continuing in Office Until the 2025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Lesley Ann Calhoun</w:t>
      </w:r>
      <w:r>
        <w:rPr>
          <w:rFonts w:ascii="Times New Roman" w:hAnsi="Times New Roman"/>
          <w:color w:val="000000"/>
          <w:sz w:val="20"/>
        </w:rPr>
        <w:t xml:space="preserve"> has served as a member of our board of directors since March 2021. Since June 2020, Ms. Calhoun has served as Executive Vice 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companies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II Directors Continuing in Office Until the 2026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Malte Peters, M.D.</w:t>
      </w:r>
      <w:r>
        <w:rPr>
          <w:rFonts w:ascii="Times New Roman" w:hAnsi="Times New Roman"/>
          <w:color w:val="000000"/>
          <w:sz w:val="20"/>
        </w:rPr>
        <w:t>, has served on our board of directors since September 2018. In December 2022, Dr. Peters joined the board of directors of Hookipa Pharma, Inc. (NASDAQ: HOOK), a clinical stage biopharmaceutical company, where he has also served as an interim Senior Clinical Advisor since November 2023. From March 2020 to December 2022, Dr. Peters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Peters’s extensive knowledge of the biotechnology industry makes him qualified to serve on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Mace Rothenberg, M.D., </w:t>
      </w:r>
      <w:r>
        <w:rPr>
          <w:rFonts w:ascii="Times New Roman" w:hAnsi="Times New Roman"/>
          <w:color w:val="000000"/>
          <w:sz w:val="20"/>
        </w:rPr>
        <w:t>has served on our board of directors since March 2021. Dr. Rothenberg was previously at Pfizer, Inc., a pharmaceutical 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a biotechnology company discovering and developing drug candidates to selectively modulate the Wnt pathway, since May 2021 and Aulos Bioscience, a privately-held immuno-oncology company, since March 2021.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Kanishka Pothula</w:t>
      </w:r>
      <w:r>
        <w:rPr>
          <w:rFonts w:ascii="Times New Roman" w:hAnsi="Times New Roman"/>
          <w:color w:val="000000"/>
          <w:sz w:val="20"/>
        </w:rPr>
        <w:t xml:space="preserve"> has served as a member of our board of directors since November 2023. Mr. Pothula joined Nextech Ventures (US), an affiliate of Nextech Invest, in March 2023 and currently serves as a Managing Partner. Prior to joining Nextech Ventures (US), Mr. Pothula spent eleven years at BVF Partners, a biotechnology-focused hedge fund, where he served various roles throughout his tenure. Mr. Pothula holds a M.S. in biotechnology from Georgetown University and a B.S. in bioengineering from the University of California, San Diego. We believe that Mr. Pothula’s extensive experience in finance and the life sciences industry make him qualified to serve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Board Diversity Matrix</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board possesses a deep set of skills and experiences that are critical to providing the necessary oversight and strategic direction for a clinical stage biopharmaceutical company. Each director is individually qualified to make unique and substantial contributions to our board based upon the experience, knowledge, background and skills that they have obtained in the course of their extensive careers. Our directors’ diverse viewpoints and independent mindedness enhance, we believe, the quality and effectiveness of the board of directors in carrying out its duties and responsibilities. Our board provides an appropriate balance of executive, financial, commercial, research and clinical development necessary for oversight of a biopharmaceutical company at our stage of development. </w:t>
      </w:r>
    </w:p>
    <w:p>
      <w:pPr>
        <w:pStyle w:val="TextBody"/>
        <w:bidi w:val="0"/>
        <w:jc w:val="left"/>
        <w:rPr>
          <w:rFonts w:ascii="Times New Roman" w:hAnsi="Times New Roman"/>
          <w:color w:val="000000"/>
          <w:sz w:val="20"/>
        </w:rPr>
      </w:pPr>
      <w:r>
        <w:rPr>
          <w:rFonts w:ascii="Times New Roman" w:hAnsi="Times New Roman"/>
          <w:color w:val="000000"/>
          <w:sz w:val="20"/>
        </w:rPr>
        <w:t>The composition of our board of directors currently includes three individuals who are diverse under the Nasdaq Stock Market LLC, or Nasdaq, listing rule regarding board diversity, representing gender diversity of 29% and ethnic diversity of 29%, as presented in the below Board Diversity Matrix. Under the Nasdaq listing rule, directors who self-identify as (i) female, (ii) an underrepresented minority or (iii) LGBTQ+ are defined as being diverse. The following table provides certain self-identified personal characteristics of our directors, in accordance with Rule 5605(f) of the Nasdaq listing standards:</w:t>
      </w:r>
    </w:p>
    <w:tbl>
      <w:tblPr>
        <w:tblW w:w="8135" w:type="dxa"/>
        <w:jc w:val="left"/>
        <w:tblInd w:w="0" w:type="dxa"/>
        <w:tblLayout w:type="fixed"/>
        <w:tblCellMar>
          <w:top w:w="28" w:type="dxa"/>
          <w:left w:w="28" w:type="dxa"/>
          <w:bottom w:w="28" w:type="dxa"/>
          <w:right w:w="28" w:type="dxa"/>
        </w:tblCellMar>
      </w:tblPr>
      <w:tblGrid>
        <w:gridCol w:w="3691"/>
        <w:gridCol w:w="691"/>
        <w:gridCol w:w="526"/>
        <w:gridCol w:w="1066"/>
        <w:gridCol w:w="2161"/>
      </w:tblGrid>
      <w:tr>
        <w:trPr/>
        <w:tc>
          <w:tcPr>
            <w:tcW w:w="3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8135" w:type="dxa"/>
            <w:gridSpan w:val="5"/>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As of April 29, 2024</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Number of Directors</w:t>
            </w:r>
          </w:p>
        </w:tc>
        <w:tc>
          <w:tcPr>
            <w:tcW w:w="444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Female</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Male</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Non-Binary</w:t>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Did Not Disclose Gender</w:t>
            </w:r>
          </w:p>
        </w:tc>
      </w:tr>
      <w:tr>
        <w:trPr/>
        <w:tc>
          <w:tcPr>
            <w:tcW w:w="813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Gender Identity</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813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Demographic Background</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Latinx</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5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444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444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jc w:val="left"/>
        <w:rPr>
          <w:rFonts w:ascii="Times New Roman" w:hAnsi="Times New Roman"/>
          <w:color w:val="000000"/>
          <w:sz w:val="20"/>
        </w:rPr>
      </w:pPr>
      <w:r>
        <w:rPr>
          <w:rFonts w:ascii="Times New Roman" w:hAnsi="Times New Roman"/>
          <w:color w:val="000000"/>
          <w:sz w:val="20"/>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are no family relationships among any of our directors or executive officers.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Adverse Proceedings</w:t>
      </w:r>
    </w:p>
    <w:p>
      <w:pPr>
        <w:pStyle w:val="TextBody"/>
        <w:bidi w:val="0"/>
        <w:jc w:val="left"/>
        <w:rPr>
          <w:rFonts w:ascii="Times New Roman" w:hAnsi="Times New Roman"/>
          <w:color w:val="000000"/>
          <w:sz w:val="20"/>
        </w:rPr>
      </w:pPr>
      <w:r>
        <w:rPr>
          <w:rFonts w:ascii="Times New Roman" w:hAnsi="Times New Roman"/>
          <w:color w:val="000000"/>
          <w:sz w:val="20"/>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7" w:name="corporate_governance"/>
      <w:bookmarkEnd w:id="7"/>
      <w:r>
        <w:rPr>
          <w:rFonts w:ascii="Times New Roman" w:hAnsi="Times New Roman"/>
          <w:b/>
          <w:caps/>
          <w:color w:val="000000"/>
          <w:sz w:val="20"/>
        </w:rPr>
        <w:t>CORPORATE GOVERNANCE</w:t>
      </w:r>
      <w:r>
        <w:rPr>
          <w:rFonts w:ascii="Times New Roman" w:hAnsi="Times New Roman"/>
          <w:caps/>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of which are reviewed on an annual basis by the applicable committee and the board of directors. Each committee charter is posted on our website, www.tangotx.com, under the “Governance” subsection of the “Investors” section. The current members of our audit committee are Lesley Ann Calhoun, Kanishka Pothula and Alexis Borisy, and Lesley Ann Calhoun serves as the chairperson of the audit committee. The current members of our compensation committee are Malte Peters, Mace Rothenberg and John Ketchum, and Malte Peters is the chairperson of the compensation committee. The current members of our nominating and corporate governance committee are Mace Rothenberg, Kanishka Pothula and Lesley Ann Calhoun, and Mace Rothenberg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2023, our board of directors held four meetings. During 2023,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of seven members of the board of directors then in office attended the annual meeting of stockholders on June 6, 2023.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currently consists of Lesley Ann Calhoun, Kanishka Pothula and Alexis Borisy. From January to December 14, 2023, the audit committee consisted of Lesley Ann Calhoun, Mace Rothenberg and Alexis Borisy. Our board has determined that each member of our audit committee is independent under Nasdaq listing standards and Rule 10A-3(b)(1) under the Exchange Act. The chairperson of the audit committee is Lesley Ann Calhoun. Our board has determined that Lesley Ann Calhoun is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2023.</w:t>
      </w:r>
    </w:p>
    <w:p>
      <w:pPr>
        <w:pStyle w:val="TextBody"/>
        <w:bidi w:val="0"/>
        <w:jc w:val="left"/>
        <w:rPr>
          <w:rFonts w:ascii="Times New Roman" w:hAnsi="Times New Roman"/>
          <w:color w:val="000000"/>
          <w:sz w:val="20"/>
        </w:rPr>
      </w:pPr>
      <w:r>
        <w:rPr>
          <w:rFonts w:ascii="Times New Roman" w:hAnsi="Times New Roman"/>
          <w:color w:val="000000"/>
          <w:sz w:val="20"/>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helping our board of directors oversee corporate accounting and financial reporting processes;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managing the selection, engagement and qualifications of a qualified firm to serve as the independent registered public accounting firm to audit our financial statements;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helping to ensure the independence and performance of the independent registered public accounting firm;</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developing procedures for employees to submit concerns anonymously about questionable accounting or audit matters;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policies on financial risk assessment and financial risk management, as well as discussing with management the guidelines and policies that govern the process by which the Company's exposure to risks, including financial, operational, privacy, security, cybersecurity, competition, legal, regulatory, hedging and accounting, is assessed and managed by management;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related party transactions;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approving (or, as permitted, pre-approving) all audit and all permissible non-audit service to be performed by the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jc w:val="left"/>
        <w:rPr>
          <w:rFonts w:ascii="Times New Roman" w:hAnsi="Times New Roman"/>
          <w:color w:val="000000"/>
          <w:sz w:val="20"/>
        </w:rPr>
      </w:pPr>
      <w:r>
        <w:rPr>
          <w:rFonts w:ascii="Times New Roman" w:hAnsi="Times New Roman"/>
          <w:color w:val="000000"/>
          <w:sz w:val="20"/>
        </w:rPr>
        <w:t>Our compensation committee currently consists of Malte Peters, Mace Rothenberg and John Ketchum. From January to December 14, 2023, the compensation committee consisted of Malte Peters, Mace Rothenberg and Alexis Borisy. Our board has determined that each member of our compensation committee is independent under Nasdaq listing standards and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three meetings during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responsibilities of our compensation committee include: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approving, or recommending that our board approve, the compensation of our executive officers and senior management;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recommending to our board the compensation of our directors;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administering our stock and equity incentive plans;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selecting independent compensation consultants and assessing whether there are any conflicts of interest with any of the committee’s compensation advisors;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approving, amending and terminating, or recommending that our board approve, amend or terminate, incentive compensation and equity plans, severance agreements, change in control protections and any other compensatory arrangements for our executive officers and other senior management, as appropriate;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establishing general policies relating to compensation and benefits of our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Peters, Dr. Rothenberg, Mr. Borisy and Mr. Ketchum served on the compensation committee during the year ended December 31, 2023. None of the members of our compensation committee has at any time been one of our officers or employees or had any relationships with us requiring disclosure under Item 404 of Regulation S-K under the Exchange Act.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nominating and corporate governance committee currently consists of Mace Rothenberg, Kanishka Pothula, and Lesley Ann Calhoun. During 2023, Aaron Davis and Reid Huber were members of the nominating and corporate governance committee until they resigned from the board of directors in August 2023 and November 2023, respectively. Our board has determined each member is independent under Nasdaq listing standards. The chairperson of the nominating and corporate governance committee is Mace Rothenberg. The nominating and corporate governance committee held two meetings during 2023. </w:t>
      </w:r>
    </w:p>
    <w:p>
      <w:pPr>
        <w:pStyle w:val="TextBody"/>
        <w:bidi w:val="0"/>
        <w:jc w:val="left"/>
        <w:rPr>
          <w:rFonts w:ascii="Times New Roman" w:hAnsi="Times New Roman"/>
          <w:color w:val="000000"/>
          <w:sz w:val="20"/>
        </w:rPr>
      </w:pPr>
      <w:r>
        <w:rPr>
          <w:rFonts w:ascii="Times New Roman" w:hAnsi="Times New Roman"/>
          <w:color w:val="000000"/>
          <w:sz w:val="20"/>
        </w:rPr>
        <w:t>Specific responsibilities of our nominating and corporate governance committee include: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identifying, evaluating and selecting, or recommending that our board approve, nominees for election to our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the performance of our board and of individual directors;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the adequacy of our corporate governance practices and reporting;</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overseeing the environmental, social and governance, or ESG, programs and policies, the scope of risk related to such matters, and the potential risks and liabilities related thereto;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developing and making recommendations to our board regarding corporate governance guidelines and matters.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Role of Our Board of Directors in Risk Oversight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risk exposures, including financial, operational, privacy, security, cybersecurity, competition, legal,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hedging and accounting and the steps that the Company’s management has taken to monitor and control such exposures. Our audit committee also monitors compliance with legal and regulatory requirements. Our compensation committee assesses and monitors whether our compensation plans, policies and programs comply with applicable legal and regulatory requirements and whether our compensation program may encourage excessive risk-taking.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Separation of the Roles of Chairman and CEO</w:t>
      </w:r>
    </w:p>
    <w:p>
      <w:pPr>
        <w:pStyle w:val="TextBody"/>
        <w:bidi w:val="0"/>
        <w:jc w:val="left"/>
        <w:rPr>
          <w:rFonts w:ascii="Times New Roman" w:hAnsi="Times New Roman"/>
          <w:color w:val="000000"/>
          <w:sz w:val="20"/>
        </w:rPr>
      </w:pPr>
      <w:r>
        <w:rPr>
          <w:rFonts w:ascii="Times New Roman" w:hAnsi="Times New Roman"/>
          <w:color w:val="000000"/>
          <w:sz w:val="20"/>
        </w:rPr>
        <w:t>We have chosen to separate the roles of Chairman of the board, held by Alexis Borisy, and Chief Executive Officer, held by Barbara Weber. The board believes that separating these roles is the most appropriate structure for Tango.</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Code of Ethics</w:t>
      </w:r>
    </w:p>
    <w:p>
      <w:pPr>
        <w:pStyle w:val="TextBody"/>
        <w:bidi w:val="0"/>
        <w:jc w:val="left"/>
        <w:rPr>
          <w:rFonts w:ascii="Times New Roman" w:hAnsi="Times New Roman"/>
          <w:color w:val="000000"/>
          <w:sz w:val="20"/>
        </w:rPr>
      </w:pPr>
      <w:r>
        <w:rPr>
          <w:rFonts w:ascii="Times New Roman" w:hAnsi="Times New Roman"/>
          <w:color w:val="000000"/>
          <w:sz w:val="20"/>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Form 8-K with the SEC, disclosing such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Policy on Trading, Pledging and Hedging of Company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its charter, the nominating and corporate governance committee requires the following qualifications to be satisfied by any nominee for a position on the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High standards of personal and professional ethics and integrity;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Proven achievement and competence in the nominee’s field and the ability to exercise sound business judgment;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Skills that are complementary to those of members of the existing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ability to assist and support management and make significant contributions to the Company’s success;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 understanding of the fiduciary responsibilities required of a director and a commitment to devote the time and energy necessary to perform those responsibilities.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 Communications with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the board or the chair of our board, by submitting a written communication to the attention of such director at the following address:</w:t>
      </w:r>
    </w:p>
    <w:p>
      <w:pPr>
        <w:pStyle w:val="TextBody"/>
        <w:bidi w:val="0"/>
        <w:jc w:val="center"/>
        <w:rPr>
          <w:rFonts w:ascii="Times New Roman" w:hAnsi="Times New Roman"/>
          <w:color w:val="000000"/>
          <w:sz w:val="20"/>
        </w:rPr>
      </w:pPr>
      <w:r>
        <w:rPr>
          <w:rFonts w:ascii="Times New Roman" w:hAnsi="Times New Roman"/>
          <w:color w:val="000000"/>
          <w:sz w:val="20"/>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201 Brookline Avenue, Suite 901</w:t>
      </w:r>
    </w:p>
    <w:p>
      <w:pPr>
        <w:pStyle w:val="TextBody"/>
        <w:bidi w:val="0"/>
        <w:jc w:val="center"/>
        <w:rPr>
          <w:rFonts w:ascii="Times New Roman" w:hAnsi="Times New Roman"/>
          <w:color w:val="000000"/>
          <w:sz w:val="20"/>
        </w:rPr>
      </w:pPr>
      <w:r>
        <w:rPr>
          <w:rFonts w:ascii="Times New Roman" w:hAnsi="Times New Roman"/>
          <w:color w:val="000000"/>
          <w:sz w:val="20"/>
        </w:rPr>
        <w:t>Boston, MA 02215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Tango’s legal counsel and a copy of such communication may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 toll-free telephone number for the reporting of such activity, which is 1-855-495-2758.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 Social and Governance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grow and progress as a company, we are committed to increasing our impact on social and environmental issues that affect our stakeholders, which include our future patients, our stockholders, our community and our employees. An area of focus for our board and management is oversight of such ESG efforts across our organization and as a part of our overall strategy as we grow as a company. Our nominating and corporate governance committee has primary oversight over our ESG efforts, as reflected in a recent amendment to the nominating and corporate governance committee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goal is to make the world healthier and improve the lives of patients by developing solutions in drug discovery, cancer biology, functional genomics and translational medicine pursuing the bold goal of tackling the genetic complexity of cancer.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8" w:name="general_information_about_the_executive"/>
      <w:bookmarkEnd w:id="8"/>
      <w:r>
        <w:rPr>
          <w:rFonts w:ascii="Times New Roman" w:hAnsi="Times New Roman"/>
          <w:b/>
          <w:color w:val="000000"/>
          <w:sz w:val="20"/>
        </w:rPr>
        <w:t>GENERAL INFORMATION</w:t>
      </w:r>
      <w:r>
        <w:rPr>
          <w:rFonts w:ascii="Times New Roman" w:hAnsi="Times New Roman"/>
          <w:color w:val="000000"/>
          <w:sz w:val="20"/>
        </w:rPr>
        <w:t xml:space="preserve"> </w:t>
      </w:r>
      <w:r>
        <w:rPr>
          <w:rFonts w:ascii="Times New Roman" w:hAnsi="Times New Roman"/>
          <w:b/>
          <w:color w:val="000000"/>
          <w:sz w:val="20"/>
        </w:rPr>
        <w:t>ABOUT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identifies and sets forth certain information regarding our executive officers as of April 9, 2024. Officer service dates in the table below and elsewhere in this proxy statement reflect, where applicable, the periods such officer commenced employment with Tango prior to the completion of the Business Combination (as described above). </w:t>
      </w:r>
    </w:p>
    <w:tbl>
      <w:tblPr>
        <w:tblW w:w="10205" w:type="dxa"/>
        <w:jc w:val="left"/>
        <w:tblInd w:w="0" w:type="dxa"/>
        <w:tblLayout w:type="fixed"/>
        <w:tblCellMar>
          <w:top w:w="28" w:type="dxa"/>
          <w:left w:w="28" w:type="dxa"/>
          <w:bottom w:w="28" w:type="dxa"/>
          <w:right w:w="28" w:type="dxa"/>
        </w:tblCellMar>
      </w:tblPr>
      <w:tblGrid>
        <w:gridCol w:w="2090"/>
        <w:gridCol w:w="146"/>
        <w:gridCol w:w="146"/>
        <w:gridCol w:w="286"/>
        <w:gridCol w:w="146"/>
        <w:gridCol w:w="146"/>
        <w:gridCol w:w="5126"/>
        <w:gridCol w:w="146"/>
        <w:gridCol w:w="1973"/>
      </w:tblGrid>
      <w:tr>
        <w:trPr/>
        <w:tc>
          <w:tcPr>
            <w:tcW w:w="2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Current Position Since</w:t>
            </w:r>
          </w:p>
        </w:tc>
      </w:tr>
      <w:tr>
        <w:trPr/>
        <w:tc>
          <w:tcPr>
            <w:tcW w:w="2090"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1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CCEC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r>
        <w:trPr/>
        <w:tc>
          <w:tcPr>
            <w:tcW w:w="20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2019</w:t>
            </w:r>
          </w:p>
        </w:tc>
      </w:tr>
      <w:tr>
        <w:trPr/>
        <w:tc>
          <w:tcPr>
            <w:tcW w:w="2090"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Adam Crystal, M.D., Ph.D.</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1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of Research and Development</w:t>
            </w:r>
          </w:p>
        </w:tc>
        <w:tc>
          <w:tcPr>
            <w:tcW w:w="146" w:type="dxa"/>
            <w:tcBorders/>
            <w:shd w:fill="CCEC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2023</w:t>
            </w:r>
          </w:p>
        </w:tc>
      </w:tr>
      <w:tr>
        <w:trPr/>
        <w:tc>
          <w:tcPr>
            <w:tcW w:w="20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Douglas Barry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Legal Officer, Chief Compliance Officer and Corporate Secretary</w:t>
            </w:r>
          </w:p>
        </w:tc>
        <w:tc>
          <w:tcPr>
            <w:tcW w:w="146"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2021</w:t>
            </w:r>
          </w:p>
        </w:tc>
      </w:tr>
      <w:tr>
        <w:trPr/>
        <w:tc>
          <w:tcPr>
            <w:tcW w:w="2090"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Julie Carretero</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1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Human Resources Officer</w:t>
            </w:r>
          </w:p>
        </w:tc>
        <w:tc>
          <w:tcPr>
            <w:tcW w:w="146" w:type="dxa"/>
            <w:tcBorders/>
            <w:shd w:fill="CCEC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2024</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See the section of this Proxy Statement captioned "Class III Director Nominees for Election for a Three-Year Term Ending at the 2027 Annual Meeting" for Dr. Weber's biography.</w:t>
      </w:r>
    </w:p>
    <w:p>
      <w:pPr>
        <w:pStyle w:val="TextBody"/>
        <w:bidi w:val="0"/>
        <w:spacing w:before="240" w:after="283"/>
        <w:jc w:val="left"/>
        <w:rPr>
          <w:rFonts w:ascii="Times New Roman" w:hAnsi="Times New Roman"/>
          <w:sz w:val="20"/>
        </w:rPr>
      </w:pPr>
      <w:r>
        <w:rPr>
          <w:rFonts w:ascii="Times New Roman" w:hAnsi="Times New Roman"/>
          <w:i/>
          <w:color w:val="000000"/>
          <w:sz w:val="20"/>
        </w:rPr>
        <w:t>Daniella Beckman</w:t>
      </w:r>
      <w:r>
        <w:rPr>
          <w:rFonts w:ascii="Times New Roman" w:hAnsi="Times New Roman"/>
          <w:color w:val="000000"/>
          <w:sz w:val="20"/>
        </w:rPr>
        <w:t xml:space="preserve"> has served as our Chief Financial Officer since September 2019 and served as our interim Chief Financial Officer from October 2016 to August 2019. Prior to joining Tango,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currently serves on the board of directors of Vor Biopharma Inc. (NASDAQ: VOR), a cell therapies company, since July 2020, and on the board of directors of Blueprint Medicines Corporation (NASDAQ: BPMC), a global precision therapy company, since December 2021. Previously, Ms. Beckman served on the board of directors of Translate Bio, Inc., a clinical-stage mRNA therapeutics company, from October 2017 to September 2021, and on the board of 5:01 Acquisition Corp., a special purpose acquisition company, from October 2020 October 2022. Ms. Beckman holds a B.S. in business administration-accounting from Boston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Adam Crystal, M.D., Ph.D., </w:t>
      </w:r>
      <w:r>
        <w:rPr>
          <w:rFonts w:ascii="Times New Roman" w:hAnsi="Times New Roman"/>
          <w:color w:val="000000"/>
          <w:sz w:val="20"/>
        </w:rPr>
        <w:t>has served as our President of Research and Development since February 2023. Prior to joining Tango, Dr. Crystal served as 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 Farber Cancer Institute in 2013. Dr. Crystal holds an M.D. and a Ph.D. in Neuroscience from the University of Pennsylvania School of Medicine.</w:t>
      </w:r>
    </w:p>
    <w:p>
      <w:pPr>
        <w:pStyle w:val="TextBody"/>
        <w:bidi w:val="0"/>
        <w:spacing w:before="240" w:after="283"/>
        <w:jc w:val="left"/>
        <w:rPr>
          <w:rFonts w:ascii="Times New Roman" w:hAnsi="Times New Roman"/>
          <w:sz w:val="20"/>
        </w:rPr>
      </w:pPr>
      <w:r>
        <w:rPr>
          <w:rFonts w:ascii="Times New Roman" w:hAnsi="Times New Roman"/>
          <w:i/>
          <w:color w:val="000000"/>
          <w:sz w:val="20"/>
        </w:rPr>
        <w:t>Douglas Barry</w:t>
      </w:r>
      <w:r>
        <w:rPr>
          <w:rFonts w:ascii="Times New Roman" w:hAnsi="Times New Roman"/>
          <w:color w:val="000000"/>
          <w:sz w:val="20"/>
        </w:rPr>
        <w:t xml:space="preserve"> has served as our Chief Legal Officer since January 2024 and as Chief Compliance Officer and Corporate Secretary since August 2021. From August 2021 to January 2024, Mr. Barry served as our General Counsel. Mr. Barry has been practicing law for over 20 years, and joined Tango from Alexion Pharmaceuticals, Inc., a biopharmaceutical company that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pStyle w:val="TextBody"/>
        <w:bidi w:val="0"/>
        <w:spacing w:before="240" w:after="283"/>
        <w:jc w:val="left"/>
        <w:rPr>
          <w:rFonts w:ascii="Times New Roman" w:hAnsi="Times New Roman"/>
          <w:sz w:val="20"/>
        </w:rPr>
      </w:pPr>
      <w:r>
        <w:rPr>
          <w:rFonts w:ascii="Times New Roman" w:hAnsi="Times New Roman"/>
          <w:i/>
          <w:color w:val="000000"/>
          <w:sz w:val="20"/>
        </w:rPr>
        <w:t>Julie Carretero</w:t>
      </w:r>
      <w:r>
        <w:rPr>
          <w:rFonts w:ascii="Times New Roman" w:hAnsi="Times New Roman"/>
          <w:color w:val="000000"/>
          <w:sz w:val="20"/>
        </w:rPr>
        <w:t xml:space="preserve"> has served as our Chief Human Resources Officer since March 2024. From September 2020 to March 2023, Ms. Carretero served as the Chief People Officer at Evelo Biosciences, Inc., a clinical stage biotechnology company developing oral biologics. From November 2018 to September 2020, Ms. Carretero was the Chief Human Resources Officer at FXI Corporation, a leading provider of comfort solutions. Prior to joining FXI Corporation, Ms. Carretero held a number of human resource positions, including Novartis Pharmaceuticals Corporation, a pharmaceutical company, from 2016 to 2018, most recently as the Human Resources Business Partner Lead in the Cardiovascular Business Unit. Ms. Carretero brings more than 25 years of human resources and business experience, having led large enterprise transformations as well as building commercial organizations. Ms. Carretero has a B.A. from William Smith College.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9" w:name="executive_compensation"/>
      <w:bookmarkEnd w:id="9"/>
      <w:r>
        <w:rPr>
          <w:rFonts w:ascii="Times New Roman" w:hAnsi="Times New Roman"/>
          <w:b/>
          <w:color w:val="000000"/>
          <w:sz w:val="20"/>
        </w:rPr>
        <w:t>EXECUTIVE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Historically, our executive compensation program has reflected our growth and development-oriented corporate culture. To date, the compensation of our Chief Executive Officer and President and our other executive officers identified in the Summary Compensation Table below, who we refer to as the named executive officers, has primarily consisted of: base salary, annual cash bonuses and long-term incentive compensation in the form of stock options to purchase shares of our common stock and restricted stock units, or RSUs. Our named executive officers who are full-time employees, like all other full-time employees, are eligible to participate in our retirement and health and welfare benefit plans. We evaluate our compensation values and philosophy and compensation plans and arrangements as circumstances merit and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This is based on our innovative approach to target drug-discovery using synthetic lethality and our innovative capabilities and expertise in drug discovery, research and drug development. We made meaningful progress in developing our clinical programs in 2023 and, these advancements were the result of our recruitment and compensation programs, which were designed to allow us to hire and maintain a leading clinical operations team, that included the addition of Dr. Adam Crystal as our President, Research and Development in February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Building a management team to provide structure and direction will require retaining talent with proven leadership and results, extensive technical expertise, broad experience in building and constructing a drug research and development and commercialization organization, all the while establishing the broader vision of improving care and therapeutic options for cancer patients. Attracting, recruiting and retaining talent who have the requisite skill set, background and track record to lead and manage a growing business in a competitive environment is one of the primary goals of our compensation program.</w:t>
      </w:r>
    </w:p>
    <w:p>
      <w:pPr>
        <w:pStyle w:val="TextBody"/>
        <w:bidi w:val="0"/>
        <w:jc w:val="left"/>
        <w:rPr>
          <w:rFonts w:ascii="Times New Roman" w:hAnsi="Times New Roman"/>
          <w:b/>
          <w:color w:val="000000"/>
          <w:sz w:val="20"/>
        </w:rPr>
      </w:pPr>
      <w:r>
        <w:rPr>
          <w:rFonts w:ascii="Times New Roman" w:hAnsi="Times New Roman"/>
          <w:b/>
          <w:color w:val="000000"/>
          <w:sz w:val="20"/>
        </w:rPr>
        <w:t>Corporate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2023, we made meaningful advancements in our clinical programs and achieved each of the 2023 development goals. In addition, we added a key member to our management team, Dr. Adam Crystal, managed our cash position, which will allow us to advance our four ongoing clinical trials through proof-of-concept data, and continued to identify and pursue novel synthetic lethal targets. The following are some of the highlights from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TNG908 (PRMT5 inhibitor and lead program)</w:t>
      </w:r>
      <w:r>
        <w:rPr>
          <w:color w:val="000000"/>
        </w:rPr>
        <w:t xml:space="preserve"> – </w:t>
      </w:r>
      <w:r>
        <w:rPr>
          <w:rFonts w:ascii="Times New Roman" w:hAnsi="Times New Roman"/>
          <w:color w:val="000000"/>
          <w:sz w:val="20"/>
        </w:rPr>
        <w:t>In May 2023, we disclosed initial pharmacodynamic (PD) data from the ongoing TNG908 Phase 1/2 study, which provided the first clinical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Patients are actively being enrolled in the dose escalation portion of the Phase 1/2 clinical trial, including those with glioblastoma, or GBM, and to date, the safety, tolerability and pharmacokinetics (PK) profiles of TNG908 are favorable</w:t>
      </w:r>
      <w:r>
        <w:rPr>
          <w:rFonts w:ascii="Calibri;sans-serif" w:hAnsi="Calibri;sans-serif"/>
          <w:color w:val="000000"/>
          <w:sz w:val="24"/>
        </w:rPr>
        <w:t xml:space="preserve">. </w:t>
      </w:r>
      <w:r>
        <w:rPr>
          <w:rFonts w:ascii="Times New Roman" w:hAnsi="Times New Roman"/>
          <w:color w:val="000000"/>
          <w:sz w:val="20"/>
        </w:rPr>
        <w:t xml:space="preserve">Clinical data from the ongoing trial are expected in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TNG462 (next generation PRMT5 inhibitor)</w:t>
      </w:r>
      <w:r>
        <w:rPr>
          <w:color w:val="000000"/>
        </w:rPr>
        <w:t xml:space="preserve"> – </w:t>
      </w:r>
      <w:r>
        <w:rPr>
          <w:rFonts w:ascii="Times New Roman" w:hAnsi="Times New Roman"/>
          <w:color w:val="000000"/>
          <w:sz w:val="20"/>
        </w:rPr>
        <w:t>In the first quarter of 2023, the FDA cleared the IND for the Phase 1/2 trial and granted Fast Track designation to TNG462. In July 2023, we announced the first patient in the Phase 1/2 clinical trial was dosed. Patients are actively being enrolled in the dose escalation portion of the trial and to date, the preliminary safety, tolerability and pharmacokinetics profiles of TNG462 are favorable.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TNG260 (CoREST complex inhibitor)</w:t>
      </w:r>
      <w:r>
        <w:rPr>
          <w:color w:val="000000"/>
        </w:rPr>
        <w:t xml:space="preserve"> – </w:t>
      </w:r>
      <w:r>
        <w:rPr>
          <w:rFonts w:ascii="Times New Roman" w:hAnsi="Times New Roman"/>
          <w:color w:val="000000"/>
          <w:sz w:val="20"/>
        </w:rPr>
        <w:t xml:space="preserve">The FDA cleared the IND for TNG260 in first quarter of 2023. We announced that the first patient in the Phase 1/2 clinical trial was dosed in July 2023. Patients are actively being enrolled in the dose escalation portion of the trial and, to date, the preliminary safety, tolerability and pharmacokinetics profiles of TNG260 are favorable. We believe that TNG260 could be among the first oncology molecules to leverage the benefits of genetically-based patient selection (STK11-mutation) with checkpoint inhibitor 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TNG348 (USP1 inhibitor)</w:t>
      </w:r>
      <w:r>
        <w:rPr>
          <w:color w:val="000000"/>
        </w:rPr>
        <w:t xml:space="preserve"> – </w:t>
      </w:r>
      <w:r>
        <w:rPr>
          <w:rFonts w:ascii="Times New Roman" w:hAnsi="Times New Roman"/>
          <w:color w:val="000000"/>
          <w:sz w:val="20"/>
        </w:rPr>
        <w:t xml:space="preserve">The FDA cleared the TNG348 IND in the third quarter of 2023 and we announced that the first patient in the Phase 1/2 clinical trial was dosed in January 2024. Patients are actively being enrolled in the dose escalation portion of the trial.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Addition of Dr. Adam Crystal</w:t>
      </w:r>
      <w:r>
        <w:rPr>
          <w:color w:val="000000"/>
        </w:rPr>
        <w:t xml:space="preserve"> – </w:t>
      </w:r>
      <w:r>
        <w:rPr>
          <w:rFonts w:ascii="Times New Roman" w:hAnsi="Times New Roman"/>
          <w:color w:val="000000"/>
          <w:sz w:val="20"/>
        </w:rPr>
        <w:t>We strengthened our management team with the addition of an experienced pharmaceutical company executive in Dr. Crystal in February 2023. Dr. Crystal brings expertise in pharmaceutical development that will further our efforts to efficiently and effectively manage our current and future clinical trial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Position –</w:t>
      </w:r>
      <w:r>
        <w:rPr>
          <w:color w:val="000000"/>
        </w:rPr>
        <w:t xml:space="preserve"> </w:t>
      </w:r>
      <w:r>
        <w:rPr>
          <w:rFonts w:ascii="Times New Roman" w:hAnsi="Times New Roman"/>
          <w:color w:val="000000"/>
          <w:sz w:val="20"/>
        </w:rPr>
        <w:t xml:space="preserve">We strengthened our cash position in August 2023 with an $80 million private placement financing and in January 2024 with $41.7 million in net proceeds from our "at-the-market" stock offering program. Through disciplined use of our cash resources and proceeds from these equity investments, we believe we can fund operations at least into late 2026, including funding all clinical programs through proof-of-concept.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Compensation Philosophy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philosophy is designed to support our goal of building a world-class research and development organization with deep experience and understanding in synthetic lethality in order to identify novel targets and develop new drugs directed at tumor suppressor gene loss in defined patient populations with high unmet medical need. Attracting and retaining executives and employees that position Tango to meet these objectives was of increasing importance in 2023 as the size of the employee base increased, the Company's operations became more sophisticated and the clinical programs advanced. We believe the work accomplished in 2023 positions us to, among other advancements, report clinical data from our lead PRMT5 inhibitor, TNG908, in 2024. By building a talented and motivated organization around extraordinary leaders, we believe we can advance our product candidates closer to regulatory approval, grow our pipeline and, ultimately, drive long-term and sustainable stockholder value creation. Tango's compensation programs are designed by our compensation committee and our board of directors around the following imperatives: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Attract, Retain and Incentivize</w:t>
      </w:r>
      <w:r>
        <w:rPr>
          <w:rFonts w:ascii="Times New Roman" w:hAnsi="Times New Roman"/>
          <w:color w:val="000000"/>
          <w:sz w:val="20"/>
        </w:rPr>
        <w:t>: We are committed to attracting and retaining industry-leading talented individuals and designing our compensation programs to incentivize our employees to achieve rigorous corporate and individual objectives that are important to our long-term business and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Performance-based compensation pay-outs</w:t>
      </w:r>
      <w:r>
        <w:rPr>
          <w:rFonts w:ascii="Times New Roman" w:hAnsi="Times New Roman"/>
          <w:color w:val="000000"/>
          <w:sz w:val="20"/>
        </w:rPr>
        <w:t>: Rewarding performance is the keystone of our total compensation program. In our annual bonus program, performance is measured by research and development advances, operational and strategic metrics and individual contributions. The amount actually earned is scaled with the achievement of these performance metrics.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Compensation structure competitive with peers</w:t>
      </w:r>
      <w:r>
        <w:rPr>
          <w:rFonts w:ascii="Times New Roman" w:hAnsi="Times New Roman"/>
          <w:color w:val="000000"/>
          <w:sz w:val="20"/>
        </w:rPr>
        <w:t>: We believe that compensation paid by our peer companies matters when we determine overall compensation. We evaluate the practices of our peers to validate that we are competitive with other companies with whom we compete for talent.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Balanced combination of compensation components</w:t>
      </w:r>
      <w:r>
        <w:rPr>
          <w:rFonts w:ascii="Times New Roman" w:hAnsi="Times New Roman"/>
          <w:color w:val="000000"/>
          <w:sz w:val="20"/>
        </w:rPr>
        <w:t>: We strive for an appropriate balance between cash and equity incentives. The rationale being that annual cash incentive motivates individuals to successfully execute on short-term financial and strategic objectives and equity incentives focus executives on the long-term success of the organization and align the interests of our executives with those of our stockholders.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Compensation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Independent Compensation Committee</w:t>
      </w:r>
      <w:r>
        <w:rPr>
          <w:rFonts w:ascii="Times New Roman" w:hAnsi="Times New Roman"/>
          <w:b/>
          <w:i/>
          <w:color w:val="000000"/>
          <w:sz w:val="20"/>
        </w:rPr>
        <w:t>.</w:t>
      </w:r>
      <w:r>
        <w:rPr>
          <w:color w:val="000000"/>
        </w:rPr>
        <w:t xml:space="preserve"> </w:t>
      </w:r>
      <w:r>
        <w:rPr>
          <w:rFonts w:ascii="Times New Roman" w:hAnsi="Times New Roman"/>
          <w:color w:val="000000"/>
          <w:sz w:val="20"/>
        </w:rPr>
        <w:t>Our compensation committee consists solely of independent directors and they meet in executive session as needed.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Independent Compensation Advisor</w:t>
      </w:r>
      <w:r>
        <w:rPr>
          <w:rFonts w:ascii="Times New Roman" w:hAnsi="Times New Roman"/>
          <w:b/>
          <w:i/>
          <w:color w:val="000000"/>
          <w:sz w:val="20"/>
        </w:rPr>
        <w:t>.</w:t>
      </w:r>
      <w:r>
        <w:rPr>
          <w:color w:val="000000"/>
        </w:rPr>
        <w:t xml:space="preserve"> </w:t>
      </w:r>
      <w:r>
        <w:rPr>
          <w:rFonts w:ascii="Times New Roman" w:hAnsi="Times New Roman"/>
          <w:color w:val="000000"/>
          <w:sz w:val="20"/>
        </w:rPr>
        <w:t>Our compensation committee engages Pearl Meyer &amp; Partners, LLC, or Pearl Meyer, its own independent compensation advisor, to provide information and peer group analysis related to annual executive compensation decisions and other advice on executive compensation.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Pay-for-Performance Guides the Compensation Philosophy</w:t>
      </w:r>
      <w:r>
        <w:rPr>
          <w:rFonts w:ascii="Times New Roman" w:hAnsi="Times New Roman"/>
          <w:b/>
          <w:i/>
          <w:color w:val="000000"/>
          <w:sz w:val="20"/>
        </w:rPr>
        <w:t>.</w:t>
      </w:r>
      <w:r>
        <w:rPr>
          <w:color w:val="000000"/>
        </w:rPr>
        <w:t xml:space="preserve"> </w:t>
      </w:r>
      <w:r>
        <w:rPr>
          <w:rFonts w:ascii="Times New Roman" w:hAnsi="Times New Roman"/>
          <w:color w:val="000000"/>
          <w:sz w:val="20"/>
        </w:rPr>
        <w:t xml:space="preserve">A significant portion of executive officer compensation is linked to corporate performance and executive compensation includes a significant long-term equity component, thereby making a substantial portion of each executive officer’s total compensation at risk and dependent upon our performance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price. This incentive structure motivates our executives to take actions that are designed to improve overall Company value and thereby act in the best interests of our common stockholders.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No Single Trigger Payments on Change in Control</w:t>
      </w:r>
      <w:r>
        <w:rPr>
          <w:rFonts w:ascii="Times New Roman" w:hAnsi="Times New Roman"/>
          <w:color w:val="000000"/>
          <w:sz w:val="20"/>
        </w:rPr>
        <w:t>. Change in control payments to our executive officers occur only upon a qualifying termination of employment within a set period of time, not automatically upon a change in control.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No Tax Gross-Ups</w:t>
      </w:r>
      <w:r>
        <w:rPr>
          <w:rFonts w:ascii="Times New Roman" w:hAnsi="Times New Roman"/>
          <w:color w:val="000000"/>
          <w:sz w:val="20"/>
        </w:rPr>
        <w:t>. We do not provide for tax gross-ups on equity awards or "golden parachute" payments.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Compensation Clawback</w:t>
      </w:r>
      <w:r>
        <w:rPr>
          <w:rFonts w:ascii="Times New Roman" w:hAnsi="Times New Roman"/>
          <w:color w:val="000000"/>
          <w:sz w:val="20"/>
        </w:rPr>
        <w:t xml:space="preserve">. The compensation committee has adopted a compensation recovery policy, in compliance with the SEC and Nasdaq listing rules, that requires that, in the event we restate our financial statements due to material noncompliance with any financial reporting requirement, we will recover any incentive-based compensation received in the three years prior to the date that we are required to restate our financial statements that was based upon the attainment of a financial reporting measure and that was received by any current or former executive officer.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Named Executive Officer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shows the total compensation awarded to, earned by, or paid to (1) our principal executive officer, (2) our two next most highly compensated executive officers who earned more than $100,000 during the fiscal year ended December 31, 2023 and were serving as executive officers as of such date during the years indicated and (3) one additional individual who served as an executive officer during the year, but was not serving as an executive officer at year-end, and whose compensation exceeded one of our two most highly compensated executive officers serving as of December 31, 2023</w:t>
      </w:r>
    </w:p>
    <w:p>
      <w:pPr>
        <w:pStyle w:val="TextBody"/>
        <w:bidi w:val="0"/>
        <w:jc w:val="left"/>
        <w:rPr>
          <w:rFonts w:ascii="Times New Roman" w:hAnsi="Times New Roman"/>
          <w:color w:val="000000"/>
          <w:sz w:val="20"/>
        </w:rPr>
      </w:pPr>
      <w:r>
        <w:rPr>
          <w:rFonts w:ascii="Times New Roman" w:hAnsi="Times New Roman"/>
          <w:color w:val="000000"/>
          <w:sz w:val="20"/>
        </w:rPr>
        <w:t>Our named executive officers, or NEOs, for 2023 are: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Barbara Weber, M.D., our President and Chief Executive Officer;</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Daniella Beckman, our Chief Financial Officer;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Adam Crystal, M.D., Ph.D., our President of Research and Development;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Alan Huang, our former Chief Scientific Officer.</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August 2023, Dr. Huang, notified the Company that he intended to transition out of his role as Chief Scientific Officer. For the period from August 7, 2023 to October 6, 2023, Dr. Huang continued to serve in his capacity as the Company's Chief Scientific Officer, and dedicated 60% of his working time to his duties as the Company's Chief Scientific Officer. On October 7, 2023, Dr. Huang's employment with the Company concluded and he transitioned to being a consultant, a position he continues to hold.</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2023 Summary Compensation Table</w:t>
      </w:r>
    </w:p>
    <w:tbl>
      <w:tblPr>
        <w:tblW w:w="11220" w:type="dxa"/>
        <w:jc w:val="left"/>
        <w:tblInd w:w="0" w:type="dxa"/>
        <w:tblLayout w:type="fixed"/>
        <w:tblCellMar>
          <w:top w:w="28" w:type="dxa"/>
          <w:left w:w="28" w:type="dxa"/>
          <w:bottom w:w="28" w:type="dxa"/>
          <w:right w:w="28" w:type="dxa"/>
        </w:tblCellMar>
      </w:tblPr>
      <w:tblGrid>
        <w:gridCol w:w="856"/>
        <w:gridCol w:w="146"/>
        <w:gridCol w:w="146"/>
        <w:gridCol w:w="406"/>
        <w:gridCol w:w="146"/>
        <w:gridCol w:w="146"/>
        <w:gridCol w:w="146"/>
        <w:gridCol w:w="146"/>
        <w:gridCol w:w="586"/>
        <w:gridCol w:w="146"/>
        <w:gridCol w:w="301"/>
        <w:gridCol w:w="146"/>
        <w:gridCol w:w="146"/>
        <w:gridCol w:w="146"/>
        <w:gridCol w:w="586"/>
        <w:gridCol w:w="146"/>
        <w:gridCol w:w="146"/>
        <w:gridCol w:w="146"/>
        <w:gridCol w:w="146"/>
        <w:gridCol w:w="586"/>
        <w:gridCol w:w="146"/>
        <w:gridCol w:w="301"/>
        <w:gridCol w:w="146"/>
        <w:gridCol w:w="146"/>
        <w:gridCol w:w="691"/>
        <w:gridCol w:w="146"/>
        <w:gridCol w:w="301"/>
        <w:gridCol w:w="159"/>
        <w:gridCol w:w="159"/>
        <w:gridCol w:w="643"/>
        <w:gridCol w:w="146"/>
        <w:gridCol w:w="301"/>
        <w:gridCol w:w="146"/>
        <w:gridCol w:w="146"/>
        <w:gridCol w:w="511"/>
        <w:gridCol w:w="146"/>
        <w:gridCol w:w="301"/>
        <w:gridCol w:w="146"/>
        <w:gridCol w:w="146"/>
        <w:gridCol w:w="146"/>
        <w:gridCol w:w="691"/>
        <w:gridCol w:w="19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c>
          <w:tcPr>
            <w:tcW w:w="9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 Incentive Plan Compensation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c>
          <w:tcPr>
            <w:tcW w:w="12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Barbara Weber, M.D.(5)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625,997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465,634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1,885,613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396,576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17,238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3,391,059</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Chief Executive Officer and Director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575,000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3,740,625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363,688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4,681,787</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Daniella Beckman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441,777</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170,778</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691,570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209,999</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1,522,744</w:t>
            </w:r>
          </w:p>
        </w:tc>
        <w:tc>
          <w:tcPr>
            <w:tcW w:w="191" w:type="dxa"/>
            <w:tcBorders/>
            <w:shd w:fill="FFFF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Financial Officer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425,100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897,750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191,614</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1,516,879</w:t>
            </w:r>
          </w:p>
        </w:tc>
        <w:tc>
          <w:tcPr>
            <w:tcW w:w="191" w:type="dxa"/>
            <w:tcBorders/>
            <w:shd w:fill="FFFFFF" w:val="clear"/>
            <w:vAlign w:val="center"/>
          </w:tcPr>
          <w:p>
            <w:pPr>
              <w:pStyle w:val="TableContents"/>
              <w:bidi w:val="0"/>
              <w:spacing w:before="0" w:after="283"/>
              <w:jc w:val="left"/>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Adam Crystal, M.D., Ph.D.(8)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454,808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422,500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1,710,930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242,787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3,110,646</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CCEE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of Research and Development</w:t>
            </w:r>
          </w:p>
        </w:tc>
        <w:tc>
          <w:tcPr>
            <w:tcW w:w="146" w:type="dxa"/>
            <w:tcBorders/>
            <w:shd w:fill="CCEEFF" w:val="clear"/>
            <w:vAlign w:val="center"/>
          </w:tcPr>
          <w:p>
            <w:pPr>
              <w:pStyle w:val="TableContents"/>
              <w:bidi w:val="0"/>
              <w:spacing w:before="0" w:after="283"/>
              <w:jc w:val="left"/>
              <w:rPr/>
            </w:pPr>
            <w:r>
              <w:rPr/>
              <w:t> </w:t>
            </w:r>
          </w:p>
        </w:tc>
        <w:tc>
          <w:tcPr>
            <w:tcW w:w="55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3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0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5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Alan Huang, Ph.D.(10)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350,615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197,787</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807,012</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330,042</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85,449</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1,770,905</w:t>
            </w:r>
          </w:p>
        </w:tc>
        <w:tc>
          <w:tcPr>
            <w:tcW w:w="191" w:type="dxa"/>
            <w:tcBorders/>
            <w:shd w:fill="FFFFFF" w:val="clear"/>
            <w:vAlign w:val="center"/>
          </w:tcPr>
          <w:p>
            <w:pPr>
              <w:pStyle w:val="TableContents"/>
              <w:bidi w:val="0"/>
              <w:spacing w:before="0" w:after="283"/>
              <w:jc w:val="left"/>
              <w:rPr/>
            </w:pPr>
            <w:r>
              <w:rPr/>
              <w:t> </w:t>
            </w:r>
          </w:p>
        </w:tc>
      </w:tr>
      <w:tr>
        <w:trPr/>
        <w:tc>
          <w:tcPr>
            <w:tcW w:w="856" w:type="dxa"/>
            <w:tcBorders/>
            <w:shd w:fill="FFFFFF" w:val="cle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Former Chief Scientific Officer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425,385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1,197,000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193,550</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2,966</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1,818,901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Salary amount represents actual amounts paid during years noted. See “— Narrative to the Summary Compensation Table — Base Salaries” below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(2) The amount reported for Dr. Crystal represents a one-time sign-on bonus paid to Dr. Crystal in 2023 pursuant to the terms of his employment agreement with the Company, which sign-on bonus was subject to repayment by Dr. Crystal had he voluntarily left Tango prior to February 27, 2024.</w:t>
      </w:r>
    </w:p>
    <w:p>
      <w:pPr>
        <w:pStyle w:val="TextBody"/>
        <w:bidi w:val="0"/>
        <w:jc w:val="left"/>
        <w:rPr>
          <w:rFonts w:ascii="Times New Roman" w:hAnsi="Times New Roman"/>
          <w:color w:val="000000"/>
          <w:sz w:val="20"/>
        </w:rPr>
      </w:pPr>
      <w:r>
        <w:rPr>
          <w:rFonts w:ascii="Times New Roman" w:hAnsi="Times New Roman"/>
          <w:color w:val="000000"/>
          <w:sz w:val="20"/>
        </w:rPr>
        <w:t xml:space="preserve">(3) In accordance with SEC rules, this column reflects the aggregate grant date fair value of the stock option awards and RSU awards granted during fiscal years 2023 and 2022 computed in accordance with Financial Accounting Standards Board Accounting Standards Codification Topic 718, or ASC Topic 718, disregarding the effect of estimated forfeitures related to service-based vesting. See Note 2 and Note 11 to our audited financial statements contained in our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with the SEC on March 18, 2024 for a discussion of assumptions made in determining the aggregate grant date fair value of stock option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pStyle w:val="TextBody"/>
        <w:bidi w:val="0"/>
        <w:jc w:val="left"/>
        <w:rPr>
          <w:rFonts w:ascii="Times New Roman" w:hAnsi="Times New Roman"/>
          <w:color w:val="000000"/>
          <w:sz w:val="20"/>
        </w:rPr>
      </w:pPr>
      <w:r>
        <w:rPr>
          <w:rFonts w:ascii="Times New Roman" w:hAnsi="Times New Roman"/>
          <w:color w:val="000000"/>
          <w:sz w:val="20"/>
        </w:rPr>
        <w:t>(4) Reflects performance-based annual cash bonuses awarded to our named executive officers. See “— Non-Equity Incentive Plan Compensation” below for a description of the material terms of the program pursuant to which this compensation was earned.</w:t>
      </w:r>
    </w:p>
    <w:p>
      <w:pPr>
        <w:pStyle w:val="TextBody"/>
        <w:bidi w:val="0"/>
        <w:jc w:val="left"/>
        <w:rPr>
          <w:rFonts w:ascii="Times New Roman" w:hAnsi="Times New Roman"/>
          <w:color w:val="000000"/>
          <w:sz w:val="20"/>
        </w:rPr>
      </w:pPr>
      <w:r>
        <w:rPr>
          <w:rFonts w:ascii="Times New Roman" w:hAnsi="Times New Roman"/>
          <w:color w:val="000000"/>
          <w:sz w:val="20"/>
        </w:rPr>
        <w:t>(5) Dr. Weber also serves as a member of our board of directors but does not receive any additional compensation for her service as a director.</w:t>
      </w:r>
    </w:p>
    <w:p>
      <w:pPr>
        <w:pStyle w:val="TextBody"/>
        <w:bidi w:val="0"/>
        <w:jc w:val="left"/>
        <w:rPr>
          <w:rFonts w:ascii="Times New Roman" w:hAnsi="Times New Roman"/>
          <w:color w:val="000000"/>
          <w:sz w:val="20"/>
        </w:rPr>
      </w:pPr>
      <w:r>
        <w:rPr>
          <w:rFonts w:ascii="Times New Roman" w:hAnsi="Times New Roman"/>
          <w:color w:val="000000"/>
          <w:sz w:val="20"/>
        </w:rPr>
        <w:t>(6) The amount reported includes $13,200 of matching contributions made under our 401(k) plan, $2,100 of commuter benefits and $1,300 of expenses for phone services that the Company paid for on behalf of Dr. Weber.</w:t>
      </w:r>
    </w:p>
    <w:p>
      <w:pPr>
        <w:pStyle w:val="TextBody"/>
        <w:bidi w:val="0"/>
        <w:jc w:val="left"/>
        <w:rPr>
          <w:rFonts w:ascii="Times New Roman" w:hAnsi="Times New Roman"/>
          <w:color w:val="000000"/>
          <w:sz w:val="20"/>
        </w:rPr>
      </w:pPr>
      <w:r>
        <w:rPr>
          <w:rFonts w:ascii="Times New Roman" w:hAnsi="Times New Roman"/>
          <w:color w:val="000000"/>
          <w:sz w:val="20"/>
        </w:rPr>
        <w:t>(7) The amount reported includes $4,788 of matching contributions made under our 401(k) plan, $2,100 of commuter benefits and $1,300 of expenses for phone services that the Company paid for on behalf of Ms. Beckman.</w:t>
      </w:r>
    </w:p>
    <w:p>
      <w:pPr>
        <w:pStyle w:val="TextBody"/>
        <w:bidi w:val="0"/>
        <w:jc w:val="left"/>
        <w:rPr>
          <w:rFonts w:ascii="Times New Roman" w:hAnsi="Times New Roman"/>
          <w:color w:val="000000"/>
          <w:sz w:val="20"/>
        </w:rPr>
      </w:pPr>
      <w:r>
        <w:rPr>
          <w:rFonts w:ascii="Times New Roman" w:hAnsi="Times New Roman"/>
          <w:color w:val="000000"/>
          <w:sz w:val="20"/>
        </w:rPr>
        <w:t>(8) Dr. Crystal’s employment with Tango began on February 27, 2023. His base salary and bonus were prorated to reflect his partial year of employment from February 27, 2023 through December 31, 2023.</w:t>
      </w:r>
    </w:p>
    <w:p>
      <w:pPr>
        <w:pStyle w:val="TextBody"/>
        <w:bidi w:val="0"/>
        <w:jc w:val="left"/>
        <w:rPr>
          <w:rFonts w:ascii="Times New Roman" w:hAnsi="Times New Roman"/>
          <w:color w:val="000000"/>
          <w:sz w:val="20"/>
        </w:rPr>
      </w:pPr>
      <w:r>
        <w:rPr>
          <w:rFonts w:ascii="Times New Roman" w:hAnsi="Times New Roman"/>
          <w:color w:val="000000"/>
          <w:sz w:val="20"/>
        </w:rPr>
        <w:t>(9) The amount reported includes $1,777 of matching contributions made under our 401(k) plan, $1,750 of commuter benefits and $1,050 of expenses for phone services that the Company paid for on behalf of Dr. Crystal.</w:t>
      </w:r>
    </w:p>
    <w:p>
      <w:pPr>
        <w:pStyle w:val="TextBody"/>
        <w:bidi w:val="0"/>
        <w:jc w:val="left"/>
        <w:rPr>
          <w:rFonts w:ascii="Times New Roman" w:hAnsi="Times New Roman"/>
          <w:color w:val="000000"/>
          <w:sz w:val="20"/>
        </w:rPr>
      </w:pPr>
      <w:r>
        <w:rPr>
          <w:rFonts w:ascii="Times New Roman" w:hAnsi="Times New Roman"/>
          <w:color w:val="000000"/>
          <w:sz w:val="20"/>
        </w:rPr>
        <w:t>(10) Dr. Huang ended his service as Chief Scientific Officer with the Company on October 6, 2023 and, at such time transitioned into a consultant role with the Company.</w:t>
      </w:r>
    </w:p>
    <w:p>
      <w:pPr>
        <w:pStyle w:val="TextBody"/>
        <w:bidi w:val="0"/>
        <w:jc w:val="left"/>
        <w:rPr>
          <w:rFonts w:ascii="Times New Roman" w:hAnsi="Times New Roman"/>
          <w:color w:val="000000"/>
          <w:sz w:val="20"/>
        </w:rPr>
      </w:pPr>
      <w:r>
        <w:rPr>
          <w:rFonts w:ascii="Times New Roman" w:hAnsi="Times New Roman"/>
          <w:color w:val="000000"/>
          <w:sz w:val="20"/>
        </w:rPr>
        <w:t>(11) For the period from August 7, 2023 to October 6, 2023, Dr. Huang's base salary was reduced to 60% of his original base salary to reflect the reduced time dedicated to his duties as Chief Scientific Officer. Dr. Huang did not receive any base salary after October 6, 2023.</w:t>
      </w:r>
    </w:p>
    <w:p>
      <w:pPr>
        <w:pStyle w:val="TextBody"/>
        <w:bidi w:val="0"/>
        <w:jc w:val="left"/>
        <w:rPr>
          <w:rFonts w:ascii="Times New Roman" w:hAnsi="Times New Roman"/>
          <w:color w:val="000000"/>
          <w:sz w:val="20"/>
        </w:rPr>
      </w:pPr>
      <w:r>
        <w:rPr>
          <w:rFonts w:ascii="Times New Roman" w:hAnsi="Times New Roman"/>
          <w:color w:val="000000"/>
          <w:sz w:val="20"/>
        </w:rPr>
        <w:t>(12) The grant date fair values for Dr. Huang for 2023 include the incremental value of stock option and RSU awards that were modified in connection with his transition from employee to consultant to provide for continued vesting as described in more detail below.</w:t>
      </w:r>
    </w:p>
    <w:p>
      <w:pPr>
        <w:pStyle w:val="TextBody"/>
        <w:bidi w:val="0"/>
        <w:jc w:val="left"/>
        <w:rPr>
          <w:rFonts w:ascii="Times New Roman" w:hAnsi="Times New Roman"/>
          <w:color w:val="000000"/>
          <w:sz w:val="20"/>
        </w:rPr>
      </w:pPr>
      <w:r>
        <w:rPr>
          <w:rFonts w:ascii="Times New Roman" w:hAnsi="Times New Roman"/>
          <w:color w:val="000000"/>
          <w:sz w:val="20"/>
        </w:rPr>
        <w:t>(13) In connection with his transition from Chief Scientific Officer to consultant, Dr. Huang was paid his pro-rated 2023 cash bonus (through October 6, 2023) at target. The amount also includes the 2022 cash bonus that was earned in 2022 and paid to Dr. Huang in 2023.</w:t>
      </w:r>
    </w:p>
    <w:p>
      <w:pPr>
        <w:pStyle w:val="TextBody"/>
        <w:bidi w:val="0"/>
        <w:jc w:val="left"/>
        <w:rPr>
          <w:rFonts w:ascii="Times New Roman" w:hAnsi="Times New Roman"/>
          <w:color w:val="000000"/>
          <w:sz w:val="20"/>
        </w:rPr>
      </w:pPr>
      <w:r>
        <w:rPr>
          <w:rFonts w:ascii="Times New Roman" w:hAnsi="Times New Roman"/>
          <w:color w:val="000000"/>
          <w:sz w:val="20"/>
        </w:rPr>
        <w:t>(14) The amounts reported includes $48,000 in consulting fees for consulting services provided in 2023 after Dr. Huang’s employment ended, $34,244 of accrued but unused vacation time paid to Dr. Huang in connection with his termination of employment, $1,575 of commuter benefits and $1,000 of expenses for phone services that the Company paid for on behalf of Dr. Huang.</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Narrative to the Summary Compensation 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compensation committee and our board of directors reviewed 2023 compensation for all employees, including our named executive officers. In setting executive base salaries and bonuses and granting equity incentive awards, the compensation committee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setting named executive officer compensation, the compensation committee targets a general competitive position, based on independent third-party benchmark analytics to inform the mix of compensation of base salary, bonus and long-term incentives. While the benchmark data informs the compensation committee's executive compensation decision-making, it does not set compensation at a given percentile relative to the peer group and market data as the compensation committee recognizes that there are individual factors, such as experience, contribution, increased responsibilities, among other factors, that are important in setting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is primarily responsible for determining the compensation for all of our executive officers.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Our compensation committee has the authority to engage the services of a consulting firm or other outside advisors to assist it in designing our executive compensation programs and in making compensation decisions. During 2023, the compensation committee continued to retain the services of Pearl Meyer as external compensation consultant to advise on executive compensation matters, including our overall compensation program design and collection of market data to inform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programs for our executive officers and members of our board of directors. Pearl Meyer reports directly to our compensation committee. As part of the annual compensation review process, our compensation committee assessed Pearl Meyer's independence (consistent with Nasdaq listing standards) and concluded that the engagement of such consultant did not raise any conflicts of interest.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annual base salaries of our named executive officers are determined, approved and reviewed periodically by our compensation committee (and our board of directors for the Chief Executive Officer) in order to compensate our named executive officers for their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 table below sets forth the named executive officers’ base salaries for 2022 and 2023:</w:t>
      </w:r>
    </w:p>
    <w:tbl>
      <w:tblPr>
        <w:tblW w:w="6118" w:type="dxa"/>
        <w:jc w:val="left"/>
        <w:tblInd w:w="0" w:type="dxa"/>
        <w:tblLayout w:type="fixed"/>
        <w:tblCellMar>
          <w:top w:w="28" w:type="dxa"/>
          <w:left w:w="28" w:type="dxa"/>
          <w:bottom w:w="28" w:type="dxa"/>
          <w:right w:w="28" w:type="dxa"/>
        </w:tblCellMar>
      </w:tblPr>
      <w:tblGrid>
        <w:gridCol w:w="2251"/>
        <w:gridCol w:w="146"/>
        <w:gridCol w:w="220"/>
        <w:gridCol w:w="220"/>
        <w:gridCol w:w="1179"/>
        <w:gridCol w:w="146"/>
        <w:gridCol w:w="146"/>
        <w:gridCol w:w="220"/>
        <w:gridCol w:w="220"/>
        <w:gridCol w:w="1179"/>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Base Salary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627,000</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442,100</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9"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489,193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compensation committee, in setting base salary compensation for the named executive officers (and all Company employees), implemented a minimum increase to base salaries of 4% which, based on regional market data, reflect an increase in the cost-of-living. This was done to ensure that employees had salaries that allowed them to maintain their purchasing power and to remain competitive with the companies with which we compete for talent.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Weber's base salary was increased in 2023 by an additional 5%. The compensation committee and the board of directors noted that the Chief Executive Officer's base salary was significantly below the base salary for chief executive officers in the Company's peer group, with Dr. Weber's base salary below the 25th percentile. The increase in Dr. Weber's base salary aligned her base salary with the median chief executive officer base salary at our peer group companies. As noted above, the compensation committee compensation philosophy is to pay the executive officers a base salary that is competitive with the companies that we compete with for talent, and this increase was designed to, among other things, meet that compensation objective. Further, the Company was in the process of moving four compounds into the clinic and, given the growth of the Company's operations, clinical operations in particular, the compensation committee and board of directors determined her base salary should reflect her management of a larger and more sophisticated corporate operation.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Ms. Beckman's base salary was increased in 2023 by 4% to reflect the increase in the cost-of-living. This base salary was consistent with the 50th percentile of the peer group and other market data.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Crystal joined the Company in February 2023 and his 2023 compensation was established by negotiation with Dr. Crystal and was not part of the 2023 annual compensation-setting process. In accordance with the Company's policy, Dr. Crystal's compensation package for 2023 was approved by the compensation committee and the committee considered a number of factors in setting Dr. Crystal's base salary, including his background, education as a medical doctor and holding a Ph.D., his board certification as a medical oncologist and industry experience in operating clinical trials and managing early-stage drug development. The compensation committee also referenced the market data provided by Pearl Meyer.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Huang's base salary was increased by an additional 11% in 2023. Dr. Huang's 2022 base salary was significantly below the median for the Chief Scientific Officers in the Company's peer group and the increase was based in part on market data. The increase also reflected that Dr. Huang had made, and was expected to continue to make, significant contributions to the Company's research operations, the product pipeline and the management of the Company's research department.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Non-Equity Incentive Plan Compensation</w:t>
      </w:r>
    </w:p>
    <w:p>
      <w:pPr>
        <w:pStyle w:val="TextBody"/>
        <w:bidi w:val="0"/>
        <w:jc w:val="left"/>
        <w:rPr>
          <w:rFonts w:ascii="Times New Roman" w:hAnsi="Times New Roman"/>
          <w:color w:val="000000"/>
          <w:sz w:val="20"/>
        </w:rPr>
      </w:pPr>
      <w:r>
        <w:rPr>
          <w:rFonts w:ascii="Times New Roman" w:hAnsi="Times New Roman"/>
          <w:color w:val="000000"/>
          <w:sz w:val="20"/>
        </w:rPr>
        <w:t xml:space="preserve">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The compensation committee and the board endeavor to deliver a meaningful portion of total target cash compensation in the form of performance-based annual cash incentives. The board and the compensation committee believe that doing so is critical because the opportunity for a meaningful cash award will, together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strong management and accountability, drive executives to individually and collectively achieve and exceed our annual objectives. This approach supports the compensation committee's goal of linking a substantial portion of overall compensation to the Company and the individual performance during the one 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established bonus metrics that the compensation committee utilized in connection with the 2023 annual cash bonus program. The board of directors sets goals at the start of each performance year, in consultation with the compensation committee, and then the board tracks actual performance against these goals at each board meeting with a final assessment at the end of the annual performance year. Our Company performance goals are consistent throughout the organization to ensure there is full alignment and clarity on the critical goals for Tango.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2023 annual cash bonus program provided for formula-based incentive payments based upon the achievement of certain corporate and individual performance goals and objectives approved by our compensation committee and board of directors. These targets were established in early 2023 and communicated to the executives (and remained unchanged during the year). Bonuses are targeted at a percentage of the executive officer’s base salary, and are paid out in the first quarter of the following year. In 2023, the board of directors (and the compensation committee) determined that it would maintain the bonus target for Dr. Weber, Dr. Huang and Ms. Beckman consistent for 2022. Dr. Crystal's bonus percentage, approved in connection with his hiring by the Company, was set at 45%. The table below sets forth the named executive officers’ target annual cash bonus percentages for 2022 and 2023: </w:t>
      </w:r>
    </w:p>
    <w:tbl>
      <w:tblPr>
        <w:tblW w:w="6363" w:type="dxa"/>
        <w:jc w:val="left"/>
        <w:tblInd w:w="0" w:type="dxa"/>
        <w:tblLayout w:type="fixed"/>
        <w:tblCellMar>
          <w:top w:w="28" w:type="dxa"/>
          <w:left w:w="28" w:type="dxa"/>
          <w:bottom w:w="28" w:type="dxa"/>
          <w:right w:w="28" w:type="dxa"/>
        </w:tblCellMar>
      </w:tblPr>
      <w:tblGrid>
        <w:gridCol w:w="2251"/>
        <w:gridCol w:w="146"/>
        <w:gridCol w:w="347"/>
        <w:gridCol w:w="823"/>
        <w:gridCol w:w="645"/>
        <w:gridCol w:w="146"/>
        <w:gridCol w:w="361"/>
        <w:gridCol w:w="782"/>
        <w:gridCol w:w="67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4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color w:val="000000"/>
              </w:rPr>
            </w:pPr>
            <w:r>
              <w:rPr>
                <w:color w:val="000000"/>
              </w:rPr>
              <w:t>—</w:t>
            </w:r>
          </w:p>
        </w:tc>
        <w:tc>
          <w:tcPr>
            <w:tcW w:w="64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corporate component of the 2023 annual cash bonus program consisted of five separate metrics that were weighted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Target Discovery</w:t>
      </w:r>
      <w:r>
        <w:rPr>
          <w:color w:val="000000"/>
        </w:rPr>
        <w:t xml:space="preserve"> </w:t>
      </w:r>
      <w:r>
        <w:rPr>
          <w:rFonts w:ascii="Times New Roman" w:hAnsi="Times New Roman"/>
          <w:color w:val="000000"/>
          <w:sz w:val="20"/>
        </w:rPr>
        <w:t>- weighted 10%. This target was designed to encourage our employees to identify validated novel targets to establish an enhanced and sustainable product pipeline that is designed to serve as the foundation for future clinical stage assets and growth opportunities for the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Drug Discovery</w:t>
      </w:r>
      <w:r>
        <w:rPr>
          <w:color w:val="000000"/>
        </w:rPr>
        <w:t xml:space="preserve"> </w:t>
      </w:r>
      <w:r>
        <w:rPr>
          <w:rFonts w:ascii="Times New Roman" w:hAnsi="Times New Roman"/>
          <w:color w:val="000000"/>
          <w:sz w:val="20"/>
        </w:rPr>
        <w:t>- weighted 20%. This target was established to incentivize our employees to continue to advance our identified programs into advanced drug discovery phases.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Clinical Development </w:t>
      </w:r>
      <w:r>
        <w:rPr>
          <w:rFonts w:ascii="Times New Roman" w:hAnsi="Times New Roman"/>
          <w:color w:val="000000"/>
          <w:sz w:val="20"/>
        </w:rPr>
        <w:t xml:space="preserve">- weighted 50%. Given the importance of the clinical trial program to the Company's overall success and its long-term intrinsic value, drug development was the factor with the highest weighting as determined by the board of directors. This target was designed to meet our goals of: providing an update on our Phase 1/2 TNG908 clinical trial, receiving FDA clearance for two INDs (for TNG260 and TNG348), and dosing the first patients in both the TNG260 and TNG462 clinical trials.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Corporate Strategy</w:t>
      </w:r>
      <w:r>
        <w:rPr>
          <w:color w:val="000000"/>
        </w:rPr>
        <w:t xml:space="preserve"> </w:t>
      </w:r>
      <w:r>
        <w:rPr>
          <w:rFonts w:ascii="Times New Roman" w:hAnsi="Times New Roman"/>
          <w:color w:val="000000"/>
          <w:sz w:val="20"/>
        </w:rPr>
        <w:t>- weighted 10%. This target was established to incentivize our employees to continue to generate scientific publications and disclosures that highlight the strength of our science, our discovery platform and our programs, as well as to meet budgetary and other important cash-based goals that are designed to allow for continued development of our product pipeline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People</w:t>
      </w:r>
      <w:r>
        <w:rPr>
          <w:color w:val="000000"/>
        </w:rPr>
        <w:t xml:space="preserve"> </w:t>
      </w:r>
      <w:r>
        <w:rPr>
          <w:rFonts w:ascii="Times New Roman" w:hAnsi="Times New Roman"/>
          <w:color w:val="000000"/>
          <w:sz w:val="20"/>
        </w:rPr>
        <w:t>- weighted 10%. This target was designed to reward results with respect to: (i) engagement survey results conducted with our associates, (ii) building out critical functions of our organization as we advanced our clinical trials and (iii) limiting employee turnover in a competitive environment for talent.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consultation with the board of directors, the compensation committee determined that the overall achievement of the corporate performance metrics for the 2023 annual cash bonus program was 115% of target for all employees, including the named executive officers. The following provides an analysis of the components that were utilized in determining the 115% of target payout:</w:t>
      </w:r>
    </w:p>
    <w:p>
      <w:pPr>
        <w:pStyle w:val="TextBody"/>
        <w:bidi w:val="0"/>
        <w:spacing w:before="240" w:after="240"/>
        <w:jc w:val="left"/>
        <w:rPr>
          <w:rFonts w:ascii="Times New Roman" w:hAnsi="Times New Roman"/>
          <w:sz w:val="20"/>
        </w:rPr>
      </w:pPr>
      <w:r>
        <w:rPr>
          <w:rFonts w:ascii="Times New Roman" w:hAnsi="Times New Roman"/>
          <w:b/>
          <w:color w:val="000000"/>
          <w:sz w:val="20"/>
        </w:rPr>
        <w:t>Target Discovery</w:t>
      </w:r>
      <w:r>
        <w:rPr>
          <w:rFonts w:ascii="Times New Roman" w:hAnsi="Times New Roman"/>
          <w:color w:val="000000"/>
          <w:sz w:val="20"/>
        </w:rPr>
        <w:t xml:space="preserve"> - the goal was achieved at 110% of the target due to the advances in understanding the biological mechanism and impact of clinical stage assets, as well as the number and timing of target screens being performed by the target discovery team.</w:t>
      </w:r>
    </w:p>
    <w:p>
      <w:pPr>
        <w:pStyle w:val="TextBody"/>
        <w:bidi w:val="0"/>
        <w:spacing w:before="240" w:after="240"/>
        <w:jc w:val="left"/>
        <w:rPr>
          <w:rFonts w:ascii="Times New Roman" w:hAnsi="Times New Roman"/>
          <w:sz w:val="20"/>
        </w:rPr>
      </w:pPr>
      <w:r>
        <w:rPr>
          <w:rFonts w:ascii="Times New Roman" w:hAnsi="Times New Roman"/>
          <w:b/>
          <w:color w:val="000000"/>
          <w:sz w:val="20"/>
        </w:rPr>
        <w:t>Drug Discovery</w:t>
      </w:r>
      <w:r>
        <w:rPr>
          <w:rFonts w:ascii="Times New Roman" w:hAnsi="Times New Roman"/>
          <w:color w:val="000000"/>
          <w:sz w:val="20"/>
        </w:rPr>
        <w:t xml:space="preserve"> - the goal was achieved at 105% of the target as a result of the selection of a development candidate, the advancement of several targets, and identification and screening of multiple novel targets using the Company's compound library.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Clinical Development</w:t>
      </w:r>
      <w:r>
        <w:rPr>
          <w:rFonts w:ascii="Times New Roman" w:hAnsi="Times New Roman"/>
          <w:color w:val="000000"/>
          <w:sz w:val="20"/>
        </w:rPr>
        <w:t xml:space="preserve"> - the goal was achieved at 120% of the target due to three INDs being cleared by the FDA and the dosing of the first patients in the Phase 1/2 clinical trials for TNG462, TNG260 and TNG348. Specifically, the clinical development target for the TNG260 program was achieved well ahead of the timing set by the board of directors. Finally, in May 2023, we released initial pharmacodynamic (PD) data from the ongoing TNG908 dose escalation study that provided proof-of-mechanism of MTA-cooperative PRMT5 inhibition, demonstrated by marked reduction of SDMA staining in MTAP-deleted cancer cells versus normal tissue.</w:t>
      </w:r>
    </w:p>
    <w:p>
      <w:pPr>
        <w:pStyle w:val="TextBody"/>
        <w:bidi w:val="0"/>
        <w:spacing w:before="240" w:after="240"/>
        <w:jc w:val="left"/>
        <w:rPr>
          <w:rFonts w:ascii="Times New Roman" w:hAnsi="Times New Roman"/>
          <w:sz w:val="20"/>
        </w:rPr>
      </w:pPr>
      <w:r>
        <w:rPr>
          <w:rFonts w:ascii="Times New Roman" w:hAnsi="Times New Roman"/>
          <w:b/>
          <w:color w:val="000000"/>
          <w:sz w:val="20"/>
        </w:rPr>
        <w:t>Corporate Strategy</w:t>
      </w:r>
      <w:r>
        <w:rPr>
          <w:rFonts w:ascii="Times New Roman" w:hAnsi="Times New Roman"/>
          <w:color w:val="000000"/>
          <w:sz w:val="20"/>
        </w:rPr>
        <w:t xml:space="preserve">- the goal was achieved at 120% of the target primarily because the Company exercised significant fiscal discipline in managing its overall expenses and capital spending (while obtaining three IND clearances by the FDA and operating four clinical trials by end of year), raised $80.0 million in a private equity offering in August 2023, received a $5.0 million license payment under the Gilead collaboration agreement and significantly exceeded our scientific publication goals. </w:t>
      </w:r>
    </w:p>
    <w:p>
      <w:pPr>
        <w:pStyle w:val="TextBody"/>
        <w:bidi w:val="0"/>
        <w:spacing w:before="240" w:after="240"/>
        <w:jc w:val="left"/>
        <w:rPr>
          <w:rFonts w:ascii="Times New Roman" w:hAnsi="Times New Roman"/>
          <w:sz w:val="20"/>
        </w:rPr>
      </w:pPr>
      <w:r>
        <w:rPr>
          <w:rFonts w:ascii="Times New Roman" w:hAnsi="Times New Roman"/>
          <w:b/>
          <w:color w:val="000000"/>
          <w:sz w:val="20"/>
        </w:rPr>
        <w:t>People</w:t>
      </w:r>
      <w:r>
        <w:rPr>
          <w:rFonts w:ascii="Times New Roman" w:hAnsi="Times New Roman"/>
          <w:color w:val="000000"/>
          <w:sz w:val="20"/>
        </w:rPr>
        <w:t xml:space="preserve"> - the goal was achieved at 105% of the target due to the growth in the Company's headcount in certain important functional areas, including hiring Dr. Crystal as President of Research and Development in February 2023 and Drew Sansone as Chief Regulatory Officer in December 2023 and multiple key clinical operations hires that have supported the conduct of four clinical trials. In addition, our employee turnover rate remained well below market standards and the metric established by the board of directors.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a result of this performance, which exceeded each of the objective goals set for 2023, the bonus payout was approved at 115% of target. The following table reflects the target bonus as a percentage of base salary, the cash bonus payment at target and the actual bonus payout based on the success Tango achieved in 2023.</w:t>
      </w:r>
    </w:p>
    <w:tbl>
      <w:tblPr>
        <w:tblW w:w="8680" w:type="dxa"/>
        <w:jc w:val="left"/>
        <w:tblInd w:w="0" w:type="dxa"/>
        <w:tblLayout w:type="fixed"/>
        <w:tblCellMar>
          <w:top w:w="28" w:type="dxa"/>
          <w:left w:w="28" w:type="dxa"/>
          <w:bottom w:w="28" w:type="dxa"/>
          <w:right w:w="28" w:type="dxa"/>
        </w:tblCellMar>
      </w:tblPr>
      <w:tblGrid>
        <w:gridCol w:w="2251"/>
        <w:gridCol w:w="146"/>
        <w:gridCol w:w="975"/>
        <w:gridCol w:w="840"/>
        <w:gridCol w:w="146"/>
        <w:gridCol w:w="236"/>
        <w:gridCol w:w="236"/>
        <w:gridCol w:w="1267"/>
        <w:gridCol w:w="146"/>
        <w:gridCol w:w="146"/>
        <w:gridCol w:w="234"/>
        <w:gridCol w:w="234"/>
        <w:gridCol w:w="1256"/>
        <w:gridCol w:w="146"/>
        <w:gridCol w:w="42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2023 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shd w:fill="FFFFFF" w:val="clear"/>
            <w:vAlign w:val="center"/>
          </w:tcPr>
          <w:p>
            <w:pPr>
              <w:pStyle w:val="TableContents"/>
              <w:bidi w:val="0"/>
              <w:spacing w:before="0" w:after="283"/>
              <w:jc w:val="center"/>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84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396,576</w:t>
            </w:r>
          </w:p>
        </w:tc>
        <w:tc>
          <w:tcPr>
            <w:tcW w:w="14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209,999</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4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242,787</w:t>
            </w:r>
          </w:p>
        </w:tc>
        <w:tc>
          <w:tcPr>
            <w:tcW w:w="14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w:t>
            </w:r>
          </w:p>
        </w:tc>
        <w:tc>
          <w:tcPr>
            <w:tcW w:w="14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136,492</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Dr. Crystal’s 2023 bonus was prorated to reflect his partial year of employment from February 27, 2023 through December 31, 2023.</w:t>
      </w:r>
    </w:p>
    <w:p>
      <w:pPr>
        <w:pStyle w:val="TextBody"/>
        <w:bidi w:val="0"/>
        <w:jc w:val="left"/>
        <w:rPr>
          <w:rFonts w:ascii="Times New Roman" w:hAnsi="Times New Roman"/>
          <w:color w:val="000000"/>
          <w:sz w:val="20"/>
        </w:rPr>
      </w:pPr>
      <w:r>
        <w:rPr>
          <w:rFonts w:ascii="Times New Roman" w:hAnsi="Times New Roman"/>
          <w:color w:val="000000"/>
          <w:sz w:val="20"/>
        </w:rPr>
        <w:t>(2) Dr. Huang's employment with the Company ended on October 6, 2023 and, in connection with his transition from Chief Scientific Officer to consultant, Dr. Huang was paid his pro-rated 2023 cash bonus (through October 6, 2023) at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final bonus payments to our named executive officers are determined by our compensation committee (with the exception of the Chief Executive Officer,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2023 bonus payment to the corporate performance metrics and 25% to individual performance for named executive officers other than the Chief Executive Officer, whose final bonus payment is 100% allocated to corporate performance and does not have an individual performance allocation. The board of directors determined that since Dr. Weber is responsible for corporate performance, the full amount of her cash bonus payment should be determined by reference to corporate performance relative to the metrics set by the board of directors, and not take into account any individual performance metrics. Individual performance objectives used for the other named executive officers are generally related to such named executive officer’s performance in his or her area of responsibility and his or her contributions to Tango. Following the review of the 2023 individual performance by Ms. Beckman and Dr. Crystal, the compensation committee determined that these named executive officers met their combined performance metrics (i.e. corporate and individual metrics together) at 118% and 115%,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incentive awards granted to our named executive officers are designed to align their interests with those of our stockholders.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historically used stock options as our primary form of long-term incentive compensation awards to our executive officers because stock options allow our executive officers to profit from this form of equity compensation only if our stock price increases relative to the stock option’s exercise price, which exercise price is set at the fair market value of our common shares on the date of grant. In 2023, for the first time, the compensation committee added RSUs as a component of the long-term equity incentive package, in addition to stock options. The compensation committee determined that RSUs would be a valuable component of the overall compensation package for a number of reasons, including: (i) the use of RSUs as a part of equity compensation was being adopted by peer companies, and the inclusion of such awards allows for the retention of key talent as competition for talent increases, (ii) RSUs can provide value to executives and employees in a volatile market, and (iii) we can grant fewer RSUs than shares underlying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at an equivalent grant date fair value, which minimizes the dilution to our existing stockholders. For 2023, the compensation committee determined to grant one RSU for every two shares of stock subject to a stock option award (a 2:1 ratio).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Along with the 2023 cash bonus program, stock options and RSUs are a critical component of the variable portion of overall compensation that is designed to reward executive officer performance. Stock options encourage our executives to focus on those corporate actions that drive increases in long-term value as reflected in our stock price. Further, the four-year vesting schedule encourages executives to remain employed by the Company for an extended period. As noted above, the use of RSUs, which accounted for a minority of the total annual equity package, granted to each of our executives and employees in 2023, incentivizes a focus on long-term value and stockholder interests even when market conditions may cause stock prices to decrease and also furthers our objectives of retaining and motivating employees in a competitive market.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grant equity awards at such times as our board of directors or compensation committee determines appropriate. 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motivate and reward long-term performance. Our compensation committee reviews and determines the appropriate equity awards to be used that align with our business needs, our pay-for-performance philosophy and the practices of our peer group. The actual award or awards granted to each executive officer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executives generally are awarded an initial equity grant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All options are granted with an exercise price that is no less than the fair market value of our common stock on the date of such grant of such award. Our RSUs typically vest in three equal annual installments, subject to the holder’s continued employment with the Company. From time to time, the board of directors or compensation committee may also use alternative vesting schedules as it determines are appropriate to motivate particular employees.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sets forth the equity awards granted to our named executive officers in 2023: </w:t>
      </w:r>
    </w:p>
    <w:tbl>
      <w:tblPr>
        <w:tblW w:w="10205" w:type="dxa"/>
        <w:jc w:val="left"/>
        <w:tblInd w:w="0" w:type="dxa"/>
        <w:tblLayout w:type="fixed"/>
        <w:tblCellMar>
          <w:top w:w="28" w:type="dxa"/>
          <w:left w:w="28" w:type="dxa"/>
          <w:bottom w:w="28" w:type="dxa"/>
          <w:right w:w="28" w:type="dxa"/>
        </w:tblCellMar>
      </w:tblPr>
      <w:tblGrid>
        <w:gridCol w:w="1867"/>
        <w:gridCol w:w="146"/>
        <w:gridCol w:w="584"/>
        <w:gridCol w:w="584"/>
        <w:gridCol w:w="2769"/>
        <w:gridCol w:w="146"/>
        <w:gridCol w:w="636"/>
        <w:gridCol w:w="636"/>
        <w:gridCol w:w="2642"/>
        <w:gridCol w:w="195"/>
      </w:tblGrid>
      <w:tr>
        <w:trPr/>
        <w:tc>
          <w:tcPr>
            <w:tcW w:w="1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Stock Options Granted in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Stock Awards Granted in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Barbara Weber, M.D.</w:t>
            </w:r>
          </w:p>
        </w:tc>
        <w:tc>
          <w:tcPr>
            <w:tcW w:w="146"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left"/>
              <w:rPr/>
            </w:pPr>
            <w:r>
              <w:rPr/>
              <w:t> </w:t>
            </w:r>
          </w:p>
        </w:tc>
        <w:tc>
          <w:tcPr>
            <w:tcW w:w="2769"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537,273</w:t>
            </w:r>
          </w:p>
        </w:tc>
        <w:tc>
          <w:tcPr>
            <w:tcW w:w="14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64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89,545</w:t>
            </w:r>
          </w:p>
        </w:tc>
        <w:tc>
          <w:tcPr>
            <w:tcW w:w="195" w:type="dxa"/>
            <w:tcBorders/>
            <w:shd w:fill="CCEEFF"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left"/>
              <w:rPr/>
            </w:pPr>
            <w:r>
              <w:rPr/>
              <w:t> </w:t>
            </w:r>
          </w:p>
        </w:tc>
        <w:tc>
          <w:tcPr>
            <w:tcW w:w="27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197,051</w:t>
            </w:r>
          </w:p>
        </w:tc>
        <w:tc>
          <w:tcPr>
            <w:tcW w:w="14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26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32,842</w:t>
            </w:r>
          </w:p>
        </w:tc>
        <w:tc>
          <w:tcPr>
            <w:tcW w:w="195" w:type="dxa"/>
            <w:tcBorders/>
            <w:shd w:fill="FFFFFF" w:val="clear"/>
            <w:vAlign w:val="center"/>
          </w:tcPr>
          <w:p>
            <w:pPr>
              <w:pStyle w:val="TableContents"/>
              <w:bidi w:val="0"/>
              <w:spacing w:before="0" w:after="283"/>
              <w:jc w:val="left"/>
              <w:rPr/>
            </w:pPr>
            <w:r>
              <w:rPr/>
              <w:t> </w:t>
            </w:r>
          </w:p>
        </w:tc>
      </w:tr>
      <w:tr>
        <w:trPr/>
        <w:tc>
          <w:tcPr>
            <w:tcW w:w="1867"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Adam Crystal, M.D., Ph.D.</w:t>
            </w:r>
          </w:p>
        </w:tc>
        <w:tc>
          <w:tcPr>
            <w:tcW w:w="146"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both"/>
              <w:rPr/>
            </w:pPr>
            <w:r>
              <w:rPr/>
              <w:t> </w:t>
            </w:r>
          </w:p>
        </w:tc>
        <w:tc>
          <w:tcPr>
            <w:tcW w:w="584" w:type="dxa"/>
            <w:tcBorders/>
            <w:shd w:fill="CCEEFF" w:val="clear"/>
            <w:vAlign w:val="center"/>
          </w:tcPr>
          <w:p>
            <w:pPr>
              <w:pStyle w:val="TableContents"/>
              <w:bidi w:val="0"/>
              <w:spacing w:before="0" w:after="283"/>
              <w:jc w:val="left"/>
              <w:rPr/>
            </w:pPr>
            <w:r>
              <w:rPr/>
              <w:t> </w:t>
            </w:r>
          </w:p>
        </w:tc>
        <w:tc>
          <w:tcPr>
            <w:tcW w:w="2769"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487,500</w:t>
            </w:r>
          </w:p>
        </w:tc>
        <w:tc>
          <w:tcPr>
            <w:tcW w:w="14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64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81,250</w:t>
            </w:r>
          </w:p>
        </w:tc>
        <w:tc>
          <w:tcPr>
            <w:tcW w:w="195" w:type="dxa"/>
            <w:tcBorders/>
            <w:shd w:fill="CCEEFF"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Alan Huang, Ph.D.</w:t>
            </w:r>
          </w:p>
        </w:tc>
        <w:tc>
          <w:tcPr>
            <w:tcW w:w="146"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both"/>
              <w:rPr/>
            </w:pPr>
            <w:r>
              <w:rPr/>
              <w:t> </w:t>
            </w:r>
          </w:p>
        </w:tc>
        <w:tc>
          <w:tcPr>
            <w:tcW w:w="584" w:type="dxa"/>
            <w:tcBorders/>
            <w:shd w:fill="FFFFFF" w:val="clear"/>
            <w:vAlign w:val="center"/>
          </w:tcPr>
          <w:p>
            <w:pPr>
              <w:pStyle w:val="TableContents"/>
              <w:bidi w:val="0"/>
              <w:spacing w:before="0" w:after="283"/>
              <w:jc w:val="left"/>
              <w:rPr/>
            </w:pPr>
            <w:r>
              <w:rPr/>
              <w:t> </w:t>
            </w:r>
          </w:p>
        </w:tc>
        <w:tc>
          <w:tcPr>
            <w:tcW w:w="27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190,181</w:t>
            </w:r>
          </w:p>
        </w:tc>
        <w:tc>
          <w:tcPr>
            <w:tcW w:w="14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26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31,697</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Outstanding Equity Awards at 2023 Fiscal Year-End</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information regarding all outstanding equity awards held by each of our named executive officers as of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146"/>
        <w:gridCol w:w="474"/>
        <w:gridCol w:w="257"/>
        <w:gridCol w:w="246"/>
        <w:gridCol w:w="789"/>
        <w:gridCol w:w="146"/>
        <w:gridCol w:w="158"/>
        <w:gridCol w:w="158"/>
        <w:gridCol w:w="754"/>
        <w:gridCol w:w="146"/>
        <w:gridCol w:w="146"/>
        <w:gridCol w:w="152"/>
        <w:gridCol w:w="152"/>
        <w:gridCol w:w="719"/>
        <w:gridCol w:w="152"/>
        <w:gridCol w:w="270"/>
        <w:gridCol w:w="146"/>
        <w:gridCol w:w="150"/>
        <w:gridCol w:w="150"/>
        <w:gridCol w:w="432"/>
        <w:gridCol w:w="146"/>
        <w:gridCol w:w="146"/>
        <w:gridCol w:w="147"/>
        <w:gridCol w:w="633"/>
        <w:gridCol w:w="146"/>
        <w:gridCol w:w="157"/>
        <w:gridCol w:w="646"/>
        <w:gridCol w:w="146"/>
        <w:gridCol w:w="257"/>
        <w:gridCol w:w="157"/>
        <w:gridCol w:w="744"/>
        <w:gridCol w:w="202"/>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5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Stock Awards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Vesting Commencement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Unexercisable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Exercise Price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 Value of Shares or Units of Stock That Have Not Vested ($)(3)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9"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Barbara Weber, M.D.</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1/24/2019</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1/1/2019</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1" w:type="dxa"/>
            <w:gridSpan w:val="2"/>
            <w:tcBorders/>
            <w:shd w:fill="CCEEFF" w:val="clear"/>
            <w:vAlign w:val="center"/>
          </w:tcPr>
          <w:p>
            <w:pPr>
              <w:pStyle w:val="TableContents"/>
              <w:bidi w:val="0"/>
              <w:spacing w:before="0" w:after="283"/>
              <w:jc w:val="right"/>
              <w:rPr>
                <w:color w:val="000000"/>
              </w:rPr>
            </w:pPr>
            <w:r>
              <w:rPr>
                <w:color w:val="000000"/>
              </w:rPr>
              <w:t>—</w:t>
            </w:r>
          </w:p>
        </w:tc>
        <w:tc>
          <w:tcPr>
            <w:tcW w:w="152"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1/23/2029</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214,584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4,566</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936,290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347,775</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560,819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400,585</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299,479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325,521</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CCEEFF" w:val="clear"/>
            <w:vAlign w:val="center"/>
          </w:tcPr>
          <w:p>
            <w:pPr>
              <w:pStyle w:val="TableContents"/>
              <w:bidi w:val="0"/>
              <w:spacing w:before="0" w:after="283"/>
              <w:jc w:val="left"/>
              <w:rPr/>
            </w:pPr>
            <w:r>
              <w:rPr/>
              <w:t> </w:t>
            </w:r>
          </w:p>
        </w:tc>
        <w:tc>
          <w:tcPr>
            <w:tcW w:w="803"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right"/>
              <w:rPr/>
            </w:pPr>
            <w:r>
              <w:rPr/>
              <w:t> </w:t>
            </w:r>
          </w:p>
        </w:tc>
        <w:tc>
          <w:tcPr>
            <w:tcW w:w="901" w:type="dxa"/>
            <w:gridSpan w:val="2"/>
            <w:tcBorders/>
            <w:shd w:fill="CCEEFF" w:val="clear"/>
            <w:vAlign w:val="center"/>
          </w:tcPr>
          <w:p>
            <w:pPr>
              <w:pStyle w:val="TableContents"/>
              <w:bidi w:val="0"/>
              <w:spacing w:before="0" w:after="283"/>
              <w:jc w:val="right"/>
              <w:rPr>
                <w:color w:val="000000"/>
              </w:rPr>
            </w:pPr>
            <w:r>
              <w:rPr>
                <w:color w:val="000000"/>
              </w:rPr>
              <w:t>—</w:t>
            </w:r>
          </w:p>
        </w:tc>
        <w:tc>
          <w:tcPr>
            <w:tcW w:w="202" w:type="dxa"/>
            <w:tcBorders/>
            <w:shd w:fill="CCEEFF" w:val="clear"/>
            <w:vAlign w:val="center"/>
          </w:tcPr>
          <w:p>
            <w:pPr>
              <w:pStyle w:val="TableContents"/>
              <w:bidi w:val="0"/>
              <w:spacing w:before="0" w:after="283"/>
              <w:jc w:val="right"/>
              <w:rPr/>
            </w:pPr>
            <w:r>
              <w:rPr/>
              <w:t> </w:t>
            </w:r>
          </w:p>
        </w:tc>
      </w:tr>
      <w:tr>
        <w:trPr/>
        <w:tc>
          <w:tcPr>
            <w:tcW w:w="789"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1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537,273</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89,545</w:t>
            </w:r>
          </w:p>
        </w:tc>
        <w:tc>
          <w:tcPr>
            <w:tcW w:w="14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886,496</w:t>
            </w:r>
          </w:p>
        </w:tc>
        <w:tc>
          <w:tcPr>
            <w:tcW w:w="202" w:type="dxa"/>
            <w:tcBorders/>
            <w:shd w:fill="CCEEFF" w:val="clear"/>
            <w:vAlign w:val="center"/>
          </w:tcPr>
          <w:p>
            <w:pPr>
              <w:pStyle w:val="TableContents"/>
              <w:bidi w:val="0"/>
              <w:spacing w:before="0" w:after="283"/>
              <w:jc w:val="left"/>
              <w:rPr/>
            </w:pPr>
            <w:r>
              <w:rPr/>
              <w:t> </w:t>
            </w:r>
          </w:p>
        </w:tc>
      </w:tr>
      <w:tr>
        <w:trPr/>
        <w:tc>
          <w:tcPr>
            <w:tcW w:w="789"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Daniella Beckman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10/18/2019</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9/10/2019</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10/17/2029</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11/1/2019</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10/1/2020</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7/1/2020</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9/30/2030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23,875</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158,536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78,125</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197,051</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32,842</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325,136</w:t>
            </w:r>
          </w:p>
        </w:tc>
        <w:tc>
          <w:tcPr>
            <w:tcW w:w="202" w:type="dxa"/>
            <w:tcBorders/>
            <w:shd w:fill="FFFFFF" w:val="clear"/>
            <w:vAlign w:val="center"/>
          </w:tcPr>
          <w:p>
            <w:pPr>
              <w:pStyle w:val="TableContents"/>
              <w:bidi w:val="0"/>
              <w:spacing w:before="0" w:after="283"/>
              <w:jc w:val="left"/>
              <w:rPr/>
            </w:pPr>
            <w:r>
              <w:rPr/>
              <w:t> </w:t>
            </w:r>
          </w:p>
        </w:tc>
      </w:tr>
      <w:tr>
        <w:trPr/>
        <w:tc>
          <w:tcPr>
            <w:tcW w:w="789"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Adam Crystal, M.D., Ph.D.</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2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2/27/2023</w:t>
            </w:r>
          </w:p>
        </w:tc>
        <w:tc>
          <w:tcPr>
            <w:tcW w:w="14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12"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487,500</w:t>
            </w:r>
          </w:p>
        </w:tc>
        <w:tc>
          <w:tcPr>
            <w:tcW w:w="152"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81,250</w:t>
            </w:r>
          </w:p>
        </w:tc>
        <w:tc>
          <w:tcPr>
            <w:tcW w:w="14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804,375</w:t>
            </w:r>
          </w:p>
        </w:tc>
        <w:tc>
          <w:tcPr>
            <w:tcW w:w="202" w:type="dxa"/>
            <w:tcBorders/>
            <w:shd w:fill="CCEEFF" w:val="clear"/>
            <w:vAlign w:val="center"/>
          </w:tcPr>
          <w:p>
            <w:pPr>
              <w:pStyle w:val="TableContents"/>
              <w:bidi w:val="0"/>
              <w:spacing w:before="0" w:after="283"/>
              <w:jc w:val="left"/>
              <w:rPr/>
            </w:pPr>
            <w:r>
              <w:rPr/>
              <w:t> </w:t>
            </w:r>
          </w:p>
        </w:tc>
      </w:tr>
      <w:tr>
        <w:trPr/>
        <w:tc>
          <w:tcPr>
            <w:tcW w:w="789"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Alan Huang, Ph.D.</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4/12/2018</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1/1/2018</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4/11/2028</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4/12/2018</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4/1/2018</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4/11/2028</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1/24/2019</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1/1/2019</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color w:val="000000"/>
              </w:rPr>
            </w:pPr>
            <w:r>
              <w:rPr>
                <w:color w:val="000000"/>
              </w:rPr>
              <w:t>—</w:t>
            </w:r>
          </w:p>
        </w:tc>
        <w:tc>
          <w:tcPr>
            <w:tcW w:w="152"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1/23/2029</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44,172</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14,154</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20,833</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right"/>
              <w:rPr/>
            </w:pPr>
            <w:r>
              <w:rPr/>
              <w:t> </w:t>
            </w:r>
          </w:p>
        </w:tc>
      </w:tr>
      <w:tr>
        <w:trPr/>
        <w:tc>
          <w:tcPr>
            <w:tcW w:w="7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38,036</w:t>
            </w:r>
          </w:p>
        </w:tc>
        <w:tc>
          <w:tcPr>
            <w:tcW w:w="152"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6,339</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62,756</w:t>
            </w:r>
          </w:p>
        </w:tc>
        <w:tc>
          <w:tcPr>
            <w:tcW w:w="202"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Each stock option granted prior to the closing of the Business Combination in August 2021 was granted under our 2017 Stock Option and Grant Plan, or the 2017 Plan. Each stock option and RSU award granted after the closing of the Business Combination was granted pursuant to our 2021 Stock Option and Incentive Plan, or 2021 Plan, unless otherwise noted.</w:t>
      </w:r>
    </w:p>
    <w:p>
      <w:pPr>
        <w:pStyle w:val="TextBody"/>
        <w:bidi w:val="0"/>
        <w:jc w:val="left"/>
        <w:rPr>
          <w:rFonts w:ascii="Times New Roman" w:hAnsi="Times New Roman"/>
          <w:color w:val="000000"/>
          <w:sz w:val="20"/>
        </w:rPr>
      </w:pPr>
      <w:r>
        <w:rPr>
          <w:rFonts w:ascii="Times New Roman" w:hAnsi="Times New Roman"/>
          <w:color w:val="000000"/>
          <w:sz w:val="20"/>
        </w:rPr>
        <w:t>(2) All of the option awards listed in the table were granted with an exercise price per share that is no less than the fair market value of our common stock on the date of grant of such award. For information regarding the valuation of equity awards, see Note 2 and Note 11 to our audited financial statements contained in our Annual Report on Form 10-K for the year ended December 31, 2023 as filed with the SEC on March 18, 2024 for a discussion of assumptions made in determining the aggregate grant date fair value of stock option awards. The amounts presented do not correspond to the actual value that may be recognized by the named executive officer upon vesting or exercise of the stock options or the sale of the shares of common stock underlying such stock options.</w:t>
      </w:r>
    </w:p>
    <w:p>
      <w:pPr>
        <w:pStyle w:val="TextBody"/>
        <w:bidi w:val="0"/>
        <w:jc w:val="left"/>
        <w:rPr>
          <w:rFonts w:ascii="Times New Roman" w:hAnsi="Times New Roman"/>
          <w:color w:val="000000"/>
          <w:sz w:val="20"/>
        </w:rPr>
      </w:pPr>
      <w:r>
        <w:rPr>
          <w:rFonts w:ascii="Times New Roman" w:hAnsi="Times New Roman"/>
          <w:color w:val="000000"/>
          <w:sz w:val="20"/>
        </w:rPr>
        <w:t>(3) The market value of the RSU awards is based on the closing price of $9.90 per share of the Company’s common stock on December 29, 2023, the last trading day of the year, as reported on the Nasdaq Global Market.</w:t>
      </w:r>
    </w:p>
    <w:p>
      <w:pPr>
        <w:pStyle w:val="TextBody"/>
        <w:bidi w:val="0"/>
        <w:jc w:val="left"/>
        <w:rPr>
          <w:rFonts w:ascii="Times New Roman" w:hAnsi="Times New Roman"/>
          <w:color w:val="000000"/>
          <w:sz w:val="20"/>
        </w:rPr>
      </w:pPr>
      <w:r>
        <w:rPr>
          <w:rFonts w:ascii="Times New Roman" w:hAnsi="Times New Roman"/>
          <w:color w:val="000000"/>
          <w:sz w:val="20"/>
        </w:rPr>
        <w:t>(4) These stock options vest as follows: 25% of the shares vest on the first anniversary of the vesting commencement date and the remaining 75% of the shares vest in 36 equal monthly installments thereafter, subject to continued employment (or, in the case of Dr. Huang, service) with the Company through the applicable vesting date.</w:t>
      </w:r>
    </w:p>
    <w:p>
      <w:pPr>
        <w:pStyle w:val="TextBody"/>
        <w:bidi w:val="0"/>
        <w:jc w:val="left"/>
        <w:rPr>
          <w:rFonts w:ascii="Times New Roman" w:hAnsi="Times New Roman"/>
          <w:color w:val="000000"/>
          <w:sz w:val="20"/>
        </w:rPr>
      </w:pPr>
      <w:r>
        <w:rPr>
          <w:rFonts w:ascii="Times New Roman" w:hAnsi="Times New Roman"/>
          <w:color w:val="000000"/>
          <w:sz w:val="20"/>
        </w:rPr>
        <w:t>(5) These stock options vest in equal monthly installments over 48 months following the vesting commencement date, subject to continued employment (or, in the case of Dr. Huang, service) with the Company through the applicable vesting date.</w:t>
      </w:r>
    </w:p>
    <w:p>
      <w:pPr>
        <w:pStyle w:val="TextBody"/>
        <w:bidi w:val="0"/>
        <w:jc w:val="left"/>
        <w:rPr>
          <w:rFonts w:ascii="Times New Roman" w:hAnsi="Times New Roman"/>
          <w:color w:val="000000"/>
          <w:sz w:val="20"/>
        </w:rPr>
      </w:pPr>
      <w:r>
        <w:rPr>
          <w:rFonts w:ascii="Times New Roman" w:hAnsi="Times New Roman"/>
          <w:color w:val="000000"/>
          <w:sz w:val="20"/>
        </w:rPr>
        <w:t>(6) These stock options and RSUs were granted pursuant to our 2023 Inducement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These RSUs vest in equal annual installments over three years on each of February 5, 2024, February 3, 2025 and February 2, 2026, subject to the named executive officer's continued employment (or, in the case of Dr. Huang, service) with the Company through the applicable vesting date.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information as of December 31, 2023 regarding shares of common stock that may be issued under our equity compensation plans, consisting of our 2023 Inducement Plan (as described below), our 2021 Plan, our 2021 Employee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Purchase Plan, or the ESPP, and our 2017 Plan. As of December 31, 2023, other than the 2023 Inducement Plan, we did not have any non-stockholder approved equity compensation plans. The compensation committee adopted the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w:t>
      </w:r>
    </w:p>
    <w:tbl>
      <w:tblPr>
        <w:tblW w:w="10205" w:type="dxa"/>
        <w:jc w:val="left"/>
        <w:tblInd w:w="0" w:type="dxa"/>
        <w:tblLayout w:type="fixed"/>
        <w:tblCellMar>
          <w:top w:w="28" w:type="dxa"/>
          <w:left w:w="28" w:type="dxa"/>
          <w:bottom w:w="28" w:type="dxa"/>
          <w:right w:w="28" w:type="dxa"/>
        </w:tblCellMar>
      </w:tblPr>
      <w:tblGrid>
        <w:gridCol w:w="1854"/>
        <w:gridCol w:w="146"/>
        <w:gridCol w:w="261"/>
        <w:gridCol w:w="1857"/>
        <w:gridCol w:w="146"/>
        <w:gridCol w:w="280"/>
        <w:gridCol w:w="376"/>
        <w:gridCol w:w="376"/>
        <w:gridCol w:w="1479"/>
        <w:gridCol w:w="146"/>
        <w:gridCol w:w="146"/>
        <w:gridCol w:w="328"/>
        <w:gridCol w:w="2334"/>
        <w:gridCol w:w="146"/>
        <w:gridCol w:w="330"/>
      </w:tblGrid>
      <w:tr>
        <w:trPr/>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22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of Outstanding Options, Warrants and Rights($)(1)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Column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stockholders(2)</w:t>
            </w:r>
          </w:p>
        </w:tc>
        <w:tc>
          <w:tcPr>
            <w:tcW w:w="146"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16,748,724</w:t>
            </w:r>
          </w:p>
        </w:tc>
        <w:tc>
          <w:tcPr>
            <w:tcW w:w="146"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37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23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8,606,657</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r>
      <w:tr>
        <w:trPr/>
        <w:tc>
          <w:tcPr>
            <w:tcW w:w="18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185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17,492,474</w:t>
            </w:r>
          </w:p>
        </w:tc>
        <w:tc>
          <w:tcPr>
            <w:tcW w:w="146"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23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10,862,907</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The calculation does not take into account shares of common stock subject to outstanding RSUs, which do not have an associated exercise price</w:t>
      </w:r>
    </w:p>
    <w:p>
      <w:pPr>
        <w:pStyle w:val="TextBody"/>
        <w:bidi w:val="0"/>
        <w:jc w:val="left"/>
        <w:rPr>
          <w:rFonts w:ascii="Times New Roman" w:hAnsi="Times New Roman"/>
          <w:color w:val="000000"/>
          <w:sz w:val="20"/>
        </w:rPr>
      </w:pPr>
      <w:r>
        <w:rPr>
          <w:rFonts w:ascii="Times New Roman" w:hAnsi="Times New Roman"/>
          <w:color w:val="000000"/>
          <w:sz w:val="20"/>
        </w:rPr>
        <w:t>(2) This number includes 11,245,938 shares of our common stock subject to outstanding options granted under our 2021 Plan, 4,851,522 shares of our common stock subject to outstanding options granted under our 2017 Plan and 637,500 shares of common stock subject to outstanding options granted under the 2023 Inducement Plan. The 2021 Plan provides that the number of shares reserved and available for issuance under the 2021 Plan will automatically increase each January 1 by 5% of the outstanding number of shares of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pStyle w:val="TextBody"/>
        <w:bidi w:val="0"/>
        <w:jc w:val="left"/>
        <w:rPr>
          <w:rFonts w:ascii="Times New Roman" w:hAnsi="Times New Roman"/>
          <w:color w:val="000000"/>
          <w:sz w:val="20"/>
        </w:rPr>
      </w:pPr>
      <w:r>
        <w:rPr>
          <w:rFonts w:ascii="Times New Roman" w:hAnsi="Times New Roman"/>
          <w:color w:val="000000"/>
          <w:sz w:val="20"/>
        </w:rPr>
        <w:t>(3) Includes 15,991,210 shares of common stock issuable upon the exercise of outstanding stock options and 757,514 unvested RSUs.</w:t>
      </w:r>
    </w:p>
    <w:p>
      <w:pPr>
        <w:pStyle w:val="TextBody"/>
        <w:bidi w:val="0"/>
        <w:jc w:val="left"/>
        <w:rPr>
          <w:rFonts w:ascii="Times New Roman" w:hAnsi="Times New Roman"/>
          <w:color w:val="000000"/>
          <w:sz w:val="20"/>
        </w:rPr>
      </w:pPr>
      <w:r>
        <w:rPr>
          <w:rFonts w:ascii="Times New Roman" w:hAnsi="Times New Roman"/>
          <w:color w:val="000000"/>
          <w:sz w:val="20"/>
        </w:rPr>
        <w:t xml:space="preserve">(4) Includes 637,500 shares of common stock issuable upon the exercise of outstanding stock options and 106,250 unvested RSUs. </w:t>
      </w:r>
    </w:p>
    <w:p>
      <w:pPr>
        <w:pStyle w:val="TextBody"/>
        <w:bidi w:val="0"/>
        <w:jc w:val="left"/>
        <w:rPr>
          <w:rFonts w:ascii="Times New Roman" w:hAnsi="Times New Roman"/>
          <w:color w:val="000000"/>
          <w:sz w:val="20"/>
        </w:rPr>
      </w:pPr>
      <w:r>
        <w:rPr>
          <w:rFonts w:ascii="Times New Roman" w:hAnsi="Times New Roman"/>
          <w:color w:val="000000"/>
          <w:sz w:val="20"/>
        </w:rPr>
        <w:t>(5) Includes 6,305,845 shares available for grant under the 2021 Plan, 2,300,812 shares available under the 2021 ESPP and zero shares available for grant under the 2017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Includes 2,256,250 shares of common stock available under the 2023 Inducement Plan.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Executive Compensation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upon the closing of the Business Combination in 2021, we entered into an employment agreement with each of Dr. Weber, Ms. Beckman and Dr. Huang that provide for specified payments and benefits in connection with a termination of employment in certain circumstances. Dr. Crystal entered into an employment agreement in connection with the commencement of his employment in February 2023 that also provides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and Dr. Crystal are summarized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Barbara Weber, M.D.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Dr. Weber’s employment agreement, or the Weber Employment Agreement, Dr. Weber serves as our Chief Executive Officer on an at-will basis. Dr. Weber’s annual base salary is subject to periodic review and adjustment by the board of directors, and she is eligible to earn an annual bonus with a target amount expressed as a percentage of her base salary, which target amount is set annually by the board of directors. Dr. Weber is eligible to participate in the employee benefit plans available to our employees, subject to the terms of those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Weber Employment Agreement, in the event that Dr. Weber's employment is terminated by us without “cause” or Dr. Weber resigns for “good reason” (as each term is defined in the Weber Employment Agreement), subject to her execution and the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she will be entitled to receive any earned but unpaid bonus for the prior year,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she will be entitled to 12 months of acceleration of the unvested portion of all stock options and other stock-based awards subject solely to time-based vesting held by Dr. Weber.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her execution and the effectiveness of a separation agreement, including a general release of claims in our favor, (i) she will be entitled to receive a lump sum in cash equal to 18 months of her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she will be entitled to receive any earned but unpaid bonus for the prior year, (v)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Daniella Beckman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Ms. Beckman’s employment agreement, or the Beckman Employment Agreement, Ms. Beckman serves as our Chief Financial Officer on an at-will basis. Ms. Beckman’s annual base salary is subject to periodic review and adjustment by the compensation committee, and she is eligible to earn an annual bonus with a target amount expressed as a percentage of her base salary, which target amount is set annually by the compensation committee. Ms. Beckman is eligible to participate in the employee benefit plans available to our employees, subject to the terms of those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Beckman Employment Agreement, in the event that Ms. Beckman's employment is terminated by us without “cause” or Ms. Beckman resigns for “good reason” (as each term is defined in the Beckman Employment Agreement), subject to her execution and the effectiveness of a separation agreement, including a general release of claims in our favor, (i) she will be entitled to receive base salary continuation for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her execution and the effectiveness of a separation agreement, including a general release of claims in our favor, (i) she will be entitled to receive a lump sum in cash equal to 12 months of her then-current annual base salary (or Ms. Beckman’s annual base salary in effect immediately prior to the change in control, if higher), (ii) she will be entitled to receive a lump sum in cash equal to her target annual cash incentive compensation for the year of termination, (iii) subject to Ms. Beckman’s copayment of premium amounts at the applicable active employees’ rate and proper election to continue COBRA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will be entitled to acceleration of 100% of all stock options and other stock-based awards subject solely to time-based vesting held by her.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Adam Crystal, M.D., Ph.D.</w:t>
      </w:r>
    </w:p>
    <w:p>
      <w:pPr>
        <w:pStyle w:val="TextBody"/>
        <w:bidi w:val="0"/>
        <w:jc w:val="left"/>
        <w:rPr>
          <w:rFonts w:ascii="Times New Roman" w:hAnsi="Times New Roman"/>
          <w:color w:val="000000"/>
          <w:sz w:val="20"/>
        </w:rPr>
      </w:pPr>
      <w:r>
        <w:rPr>
          <w:rFonts w:ascii="Times New Roman" w:hAnsi="Times New Roman"/>
          <w:color w:val="000000"/>
          <w:sz w:val="20"/>
        </w:rPr>
        <w:t>Under Dr. Crystal's employment agreement, or the Crystal Employment Agreement, Dr. Crystal's annual base salary is subject to periodic review and adjustment by the compensation committee, and he is eligible to earn an annual bonus with a target amount expressed as a percentage of his base salary, which target amount is set annually by the compensation committee. Dr. Crystal also received a one-time sign-on bonus of $275,000, which was subject to repayment by Dr. Crystal if he had voluntarily left Tango prior to February 27, 2024. Dr. Crystal is eligible to participate in the employee benefit plans available to our employees, subject to the terms of those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terms of the Crystal Employment Agreement, in the event that his employment is terminated by us without “cause” or Dr. Crystal resigns for “good reason” (as each term is defined in the Crystal Employment Agreement), subject to his execution and the effectiveness of a separation agreement, including a general release of claims in our favor, (i) he will be entitled to receive base salary continuation for twelve (12) months following termination and his unpaid cash bonus payments for the preceding year, (ii) he will be entitled to receive any unpaid cash bonus for the preceding fiscal year and a pro-rata bonus for the portion of the year through the date of termination, and (iii)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12 months following termination, (B) Dr. Crystal’s eligibility for group medical plan benefits under any other employer’s group medical plan or (C) the end of Dr. Crystal’s COBRA health continuation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Crystal’s employment is terminated by the Company without cause or Dr. Crystal resigns for good reason on or within 12 months following a “change in control” (as defined in the Crystal Employment Agreement), subject to his execution and the effectiveness of a separation agreement, including a general release of claims in our favor, (i) he will be entitled to receive a lump sum in cash equal to 12 months of his then-current annual base salary (or Dr. Crystal’s base salary in effect immediately prior to a change in control, if higher), (ii) he will be entitled to receive a lump sum in cash equal to his target annual cash incentive compensation for the year of termination, (iii) he will be entitled to receive any unpaid cash bonus for the preceding fiscal year and pro-rata bonus for the portion of the year through the date of termination, (iv)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12 months following termination, (B) Dr. Crystal’s eligibility for group medical plan benefits under any other employer’s group medical plan or (C) the end of Dr. Crystal’s COBRA health continuation period, and (v) he will be entitled to acceleration of 100% of all stock options and other stock-based awards subject solely to time-based vesting held by Dr. Crystal.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Alan Huang, Ph.D.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3, 2023, Dr. Huang notified the Company that he intended to transition out of his role as Chief Scientific Officer. For the period from August 7, 2023 to October 6, 2023, Dr. Huang served in his capacity as the Company's Chief Scientific Officer, and dedicated 60% of his time to his duties as the Company's Chief Scientific Officer. On October 7, 2023, Dr. Huang commenced service as a consultant for the Company and continues to provide consulting services.</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i/>
          <w:color w:val="000000"/>
          <w:sz w:val="20"/>
        </w:rPr>
      </w:pPr>
      <w:r>
        <w:rPr>
          <w:rFonts w:ascii="Times New Roman" w:hAnsi="Times New Roman"/>
          <w:i/>
          <w:color w:val="000000"/>
          <w:sz w:val="20"/>
        </w:rPr>
        <w:t>Employment Agreement</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Under Dr. Huang’s employment agreement, or the Huang Employment Agreement, which was in effect until October 6, 2023, Dr. Huang served as our Chief Scientific Officer on an at-will basis. Dr. Huang’s annual base salary was subject to periodic review and adjustment, and he was eligible to earn an annual bonus with a target amount expressed as a percentage of his base salary. Dr. Huang was eligible to participate in the employee benefit plans available to our employees, subject to the terms of those plans.</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Huang Employment Agreement, in the event that Dr. Huang’s employment was terminated by us without “cause” or Dr. Huang resigned for “good reason” (as each term was defined in the Huang Employment Agreement), subject to his execution and the effectiveness of a separation agreement, including a general release of claims in our favor, (i) he would have been entitled to receive base salary continuation for 12 months following termination, and (ii) subject to Dr. Huang’s copayment of premium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applicable active employees’ rate and proper election to continue COBRA health coverage, we would have covered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Huang’s employment was terminated by us without cause or Dr. Huang resigned for good reason on or within 12 months following a “change in control” (as defined in the Huang Employment Agreement), subject to his execution and the effectiveness of a separation agreement, including a general release of claims in our favor, (i) he would have been entitled to receive a lump sum in cash equal to 12 months of his then-current annual base salary (or Dr. Huang’s annual base salary in effect immediately prior to the change in control, if higher), (ii) he would have been entitled to receive a lump sum in cash equal to his target annual cash incentive compensation for the year of termination, (iii) subject to Dr. Huang’s copayment of premium amounts at the applicable active employees’ rate and proper election to continue COBRA health coverage, we would have covered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 and (iv) he would have been entitled to acceleration of 100% of all stock options and other stock-based awards subject solely to time-based vesting held by him.</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Dr. Huang's transition out of his role of Chief Scientific Officer, during the period from August 7, 2023 to October 6, 2023, Dr. Huang's annual base salary was decreased by 40% to $293,515 (on an annualized basis). Dr. Huang received a pro-rated 2023 cash bonus payment equal to $136,491. </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i/>
          <w:color w:val="000000"/>
          <w:sz w:val="20"/>
        </w:rPr>
      </w:pPr>
      <w:r>
        <w:rPr>
          <w:rFonts w:ascii="Times New Roman" w:hAnsi="Times New Roman"/>
          <w:i/>
          <w:color w:val="000000"/>
          <w:sz w:val="20"/>
        </w:rPr>
        <w:t>Consulting Agreement</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and Dr. Huang entered into a consulting agreement on August 7, 2023, that became effective on October 7, 2023, pursuant to which Dr. Huang provided consulting services to the Company (and continues to provide consulting services) related to target platform and early discovery projects. In addition to the continued vesting of a portion of his equity awards as described above, Dr. Huang received cash consideration of $4,000 per week for such consulting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Dr. Huang’s outstanding equity awards were amended, effective as of October 7, 2023, such that (i) awards issued pursuant to the 2017 Plan continued to vest in accordance with the terms of such awards, and (ii) awards issued pursuant to the 2021 Plan shall continue to vest on each scheduled vesting date at a rate equal to 20% of the number of shares that were originally to vest on such date (and, as of October 6, 2023, 80% of the outstanding unvested shares subject to Dr. Huang’s awards granted under the 2021 Plan were forfeited), in each case for so long as Dr. Huang continued to provide consulting services to the Company under the Consulting Agreement (as described above).</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Other Elements of Compensation; Perquisites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Health and Welfare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their employment, our named executive officers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maintain a 401(k) retirement savings plan for our employees, including our named executive officers, who satisfy certain eligibility requirements. The savings plan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 Our named executive officers are eligible to participate in the 401(k) plan on the same terms as other full-time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Recovery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requirements of the SEC and Nasdaq listing rules, the compensation committee has adopted a compensation recovery policy effective as of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 The compensation recovery policy is filed as Exhibit 97.1 to the 2023 Annual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0" w:name="non_employee_director_compensation"/>
      <w:bookmarkEnd w:id="10"/>
      <w:r>
        <w:rPr>
          <w:rFonts w:ascii="Times New Roman" w:hAnsi="Times New Roman"/>
          <w:b/>
          <w:color w:val="000000"/>
          <w:sz w:val="20"/>
        </w:rPr>
        <w:t>NON-EMPLOYEE DIRECTOR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adopted an amended and restated non-employee director compensation policy under which each non-employee director receives the following amounts for his or her services on our board of directors.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stock option to purchase 60,000 shares of our common stock and an RSU award covering 10,000 shares of our common stock upon the director’s initial election or appointment to our board of directors. The stock options vest over 36 substantially equal monthly installments over three years from the date of grant and the RSUs vest in three equal annual installments over three years from the date of grant (the specific vesting dates are established by the compensation committee), in each case subject to continued service as a director through the applicable vesting date.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annual option to purchase 30,000 shares of our common stock and an RSU award covering 5,000 shares of our common stock on the date of the annual meeting for such year. The annual option award vests in 12 substantially equal monthly installments over one year from the date of grant and the annual RSU award vests in its entirety on the first anniversary of the date of grant, in each case subject to continued service as a director through the applicable vesting date. Directors who were elected in the 12 months preceding the annual grant receive a pro-rated portion of the annual stock option grant and RSU award based on the number of months of time in service on the board.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annual director fee of $40,000.</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the director serves on a committee of our board of directors or in the other capacities stated below, an additional annual fee as follows: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Non-executive chairperson, $30,000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Lead independent director, $15,000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 committee chairperson, $15,000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 committee member, $7,500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committee chairperson, $10,000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committee member, $5,000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Nomination and governance committee chairperson, $8,000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Nomination and governance committee member, $4,000</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Options granted to our non-employee directors under the non-employee director compensation policy have an exercise price equal to the fair market value of our common stock on the date of grant and will expire not later than ten years after the date of grant. All unvested options and RSU awards held by non-employee members of the board of directors vest in full upon the occurrence of a change in control.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2023, the compensation committee revised the non-employee director compensation policy to include RSUs in the initial and annual equity awards issuable to non-employee directors, in addition to stock options, so that the equity component of director compensation is consistent with the equity compensation components that are generally provided to Company employees. In order to make incentives the same across the organization, the compensation committee determined that this adjustment was appropriate.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2023 Non-Employee Director Compensation 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table below shows the cash fees paid to our non-employee directors in connection with their service on our board of directors, and the stock option awards and RSUs granted to our non-employee directors, during the fiscal year ended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2071"/>
        <w:gridCol w:w="146"/>
        <w:gridCol w:w="237"/>
        <w:gridCol w:w="237"/>
        <w:gridCol w:w="1100"/>
        <w:gridCol w:w="146"/>
        <w:gridCol w:w="146"/>
        <w:gridCol w:w="234"/>
        <w:gridCol w:w="1083"/>
        <w:gridCol w:w="234"/>
        <w:gridCol w:w="234"/>
        <w:gridCol w:w="146"/>
        <w:gridCol w:w="226"/>
        <w:gridCol w:w="1211"/>
        <w:gridCol w:w="226"/>
        <w:gridCol w:w="226"/>
        <w:gridCol w:w="146"/>
        <w:gridCol w:w="146"/>
        <w:gridCol w:w="781"/>
        <w:gridCol w:w="1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w:t>
              <w:br/>
              <w:t>In Cash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10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left"/>
              <w:rPr/>
            </w:pPr>
            <w:r>
              <w:rPr/>
              <w:t> </w:t>
            </w:r>
          </w:p>
        </w:tc>
        <w:tc>
          <w:tcPr>
            <w:tcW w:w="108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CCECFF" w:val="clear"/>
            <w:vAlign w:val="center"/>
          </w:tcPr>
          <w:p>
            <w:pPr>
              <w:pStyle w:val="TableContents"/>
              <w:bidi w:val="0"/>
              <w:spacing w:before="0" w:after="283"/>
              <w:jc w:val="lef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CCEE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171,533</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289,440</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375,873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Pothula(4)</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337" w:type="dxa"/>
            <w:gridSpan w:val="2"/>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317" w:type="dxa"/>
            <w:gridSpan w:val="2"/>
            <w:tcBorders/>
            <w:shd w:fill="CCECFF" w:val="clear"/>
            <w:vAlign w:val="center"/>
          </w:tcPr>
          <w:p>
            <w:pPr>
              <w:pStyle w:val="TableContents"/>
              <w:bidi w:val="0"/>
              <w:spacing w:before="0" w:after="283"/>
              <w:jc w:val="right"/>
              <w:rPr>
                <w:color w:val="000000"/>
              </w:rPr>
            </w:pPr>
            <w:r>
              <w:rPr>
                <w:color w:val="000000"/>
              </w:rPr>
              <w:t>—</w:t>
            </w:r>
          </w:p>
        </w:tc>
        <w:tc>
          <w:tcPr>
            <w:tcW w:w="234"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37" w:type="dxa"/>
            <w:gridSpan w:val="2"/>
            <w:tcBorders/>
            <w:shd w:fill="CCEEFF" w:val="clear"/>
            <w:vAlign w:val="center"/>
          </w:tcPr>
          <w:p>
            <w:pPr>
              <w:pStyle w:val="TableContents"/>
              <w:bidi w:val="0"/>
              <w:spacing w:before="0" w:after="283"/>
              <w:jc w:val="right"/>
              <w:rPr>
                <w:color w:val="000000"/>
              </w:rPr>
            </w:pPr>
            <w:r>
              <w:rPr>
                <w:color w:val="000000"/>
              </w:rPr>
              <w:t>—</w:t>
            </w:r>
          </w:p>
        </w:tc>
        <w:tc>
          <w:tcPr>
            <w:tcW w:w="226" w:type="dxa"/>
            <w:tcBorders/>
            <w:shd w:fill="CCEEFF" w:val="clear"/>
            <w:vAlign w:val="center"/>
          </w:tcPr>
          <w:p>
            <w:pPr>
              <w:pStyle w:val="TableContents"/>
              <w:bidi w:val="0"/>
              <w:spacing w:before="0" w:after="283"/>
              <w:jc w:val="righ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27" w:type="dxa"/>
            <w:gridSpan w:val="2"/>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righ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10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left"/>
              <w:rPr/>
            </w:pPr>
            <w:r>
              <w:rPr/>
              <w:t> </w:t>
            </w:r>
          </w:p>
        </w:tc>
        <w:tc>
          <w:tcPr>
            <w:tcW w:w="108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CCECFF" w:val="clear"/>
            <w:vAlign w:val="center"/>
          </w:tcPr>
          <w:p>
            <w:pPr>
              <w:pStyle w:val="TableContents"/>
              <w:bidi w:val="0"/>
              <w:spacing w:before="0" w:after="283"/>
              <w:jc w:val="lef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CCEE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141,533</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Davis(5)</w:t>
            </w:r>
          </w:p>
        </w:tc>
        <w:tc>
          <w:tcPr>
            <w:tcW w:w="146"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237" w:type="dxa"/>
            <w:tcBorders/>
            <w:shd w:fill="CCECFF" w:val="clear"/>
            <w:vAlign w:val="center"/>
          </w:tcPr>
          <w:p>
            <w:pPr>
              <w:pStyle w:val="TableContents"/>
              <w:bidi w:val="0"/>
              <w:spacing w:before="0" w:after="283"/>
              <w:jc w:val="left"/>
              <w:rPr/>
            </w:pPr>
            <w:r>
              <w:rPr/>
              <w:t> </w:t>
            </w:r>
          </w:p>
        </w:tc>
        <w:tc>
          <w:tcPr>
            <w:tcW w:w="110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34" w:type="dxa"/>
            <w:tcBorders/>
            <w:shd w:fill="CCECFF" w:val="clear"/>
            <w:vAlign w:val="center"/>
          </w:tcPr>
          <w:p>
            <w:pPr>
              <w:pStyle w:val="TableContents"/>
              <w:bidi w:val="0"/>
              <w:spacing w:before="0" w:after="283"/>
              <w:jc w:val="left"/>
              <w:rPr/>
            </w:pPr>
            <w:r>
              <w:rPr/>
              <w:t> </w:t>
            </w:r>
          </w:p>
        </w:tc>
        <w:tc>
          <w:tcPr>
            <w:tcW w:w="108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CCECFF" w:val="clear"/>
            <w:vAlign w:val="center"/>
          </w:tcPr>
          <w:p>
            <w:pPr>
              <w:pStyle w:val="TableContents"/>
              <w:bidi w:val="0"/>
              <w:spacing w:before="0" w:after="283"/>
              <w:jc w:val="left"/>
              <w:rPr/>
            </w:pPr>
            <w:r>
              <w:rPr/>
              <w:t> </w:t>
            </w:r>
          </w:p>
        </w:tc>
        <w:tc>
          <w:tcPr>
            <w:tcW w:w="234"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CCEE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118,087</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Reid Huber, Ph.D.(6)</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71,283</w:t>
            </w:r>
          </w:p>
        </w:tc>
        <w:tc>
          <w:tcPr>
            <w:tcW w:w="22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129,859</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Amounts represent cash compensation earned and paid pursuant to our amended and restated non-employee director compensation policy.</w:t>
      </w:r>
    </w:p>
    <w:p>
      <w:pPr>
        <w:pStyle w:val="TextBody"/>
        <w:bidi w:val="0"/>
        <w:jc w:val="left"/>
        <w:rPr>
          <w:rFonts w:ascii="Times New Roman" w:hAnsi="Times New Roman"/>
          <w:color w:val="000000"/>
          <w:sz w:val="20"/>
        </w:rPr>
      </w:pPr>
      <w:r>
        <w:rPr>
          <w:rFonts w:ascii="Times New Roman" w:hAnsi="Times New Roman"/>
          <w:color w:val="000000"/>
          <w:sz w:val="20"/>
        </w:rPr>
        <w:t>(2) The amounts reported represent the aggregate grant-date fair value of stock options and RSUs awarded to our non-employee directors in 2023, calculated in accordance with ASC Topic 718, disregarding the effect of estimated forfeitures related to service-based vesting. See Note 2 and Note 11 to our audited financial statements contained in our Annual Report on Form 10-K for the year ended December 31, 2023 as filed with the SEC on March 18, 2024 for a discussion of assumptions made in determining the aggregate grant date fair value of stock option awards. The amounts presented do not correspond to the actual value that may be recognized by the named director upon vesting or exercise of the stock options or the sale of the shares of common stock underlying such stock options or the vesting of RSUs and the sale of the shares received upon the vesting of the RSUs.</w:t>
      </w:r>
    </w:p>
    <w:p>
      <w:pPr>
        <w:pStyle w:val="TextBody"/>
        <w:bidi w:val="0"/>
        <w:jc w:val="left"/>
        <w:rPr>
          <w:rFonts w:ascii="Times New Roman" w:hAnsi="Times New Roman"/>
          <w:color w:val="000000"/>
          <w:sz w:val="20"/>
        </w:rPr>
      </w:pPr>
      <w:r>
        <w:rPr>
          <w:rFonts w:ascii="Times New Roman" w:hAnsi="Times New Roman"/>
          <w:color w:val="000000"/>
          <w:sz w:val="20"/>
        </w:rPr>
        <w:t>(3) The table below shows the aggregate number of shares underlying stock option awards (exercisable and unexercisable) and unvested RSUs held as of December 31, 2023 by each non-employee director who served as a non-employee director during the year ended December 31, 2023:</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2071"/>
        <w:gridCol w:w="146"/>
        <w:gridCol w:w="220"/>
        <w:gridCol w:w="220"/>
        <w:gridCol w:w="1180"/>
        <w:gridCol w:w="146"/>
        <w:gridCol w:w="146"/>
        <w:gridCol w:w="216"/>
        <w:gridCol w:w="216"/>
        <w:gridCol w:w="1007"/>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9"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Subject to </w:t>
              <w:br/>
              <w:t>Outstanding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Subject to </w:t>
              <w:br/>
              <w:t>Outstanding 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CEE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00"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23" w:type="dxa"/>
            <w:gridSpan w:val="2"/>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righ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CEE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Mr. Pothula was elected to the board of directors on November 6, 2023. Mr. Pothula has waived cash and equity compensation retainers for services on the board of directors.</w:t>
      </w:r>
    </w:p>
    <w:p>
      <w:pPr>
        <w:pStyle w:val="TextBody"/>
        <w:bidi w:val="0"/>
        <w:jc w:val="left"/>
        <w:rPr>
          <w:rFonts w:ascii="Times New Roman" w:hAnsi="Times New Roman"/>
          <w:color w:val="000000"/>
          <w:sz w:val="20"/>
        </w:rPr>
      </w:pPr>
      <w:r>
        <w:rPr>
          <w:rFonts w:ascii="Times New Roman" w:hAnsi="Times New Roman"/>
          <w:color w:val="000000"/>
          <w:sz w:val="20"/>
        </w:rPr>
        <w:t xml:space="preserve">(5) Mr. Davis resigned from the board in August 2023. All unvested equity awards held by Mr. Davis were forfeited upon resignation. </w:t>
      </w:r>
    </w:p>
    <w:p>
      <w:pPr>
        <w:pStyle w:val="TextBody"/>
        <w:bidi w:val="0"/>
        <w:jc w:val="left"/>
        <w:rPr>
          <w:rFonts w:ascii="Times New Roman" w:hAnsi="Times New Roman"/>
          <w:color w:val="000000"/>
          <w:sz w:val="20"/>
        </w:rPr>
      </w:pPr>
      <w:r>
        <w:rPr>
          <w:rFonts w:ascii="Times New Roman" w:hAnsi="Times New Roman"/>
          <w:color w:val="000000"/>
          <w:sz w:val="20"/>
        </w:rPr>
        <w:t xml:space="preserve">(6) Dr. Huber resigned from the board in November 2023. All outstanding equity awards held by Dr. Huber were forfeited upon resignation.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1" w:name="proposal_no_2"/>
      <w:bookmarkEnd w:id="11"/>
      <w:r>
        <w:rPr>
          <w:rFonts w:ascii="Times New Roman" w:hAnsi="Times New Roman"/>
          <w:b/>
          <w:caps/>
          <w:color w:val="000000"/>
          <w:sz w:val="20"/>
        </w:rPr>
        <w:t>PROPOSAL NO. 2 – RATIFICATION OF THE APPOINTMENT OF INDEPENDENT REGISTERED PUBLIC ACCOUNTING FIRM FOR THE FISCAL YEAR ENDING DECEMBER 31, 2024</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selected PricewaterhouseCoopers LLP as the independent registered public accounting firm to perform the audit of our consolidated financial statements for the fiscal year ending December 31, 2024, and we are asking you and other stockholders to ratify this selection. PricewaterhouseCoopers LLP has audited our financial statements since 2017 (serving as Tango's independent registered public accounting firm prior to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2024. Even if the appointment of PricewaterhouseCoopers LLP is ratified, the audit committee retains the discretion to appoint a different independent registered public accounting firm at any time if it determines that such a change is in the interests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of this proposal requires the affirmative vote of a majority of the votes properly cast for and against such matter. You may vote “FOR,” “AGAINST” or “ABSTAIN” from voting on this proposal. Abstentions and broker “non-votes,” if any, will have no effect on the outcome of this proposal.</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Proposal No. 2 to ratify the appointment of PricewaterhouseCoopers as the independent registered public accounting firm for the fiscal year ending December 31, 2024.</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bookmarkStart w:id="12" w:name="principal_accountant_fees_and_services"/>
      <w:bookmarkEnd w:id="12"/>
      <w:r>
        <w:rPr>
          <w:rFonts w:ascii="Times New Roman" w:hAnsi="Times New Roman"/>
          <w:b/>
          <w:caps/>
          <w:color w:val="000000"/>
          <w:sz w:val="20"/>
        </w:rPr>
        <w:t>Principal Accountant Fees and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tbl>
      <w:tblPr>
        <w:tblW w:w="4586" w:type="dxa"/>
        <w:jc w:val="left"/>
        <w:tblInd w:w="0" w:type="dxa"/>
        <w:tblLayout w:type="fixed"/>
        <w:tblCellMar>
          <w:top w:w="28" w:type="dxa"/>
          <w:left w:w="28" w:type="dxa"/>
          <w:bottom w:w="28" w:type="dxa"/>
          <w:right w:w="28" w:type="dxa"/>
        </w:tblCellMar>
      </w:tblPr>
      <w:tblGrid>
        <w:gridCol w:w="1681"/>
        <w:gridCol w:w="146"/>
        <w:gridCol w:w="211"/>
        <w:gridCol w:w="146"/>
        <w:gridCol w:w="781"/>
        <w:gridCol w:w="146"/>
        <w:gridCol w:w="146"/>
        <w:gridCol w:w="211"/>
        <w:gridCol w:w="146"/>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793,000</w:t>
            </w:r>
          </w:p>
        </w:tc>
        <w:tc>
          <w:tcPr>
            <w:tcW w:w="191" w:type="dxa"/>
            <w:tcBorders/>
            <w:shd w:fill="CCEE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2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927"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pPr>
            <w:r>
              <w:rPr/>
              <w:t> </w:t>
            </w:r>
          </w:p>
        </w:tc>
        <w:tc>
          <w:tcPr>
            <w:tcW w:w="927"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pPr>
            <w:r>
              <w:rPr/>
              <w:t> </w:t>
            </w:r>
          </w:p>
        </w:tc>
        <w:tc>
          <w:tcPr>
            <w:tcW w:w="927" w:type="dxa"/>
            <w:gridSpan w:val="2"/>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righ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804,409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Audit Fees.</w:t>
      </w:r>
      <w:r>
        <w:rPr>
          <w:rFonts w:ascii="Times New Roman" w:hAnsi="Times New Roman"/>
          <w:color w:val="000000"/>
          <w:sz w:val="20"/>
        </w:rPr>
        <w:t xml:space="preserve"> Audit fees consist of fees billed for the audit of our annual consolidated financial statements, review of the interim consolidated financial statements, and the review of registration statements.</w:t>
      </w:r>
    </w:p>
    <w:p>
      <w:pPr>
        <w:pStyle w:val="TextBody"/>
        <w:bidi w:val="0"/>
        <w:spacing w:before="60" w:after="120"/>
        <w:jc w:val="left"/>
        <w:rPr>
          <w:rFonts w:ascii="Times New Roman" w:hAnsi="Times New Roman"/>
          <w:sz w:val="20"/>
        </w:rPr>
      </w:pPr>
      <w:r>
        <w:rPr>
          <w:rFonts w:ascii="Times New Roman" w:hAnsi="Times New Roman"/>
          <w:i/>
          <w:color w:val="000000"/>
          <w:sz w:val="20"/>
        </w:rPr>
        <w:t>Tax Fees.</w:t>
      </w:r>
      <w:r>
        <w:rPr>
          <w:rFonts w:ascii="Times New Roman" w:hAnsi="Times New Roman"/>
          <w:color w:val="000000"/>
          <w:sz w:val="20"/>
        </w:rPr>
        <w:t xml:space="preserve"> Tax fees consist of aggregate fees for tax compliance and tax analysis related services.</w:t>
      </w:r>
    </w:p>
    <w:p>
      <w:pPr>
        <w:pStyle w:val="TextBody"/>
        <w:bidi w:val="0"/>
        <w:spacing w:before="60" w:after="240"/>
        <w:jc w:val="left"/>
        <w:rPr>
          <w:rFonts w:ascii="Times New Roman" w:hAnsi="Times New Roman"/>
          <w:sz w:val="20"/>
        </w:rPr>
      </w:pPr>
      <w:r>
        <w:rPr>
          <w:rFonts w:ascii="Times New Roman" w:hAnsi="Times New Roman"/>
          <w:i/>
          <w:color w:val="000000"/>
          <w:sz w:val="20"/>
        </w:rPr>
        <w:t>All Other Fees.</w:t>
      </w:r>
      <w:r>
        <w:rPr>
          <w:rFonts w:ascii="Times New Roman" w:hAnsi="Times New Roman"/>
          <w:color w:val="000000"/>
          <w:sz w:val="20"/>
        </w:rPr>
        <w:t xml:space="preserve"> All other fees consist of fees for accounting research tools.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jc w:val="left"/>
        <w:rPr>
          <w:rFonts w:ascii="Times New Roman" w:hAnsi="Times New Roman"/>
          <w:color w:val="000000"/>
          <w:sz w:val="20"/>
        </w:rPr>
      </w:pPr>
      <w:r>
        <w:rPr>
          <w:rFonts w:ascii="Times New Roman" w:hAnsi="Times New Roman"/>
          <w:color w:val="000000"/>
          <w:sz w:val="20"/>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3" w:name="report_of_the_audit_committee"/>
      <w:bookmarkEnd w:id="13"/>
      <w:r>
        <w:rPr>
          <w:rFonts w:ascii="Times New Roman" w:hAnsi="Times New Roman"/>
          <w:b/>
          <w:caps/>
          <w:color w:val="000000"/>
          <w:sz w:val="20"/>
        </w:rPr>
        <w:t>REPORT OF THE AUDIT COMMITTEE</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committee's general role is to assist the Board in monitoring our financial reporting process and related matters. Its specific responsibilities are set forth in its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the Company's consolidated financial statements for 2023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discussions, the financial statement review and other matters it deemed relevant, the audit committee recommended to the Board that the Company's audited consolidated financial statements for 2023 be included in its Annual Report on Form 10-K for the fiscal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Audit Committee of the Board of Directors of Tango Therapeutics, Inc.</w:t>
      </w:r>
    </w:p>
    <w:p>
      <w:pPr>
        <w:pStyle w:val="TextBody"/>
        <w:bidi w:val="0"/>
        <w:jc w:val="left"/>
        <w:rPr>
          <w:rFonts w:ascii="Times New Roman" w:hAnsi="Times New Roman"/>
          <w:i/>
          <w:color w:val="000000"/>
          <w:sz w:val="20"/>
        </w:rPr>
      </w:pPr>
      <w:r>
        <w:rPr>
          <w:rFonts w:ascii="Times New Roman" w:hAnsi="Times New Roman"/>
          <w:i/>
          <w:color w:val="000000"/>
          <w:sz w:val="20"/>
        </w:rPr>
        <w:t>Lesley Ann Calhoun (Chairperson)</w:t>
      </w:r>
    </w:p>
    <w:p>
      <w:pPr>
        <w:pStyle w:val="TextBody"/>
        <w:bidi w:val="0"/>
        <w:jc w:val="left"/>
        <w:rPr>
          <w:rFonts w:ascii="Times New Roman" w:hAnsi="Times New Roman"/>
          <w:i/>
          <w:color w:val="000000"/>
          <w:sz w:val="20"/>
        </w:rPr>
      </w:pPr>
      <w:r>
        <w:rPr>
          <w:rFonts w:ascii="Times New Roman" w:hAnsi="Times New Roman"/>
          <w:i/>
          <w:color w:val="000000"/>
          <w:sz w:val="20"/>
        </w:rPr>
        <w:t>Kanishka Pothula</w:t>
      </w:r>
    </w:p>
    <w:p>
      <w:pPr>
        <w:pStyle w:val="TextBody"/>
        <w:bidi w:val="0"/>
        <w:jc w:val="left"/>
        <w:rPr>
          <w:rFonts w:ascii="Times New Roman" w:hAnsi="Times New Roman"/>
          <w:i/>
          <w:color w:val="000000"/>
          <w:sz w:val="20"/>
        </w:rPr>
      </w:pPr>
      <w:r>
        <w:rPr>
          <w:rFonts w:ascii="Times New Roman" w:hAnsi="Times New Roman"/>
          <w:i/>
          <w:color w:val="000000"/>
          <w:sz w:val="20"/>
        </w:rPr>
        <w:t>Alexis Borisy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4" w:name="proposal_3"/>
      <w:bookmarkEnd w:id="14"/>
      <w:r>
        <w:rPr>
          <w:rFonts w:ascii="Times New Roman" w:hAnsi="Times New Roman"/>
          <w:b/>
          <w:caps/>
          <w:color w:val="000000"/>
          <w:sz w:val="20"/>
        </w:rPr>
        <w:t>PROPOSAL NO. 3 – APPROVAL OF AMENDMENT TO OUR Second AMENDED AND RESTATED CERTIFICATE OF INCORPORATION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Background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State of Delaware, which is Tango’s state of incorporation, enacted legislation that enables Delaware companies to limit the liability of certain officers in limited circumstances under Section 102(b)(7) of the Delaware General Corporation Law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believes it is important to provide protection from certain liabilities and expenses that may discourage prospective or current officers from serving corporations. In the absence of such protection, qualified officers might be deterred from serving as officers due to exposure to personal liability and the risk that substantial expense will be incurred in defending lawsuits, regardless of merit. In particular, the board of directors took into account the narrow class and type of claims that such officers would be exculpated from liability pursuant to amended DGCL Section 102(b)(7), the limited number of our officers that would be impacted, and the benefits the board of directors believes would accrue to the Company by providing exculpation in accordance with DGCL Section 102(b)(7), including, without limitation, the ability to attract and retain key officers and the potential to reduce litigation costs associated with frivolous lawsuits.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balanced these considerations with our corporate governance guidelines and practices and determined that it is advisable and in the best interests of the Company and our stockholders to adopt an amendment to add Article XI to our certificate of incorporation, in order to permit limitation of liability of officers of the Company as and to the extent provided by DGCL Section 102(b)(7). We refer to this proposed amendment to our certificate of incorporation as the “Charter Amendment” in this proxy statement.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Text of Proposed Charter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ensure we are able to attract and retain key officers and in an effort to reduce litigation costs associated with frivolous lawsuits, we propose to adopt Article XI so that it would state in its entirety as follows: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Charter Amendment is attached as Appendix A to this proxy statement.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Reasons for the Proposed Charter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of directors believes it is appropriate for public companies in states that allow exculpation of officers to have exculpation clauses in their certificates of incorporation. The nature of the role of directors and officers often requires them to make decisions on crucial matters. Frequently, directors and officers must make decisions in response to time-sensitive opportunities and challenges,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of Tango.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reasons stated above, on March 27, 2024, the board of directors determined that the proposed Charter Amendment is advisable and in the best interest of Tango and our stockholders and authorized and approved the proposed Charter Amendment and directed that it be considered at the Annual Meeting. The board of directors believes the proposed Charter Amendment would better position Tango to attract top officer candidates and retain our current officers and enable the officers to exercise their business judgment in furtherance of the interests of the stockholders without the potential for distraction posed by the risk of personal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Charter Amendment is not being proposed in response to any specific resignation, threat of resignation or refusal to serve by any officer.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Timing and Effect of the Charter Amendment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addition of Article XI,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of 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of this proposal requires the affirmative vote by the majority of the outstanding shares of capital stock entitled to vote on the matter. You may vote “FOR,” “AGAINST” or “ABSTAIN” from voting on this proposal. Abstentions and broker “non-votes,” if any, will be counted as votes against this proposal.</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Recommends Voting “For” Proposal 3 to Approve the Amendment to our Second Amended and Restated Certificate of Incorporation.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5" w:name="security_ownership_of_certain_beneficial"/>
      <w:bookmarkEnd w:id="15"/>
      <w:r>
        <w:rPr>
          <w:rFonts w:ascii="Times New Roman" w:hAnsi="Times New Roman"/>
          <w:b/>
          <w:caps/>
          <w:color w:val="000000"/>
          <w:sz w:val="20"/>
        </w:rPr>
        <w:t>SECURITY OWNERSHIP OF CERTAIN BENEFICIAL OWNERS AND MANAGEMENT</w:t>
      </w:r>
      <w:r>
        <w:rPr>
          <w:rFonts w:ascii="Times New Roman" w:hAnsi="Times New Roman"/>
          <w:caps/>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to the extent known by us or ascertainable from public filings, with respect to the beneficial ownership of our common stock as of April 1, 2024 by:</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person, or group of affiliated persons, known by us to be the beneficial owner of more than 5% of Tango’s outstanding common stock;</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of Tango’s named executive officers and directors;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of Tango’s executive officers and directors as a group.</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restricted stock or RSU awards, within 60 days of April 1, 2024. Shares subject to RSU awards that vest within 60 days of April 1, 2024, are considered outstanding and beneficially owned by the person holding such options or restricted stock or restricted stock unit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106,730,785 shares of common stock outstanding as of April 1, 2024.</w:t>
      </w:r>
    </w:p>
    <w:tbl>
      <w:tblPr>
        <w:tblW w:w="7973" w:type="dxa"/>
        <w:jc w:val="left"/>
        <w:tblInd w:w="0" w:type="dxa"/>
        <w:tblLayout w:type="fixed"/>
        <w:tblCellMar>
          <w:top w:w="28" w:type="dxa"/>
          <w:left w:w="28" w:type="dxa"/>
          <w:bottom w:w="28" w:type="dxa"/>
          <w:right w:w="28" w:type="dxa"/>
        </w:tblCellMar>
      </w:tblPr>
      <w:tblGrid>
        <w:gridCol w:w="4966"/>
        <w:gridCol w:w="146"/>
        <w:gridCol w:w="178"/>
        <w:gridCol w:w="178"/>
        <w:gridCol w:w="1264"/>
        <w:gridCol w:w="146"/>
        <w:gridCol w:w="146"/>
        <w:gridCol w:w="146"/>
        <w:gridCol w:w="146"/>
        <w:gridCol w:w="466"/>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4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M.D.(1)</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Beckman(2)</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859,424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Borisy(3)</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M.D.(4)</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186,395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Calhoun(5)</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M.D.(6)</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Ketchum(7)</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Ph.D.(8)</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Huang, Ph.D.(9)</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Pothula(10)</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Officers and Directors as a group (11 individuals)</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Stockholders:</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4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12"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Rock Ventures IV, L.P.(11)</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Boxer Capital, LLC(12)</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15,187,092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EcoR1 Capital, LLC(13)</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FMR LLC(14)</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8,601,773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shd w:fill="CCEEFF"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Nextech Invest, Ltd.(15)</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FFFFFF" w:val="clear"/>
            <w:vAlign w:val="center"/>
          </w:tcPr>
          <w:p>
            <w:pPr>
              <w:pStyle w:val="TableContents"/>
              <w:bidi w:val="0"/>
              <w:spacing w:before="0" w:after="283"/>
              <w:jc w:val="left"/>
              <w:rPr/>
            </w:pPr>
            <w:r>
              <w:rPr/>
              <w:t> </w:t>
            </w:r>
          </w:p>
        </w:tc>
      </w:tr>
      <w:tr>
        <w:trPr/>
        <w:tc>
          <w:tcPr>
            <w:tcW w:w="4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Southpoint Capital Advisors LP(16)</w:t>
            </w:r>
          </w:p>
        </w:tc>
        <w:tc>
          <w:tcPr>
            <w:tcW w:w="14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5,276,699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Less than one percent.</w:t>
      </w:r>
    </w:p>
    <w:p>
      <w:pPr>
        <w:pStyle w:val="TextBody"/>
        <w:bidi w:val="0"/>
        <w:jc w:val="left"/>
        <w:rPr>
          <w:rFonts w:ascii="Times New Roman" w:hAnsi="Times New Roman"/>
          <w:color w:val="000000"/>
          <w:sz w:val="20"/>
        </w:rPr>
      </w:pPr>
      <w:r>
        <w:rPr>
          <w:rFonts w:ascii="Times New Roman" w:hAnsi="Times New Roman"/>
          <w:color w:val="000000"/>
          <w:sz w:val="20"/>
        </w:rPr>
        <w:t>(1) Consists of 1,397,440 shares of common stock and options to purchase 2,763,954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(2) Consists of 74,814 shares of common stock and options to purchase 784,610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(3) Consists of options to purchase 198,963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(4) Consists of options to purchase 186,395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(5) Consists of options to purchase 134,732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(6) Consists of options to purchase 134,732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(7) Consists of options to purchase 15,000 shares of common stock exercisable within 60 days of April 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(8) Consists of 27,084 shares of common stock and options to purchase 152,343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(9) Consists of 333,327 shares of common stock and options to purchase 476,916 shares of common stock exercisable within 60 days of April 1, 2024.</w:t>
      </w:r>
    </w:p>
    <w:p>
      <w:pPr>
        <w:pStyle w:val="TextBody"/>
        <w:bidi w:val="0"/>
        <w:jc w:val="left"/>
        <w:rPr>
          <w:rFonts w:ascii="Times New Roman" w:hAnsi="Times New Roman"/>
          <w:color w:val="000000"/>
          <w:sz w:val="20"/>
        </w:rPr>
      </w:pPr>
      <w:r>
        <w:rPr>
          <w:rFonts w:ascii="Times New Roman" w:hAnsi="Times New Roman"/>
          <w:color w:val="000000"/>
          <w:sz w:val="20"/>
        </w:rPr>
        <w:t>(10) Mr. Pothula has waived all equity or cash compensation for service as a non-employee director.</w:t>
      </w:r>
    </w:p>
    <w:p>
      <w:pPr>
        <w:pStyle w:val="TextBody"/>
        <w:bidi w:val="0"/>
        <w:jc w:val="left"/>
        <w:rPr>
          <w:rFonts w:ascii="Times New Roman" w:hAnsi="Times New Roman"/>
          <w:color w:val="000000"/>
          <w:sz w:val="20"/>
        </w:rPr>
      </w:pPr>
      <w:r>
        <w:rPr>
          <w:rFonts w:ascii="Times New Roman" w:hAnsi="Times New Roman"/>
          <w:color w:val="000000"/>
          <w:sz w:val="20"/>
        </w:rPr>
        <w:t>(11) This information is solely based on a Form 4 filed by Third Rock Ventures IV, L.P. (“TRV IV”), Third Rock Ventures GP IV, L.P. (“TRV GP IV”) and TRV GP IV, LLC (“TRV GP IV LLC”, and collectively with TRV IV and TRV GP IV, the “Reporting Persons”) with the SEC on February 21, 2024.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The address for each of the Reporting Persons is 201 Brookline Ave, Suite 1401, Boston, MA 02215.</w:t>
      </w:r>
    </w:p>
    <w:p>
      <w:pPr>
        <w:pStyle w:val="TextBody"/>
        <w:bidi w:val="0"/>
        <w:jc w:val="left"/>
        <w:rPr>
          <w:rFonts w:ascii="Times New Roman" w:hAnsi="Times New Roman"/>
          <w:color w:val="000000"/>
          <w:sz w:val="20"/>
        </w:rPr>
      </w:pPr>
      <w:r>
        <w:rPr>
          <w:rFonts w:ascii="Times New Roman" w:hAnsi="Times New Roman"/>
          <w:color w:val="000000"/>
          <w:sz w:val="20"/>
        </w:rPr>
        <w:t>(12) This information is solely based on Form 4/A filed October 17, 2023 and a Schedule 13D filed by Boxer Capital, LLC (“Boxer Capital”), Boxer Asset Management Inc. (“Boxer Management”), Joe Lewis, Aaron Davis, BCTG Holdings, LLC (“BCTG Holdings”), MVA Investors, LLC (“MVA Investors”), Braslyn Ltd. (“Braslyn”, together with Boxer Capital, Boxer Management, Joe Lewis, BCTG Holdings, MVA Investors and Aaron Davis, the “Reporting Persons”) with the SEC on October 18, 2023. Consists of 6,988,450 shares beneficially owned by BCTG Holdings, 8,198,642 shares beneficially owned by Boxer Capital and Boxer Management, 26,961 shares beneficially owned by Braslyn, 693,524 shares beneficially owned by MVA Investors, 15,214,053 shares beneficially owned by Joe Lewis and 748,524 shares beneficially owned by Aaron Davis. Boxer Capital, Boxer Management, and Joseph Lewis share voting and dispositive power over the shares held by Boxer Capital, and Aaron Davis has shared voting and dispositive power over the shares owned by MVA.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 The principal business address of Boxer Management, Braslyn and Joe Lewis is: c/o Cay House P.O. Box N-7776 E.P. Taylor Drive Lyford Cay, New Providence, Bahamas. Aaron Davis serves as the Chief Executive Officer of MVA Investors. A board consisting of Aaron Davis, Christopher Fuglesang and Andrew Ellis makes voting and dispositive decisions with respect to securities owned by BCTG Holdings. Each of Aaron Davis, Christopher Fuglesang and Andrew Ellis disclaims any pecuniary interest in BCTG Holdings except to the extent of his beneficial interest in the securities owned by BCTG Holdings.</w:t>
      </w:r>
    </w:p>
    <w:p>
      <w:pPr>
        <w:pStyle w:val="TextBody"/>
        <w:bidi w:val="0"/>
        <w:jc w:val="left"/>
        <w:rPr>
          <w:rFonts w:ascii="Times New Roman" w:hAnsi="Times New Roman"/>
          <w:color w:val="000000"/>
          <w:sz w:val="20"/>
        </w:rPr>
      </w:pPr>
      <w:r>
        <w:rPr>
          <w:rFonts w:ascii="Times New Roman" w:hAnsi="Times New Roman"/>
          <w:color w:val="000000"/>
          <w:sz w:val="20"/>
        </w:rPr>
        <w:t>(13) This information is solely based on a Schedule 13G filed by EcoR1 Capital, LLC (“EcoR1”), EcoR1 Capital Fund Qualified, L.P. (“EcoR1 Capital”) and Oleg Nodelman (collectively, the “Reporting Persons”) with the SEC on October 16, 2023. The general partner of EcoR1 Capital is EcoR1. The manager of EcoR1 is Oleg Nodelman. The address for each Reporting Persons is 357 Tehama Street #3, San Francisco, CA 94103.</w:t>
      </w:r>
    </w:p>
    <w:p>
      <w:pPr>
        <w:pStyle w:val="TextBody"/>
        <w:bidi w:val="0"/>
        <w:jc w:val="left"/>
        <w:rPr>
          <w:rFonts w:ascii="Times New Roman" w:hAnsi="Times New Roman"/>
          <w:color w:val="000000"/>
          <w:sz w:val="20"/>
        </w:rPr>
      </w:pPr>
      <w:r>
        <w:rPr>
          <w:rFonts w:ascii="Times New Roman" w:hAnsi="Times New Roman"/>
          <w:color w:val="000000"/>
          <w:sz w:val="20"/>
        </w:rPr>
        <w:t>(14) This information is solely based on a Schedule 13G/A filed by FMR LLC and its affiliates with the SEC on February 9, 2024, which reported ownership as of December 29, 2023. The address for FMR LLC is 245 Summer Street, Boston, MA 02210.</w:t>
      </w:r>
    </w:p>
    <w:p>
      <w:pPr>
        <w:pStyle w:val="TextBody"/>
        <w:bidi w:val="0"/>
        <w:jc w:val="left"/>
        <w:rPr>
          <w:rFonts w:ascii="Times New Roman" w:hAnsi="Times New Roman"/>
          <w:color w:val="000000"/>
          <w:sz w:val="20"/>
        </w:rPr>
      </w:pPr>
      <w:r>
        <w:rPr>
          <w:rFonts w:ascii="Times New Roman" w:hAnsi="Times New Roman"/>
          <w:color w:val="000000"/>
          <w:sz w:val="20"/>
        </w:rPr>
        <w:t>(15) This information is solely based on a Schedule 13G filed by Nextech Crossover I SCSp (“Nextech”), Nextech Crossover I GP S. à r.l. (“Nextech S. à r.l.”), Ian Charoub, Costas Constantinides and Rocco Sgobbo (collectively with Nextech and Nextech S. à r.l., the “Reporting Persons”) with the SEC on August 21, 2023. The general partner of Nextech is Nextech S. à r.l. Ian Charoub, Costas Constantinides and Rocco Sgobbo are members of the board of managers of Nextech S. à r.l. and share voting and dispositive power over the shares held by Nextech, and may be deemed to own beneficially the shares held by Nextech. The address for each of the Reporting Persons is 8 rue Lou Hemmer L-1748 Luxembourg-Findel Grand-Duché de Luxembourg.</w:t>
      </w:r>
    </w:p>
    <w:p>
      <w:pPr>
        <w:pStyle w:val="TextBody"/>
        <w:bidi w:val="0"/>
        <w:jc w:val="left"/>
        <w:rPr>
          <w:rFonts w:ascii="Times New Roman" w:hAnsi="Times New Roman"/>
          <w:color w:val="000000"/>
          <w:sz w:val="20"/>
        </w:rPr>
      </w:pPr>
      <w:r>
        <w:rPr>
          <w:rFonts w:ascii="Times New Roman" w:hAnsi="Times New Roman"/>
          <w:color w:val="000000"/>
          <w:sz w:val="20"/>
        </w:rPr>
        <w:t>(16) This information is solely based on a Schedule 13G/A filed by Southpoint Master Fund, LP, Southpoint Capital Advisors LP, Southpoint Capital Advisors LLC, Southpoint GP, LP, Southpoint GP, LLC and John S. Clark II (collectively, "Southpoint”) with the SEC on February 14, 2024. The general partners of Southpoint Master Fund, LP are Southpoint GP, LP and Southpoint GP, LLC. The general partner of Southpoint Capital Advisors LP is Southpoint Capital Advisors LLC. John S. Clark II is the managing member of Southpoint GP, LP, Southpoint Capital Advisors LLC and Southpoint GP, LLC. The address for Southpoint is 1114 Avenue of the Americas, 22nd Floor, New York, NY 10036.</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certain_relationships_and_related_party"/>
      <w:bookmarkEnd w:id="16"/>
      <w:r>
        <w:rPr>
          <w:rFonts w:ascii="Times New Roman" w:hAnsi="Times New Roman"/>
          <w:b/>
          <w:caps/>
          <w:color w:val="000000"/>
          <w:sz w:val="20"/>
        </w:rPr>
        <w:t>CERTAIN RELATIONSHIPS AND RELATED PARTY TRANSACTIONS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compensation agreements and other arrangements described under the sections entitled “Executive Compensation” and “Director Compensation” in this proxy statement and the transactions described below, since January 1, 2023, there has not been and there is not currently proposed, any transaction or series of similar transactions to which:</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were, or will be, a participant;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amount involved exceeded, or will exceed, $120,000;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which any director, executive officer, holder of 5% or more of any class of our capital stock or any member of the immediate family of, or entities affiliated with, any of the foregoing persons,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PIPE Financing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10, 2023, we entered into a securities purchase agreement with a select group of institutional and accredited healthcare specialist investors for the private placement of 13,196,671 shares of common stock at a price of $5.15 per share and pre-funded warrants to purchase 2,340,579 shares of common stock at a purchase price of $5.1499 per pre-funded warrant, resulting in gross proceeds of $80.0 million (the “PIPE Financing”). The participating investors included Boxer Capital, LLC, MVA Investors, LLC (an affiliate of Boxer Capital, LLC) and Third Rock Ventures VI, L.P., preexisting stockholders who, together with other affiliated entities, beneficially owned in excess of 5% of our issued and outstanding shares of common stock prior to completion of the PIPE Financing. Boxer Capital, LLC obtained pre-funded warrants to purchase 2,340,579 shares of common stock (the “Pre-Funded Warrants”), MVA Investors, LLC purchased 475,000 shares of common stock and Third Rock Ventures VI, L.P. purchased 194,174 shares of common stock. The Pre-Funded Warrants will have an exercise price of $0.0001 per share of common stock and may not be exercised if the aggregate number of shares of common stock beneficially owned by the holder thereof (together with its affiliates) would exceed the specified percentage cap provided therein (which may be adjusted upon 61 days advance notice) immediately after exercise thereof. Aaron Davis was a member of our board of directors at the time of the PIPE Financing and is Chief Executive Officer of MVA Investors, LLC. Dr. Reid Huber was a member of our board of directors at the time of the PIPE Financing and is a partner at Third Rock Ventures, LLC.</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pStyle w:val="TextBody"/>
        <w:bidi w:val="0"/>
        <w:spacing w:before="0" w:after="240"/>
        <w:jc w:val="left"/>
        <w:rPr>
          <w:rFonts w:ascii="Times New Roman" w:hAnsi="Times New Roman"/>
          <w:sz w:val="20"/>
        </w:rPr>
      </w:pPr>
      <w:r>
        <w:rPr>
          <w:rFonts w:ascii="Times New Roman" w:hAnsi="Times New Roman"/>
          <w:b/>
          <w:color w:val="000000"/>
          <w:sz w:val="20"/>
        </w:rPr>
        <w:t>Sublease and Services Arrangement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August 2023, we began subleasing a portion of our office and laboratory space at 201 Brookline Avenue, Boston, MA, and providing certain related services to Sesame Therapeutics, Inc., of which, Dr. Alan Huang, a former officer of the Company, is a founder, officer and director. Tango received an equity stake in Sesame in exchange for providing space and resources for the early phases of company development within Tango.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Policies for Approval of Related Party Transactions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Policies and Procedures for Related Party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adopted a written related person transaction policy that sets forth the following policies and procedures for the review and approval or ratification of related person transactions.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person who is, or at any time during the applicable period was, one of our officers, directors or director nominee;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person who is known by us to be the beneficial owner of more than 5% of our voting stock;</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7" w:name="additional_information"/>
      <w:bookmarkEnd w:id="17"/>
      <w:r>
        <w:rPr>
          <w:rFonts w:ascii="Times New Roman" w:hAnsi="Times New Roman"/>
          <w:b/>
          <w:caps/>
          <w:color w:val="000000"/>
          <w:sz w:val="20"/>
        </w:rPr>
        <w:t>ADDITIONAL INFORMATION AND OTHER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stockholder who would like to have a proposal considered for inclusion in our 2025 proxy statement must submit the proposal in accordance with the procedures outlined in Rule 14a-8 of the Exchange Act so that it is received by us no later than December 30, 2024.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2025. However, if the date of the 2025 Annual Meeting of Stockholders is changed by more than 30 days from the date of the previous year’s meeting, then the deadline is a reasonable time before we begin to print and send our proxy statement for the 2025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2025 Annual Meeting of Stockholders, the required notice must be received by our Corporate Secretary at our principal executive offices no earlier than February 5, 2025 and no later than March 7, 2025. Stockholder proposals and the required notice should be addressed to Tango Therapeutics, Inc., 201 Brookline Avenue, Suite 901, Boston, Massachusetts 02215, Attention: Corporate Secretary.</w:t>
      </w:r>
    </w:p>
    <w:p>
      <w:pPr>
        <w:pStyle w:val="TextBody"/>
        <w:bidi w:val="0"/>
        <w:spacing w:before="240" w:after="283"/>
        <w:jc w:val="left"/>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color w:val="000000"/>
          <w:sz w:val="22"/>
          <w:u w:val="single"/>
        </w:rPr>
      </w:pPr>
      <w:bookmarkStart w:id="18" w:name="appendix_a"/>
      <w:bookmarkEnd w:id="18"/>
      <w:r>
        <w:rPr>
          <w:rFonts w:ascii="Times New Roman" w:hAnsi="Times New Roman"/>
          <w:color w:val="000000"/>
          <w:sz w:val="22"/>
          <w:u w:val="single"/>
        </w:rPr>
        <w:t>Appendix A</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TANGO THERAPEUTICS,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(Pursuant to Section 242 of the</w:t>
      </w:r>
    </w:p>
    <w:p>
      <w:pPr>
        <w:pStyle w:val="TextBody"/>
        <w:bidi w:val="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Tango Therapeutics, Inc., a corporation organized and existing under the laws of the State of Delaware (the “</w:t>
      </w:r>
      <w:r>
        <w:rPr>
          <w:rFonts w:ascii="Times New Roman" w:hAnsi="Times New Roman"/>
          <w:color w:val="000000"/>
          <w:sz w:val="20"/>
          <w:u w:val="single"/>
        </w:rPr>
        <w:t>Corporation</w:t>
      </w:r>
      <w:r>
        <w:rPr>
          <w:rFonts w:ascii="Times New Roman" w:hAnsi="Times New Roman"/>
          <w:color w:val="000000"/>
          <w:sz w:val="20"/>
        </w:rPr>
        <w:t>”), hereby certifies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color w:val="000000"/>
          <w:sz w:val="20"/>
        </w:rPr>
        <w:t>The Corporation was originally incorporated pursuant to the General Corporation Law of the State of Delaware (the “</w:t>
      </w:r>
      <w:r>
        <w:rPr>
          <w:rFonts w:ascii="Times New Roman" w:hAnsi="Times New Roman"/>
          <w:color w:val="000000"/>
          <w:sz w:val="20"/>
          <w:u w:val="single"/>
        </w:rPr>
        <w:t>DGCL</w:t>
      </w:r>
      <w:r>
        <w:rPr>
          <w:color w:val="000000"/>
        </w:rPr>
        <w:t>”</w:t>
      </w:r>
      <w:r>
        <w:rPr>
          <w:rFonts w:ascii="Times New Roman" w:hAnsi="Times New Roman"/>
          <w:color w:val="000000"/>
          <w:sz w:val="20"/>
        </w:rPr>
        <w:t>) on May 21, 2020. An Amended and Restated Certificate of Incorporation was filed with the Secretary of State of the State of Delaware on September 2, 2020 (the “</w:t>
      </w:r>
      <w:r>
        <w:rPr>
          <w:rFonts w:ascii="Times New Roman" w:hAnsi="Times New Roman"/>
          <w:color w:val="000000"/>
          <w:sz w:val="20"/>
          <w:u w:val="single"/>
        </w:rPr>
        <w:t>Charter</w:t>
      </w:r>
      <w:r>
        <w:rPr>
          <w:color w:val="000000"/>
        </w:rPr>
        <w:t>”</w:t>
      </w:r>
      <w:r>
        <w:rPr>
          <w:rFonts w:ascii="Times New Roman" w:hAnsi="Times New Roman"/>
          <w:color w:val="000000"/>
          <w:sz w:val="20"/>
        </w:rPr>
        <w:t>). Pursuant to Section 242 of the DGCL, this Certificate of Amendment (this “</w:t>
      </w:r>
      <w:r>
        <w:rPr>
          <w:rFonts w:ascii="Times New Roman" w:hAnsi="Times New Roman"/>
          <w:color w:val="000000"/>
          <w:sz w:val="20"/>
          <w:u w:val="single"/>
        </w:rPr>
        <w:t>Amendment</w:t>
      </w:r>
      <w:r>
        <w:rPr>
          <w:color w:val="000000"/>
        </w:rPr>
        <w:t>”</w:t>
      </w:r>
      <w:r>
        <w:rPr>
          <w:rFonts w:ascii="Times New Roman" w:hAnsi="Times New Roman"/>
          <w:color w:val="000000"/>
          <w:sz w:val="20"/>
        </w:rPr>
        <w:t>) amends certain provisions of the Charter.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Amendment has been approved and duly adopted by the Corporation’s Board of Directors and stockholders in accordance with the provisions of Section 242 of the DGCL.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is hereby amended by adding a new Article XI to read in its entirety as follows: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rPr>
        <w:t xml:space="preserve">ARTICLE XI.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OFFICER LIMITATION OF LIABILITY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 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w:t>
      </w:r>
      <w:r>
        <w:rPr>
          <w:rFonts w:ascii="Times New Roman" w:hAnsi="Times New Roman"/>
          <w:color w:val="000000"/>
          <w:sz w:val="20"/>
          <w:u w:val="single"/>
        </w:rPr>
        <w:t>Officer</w:t>
      </w:r>
      <w:r>
        <w:rPr>
          <w:rFonts w:ascii="Times New Roman" w:hAnsi="Times New Roman"/>
          <w:color w:val="000000"/>
          <w:sz w:val="20"/>
        </w:rPr>
        <w:t>”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Amendment or Modification</w:t>
      </w:r>
      <w:r>
        <w:rPr>
          <w:rFonts w:ascii="Times New Roman" w:hAnsi="Times New Roman"/>
          <w:color w:val="000000"/>
          <w:sz w:val="20"/>
        </w:rPr>
        <w:t xml:space="preserve">. 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this Amendment, having been duly adopted in accordance with Section 242 of the DGCL, has been duly executed by a duly authorized officer of the Corporation on this [ ] day of [ ],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Tango Therapeutics,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Barbara Weber, M.D.</w:t>
      </w:r>
    </w:p>
    <w:p>
      <w:pPr>
        <w:pStyle w:val="TextBody"/>
        <w:bidi w:val="0"/>
        <w:jc w:val="left"/>
        <w:rPr>
          <w:rFonts w:ascii="Times New Roman" w:hAnsi="Times New Roman"/>
          <w:color w:val="000000"/>
          <w:sz w:val="20"/>
        </w:rPr>
      </w:pPr>
      <w:r>
        <w:rPr>
          <w:rFonts w:ascii="Times New Roman" w:hAnsi="Times New Roman"/>
          <w:color w:val="000000"/>
          <w:sz w:val="20"/>
        </w:rPr>
        <w:t>Title: President and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6438900" cy="813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38900" cy="8134350"/>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791325" cy="8848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791325" cy="884872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30151</Words>
  <Characters>161515</Characters>
  <CharactersWithSpaces>192101</CharactersWithSpaces>
  <Paragraphs>2868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