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278765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142875</wp:posOffset>
            </wp:positionV>
            <wp:extent cx="3840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87"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Tango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87583X109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Josh La Grange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Fried, Frank, Harris, Shriver &amp; Jacobson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801 17th Street, NW, Washington, DC 20006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202-639-7497</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August 11, 2023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firstLine="336"/>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3" w:lineRule="exact"/>
        <w:rPr>
          <w:sz w:val="24"/>
          <w:szCs w:val="24"/>
          <w:color w:val="auto"/>
        </w:rPr>
      </w:pPr>
    </w:p>
    <w:p>
      <w:pPr>
        <w:jc w:val="both"/>
        <w:ind w:right="660" w:firstLine="336"/>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54"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2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7"/>
          </w:tcPr>
          <w:p>
            <w:pPr>
              <w:ind w:left="40"/>
              <w:spacing w:after="0"/>
              <w:rPr>
                <w:sz w:val="20"/>
                <w:szCs w:val="20"/>
                <w:color w:val="auto"/>
              </w:rPr>
            </w:pPr>
            <w:r>
              <w:rPr>
                <w:rFonts w:ascii="Arial" w:cs="Arial" w:eastAsia="Arial" w:hAnsi="Arial"/>
                <w:sz w:val="18"/>
                <w:szCs w:val="18"/>
                <w:color w:val="auto"/>
              </w:rPr>
              <w:t>BCTG Holdings, LLC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94"/>
              </w:rPr>
              <w:t>Delaware</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6,988,450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6,988,450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89"/>
              </w:rPr>
              <w:t>6,988,450</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OO</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3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7"/>
          </w:tcPr>
          <w:p>
            <w:pPr>
              <w:ind w:left="40"/>
              <w:spacing w:after="0"/>
              <w:rPr>
                <w:sz w:val="20"/>
                <w:szCs w:val="20"/>
                <w:color w:val="auto"/>
              </w:rPr>
            </w:pPr>
            <w:r>
              <w:rPr>
                <w:rFonts w:ascii="Arial" w:cs="Arial" w:eastAsia="Arial" w:hAnsi="Arial"/>
                <w:sz w:val="18"/>
                <w:szCs w:val="18"/>
                <w:color w:val="auto"/>
              </w:rPr>
              <w:t>Boxer Capital, LLC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WC</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94"/>
              </w:rPr>
              <w:t>Delaware</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7,123,642</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7,123,642</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89"/>
              </w:rPr>
              <w:t>7,123,642</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OO</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4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7"/>
          </w:tcPr>
          <w:p>
            <w:pPr>
              <w:ind w:left="40"/>
              <w:spacing w:after="0"/>
              <w:rPr>
                <w:sz w:val="20"/>
                <w:szCs w:val="20"/>
                <w:color w:val="auto"/>
              </w:rPr>
            </w:pPr>
            <w:r>
              <w:rPr>
                <w:rFonts w:ascii="Arial" w:cs="Arial" w:eastAsia="Arial" w:hAnsi="Arial"/>
                <w:sz w:val="18"/>
                <w:szCs w:val="18"/>
                <w:color w:val="auto"/>
              </w:rPr>
              <w:t>Boxer Asset Management Inc.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94"/>
              </w:rPr>
              <w:t>Bahamas</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7,123,642</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7,123,642</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89"/>
              </w:rPr>
              <w:t>7,123,642</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CO</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03"/>
        </w:trPr>
        <w:tc>
          <w:tcPr>
            <w:tcW w:w="216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6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5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Braslyn Ltd.</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w w:val="92"/>
              </w:rPr>
              <w:t>Bahamas</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26,961</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26,961</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26,961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4"/>
              </w:rPr>
              <w:t>Less than 0.1%*</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4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6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w w:val="89"/>
              </w:rPr>
              <w:t>Joe Lewis</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6"/>
              </w:rPr>
              <w:t>United Kingdom</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14,139,053</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14,139,053</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14,139,053</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96"/>
              </w:rPr>
              <w:t>13.9%*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IN</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03"/>
        </w:trPr>
        <w:tc>
          <w:tcPr>
            <w:tcW w:w="2160" w:type="dxa"/>
            <w:vAlign w:val="bottom"/>
            <w:tcBorders>
              <w:top w:val="single" w:sz="8" w:color="auto"/>
              <w:left w:val="single" w:sz="8" w:color="auto"/>
            </w:tcBorders>
            <w:gridSpan w:val="5"/>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56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7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7"/>
          </w:tcPr>
          <w:p>
            <w:pPr>
              <w:ind w:left="40"/>
              <w:spacing w:after="0"/>
              <w:rPr>
                <w:sz w:val="20"/>
                <w:szCs w:val="20"/>
                <w:color w:val="auto"/>
              </w:rPr>
            </w:pPr>
            <w:r>
              <w:rPr>
                <w:rFonts w:ascii="Arial" w:cs="Arial" w:eastAsia="Arial" w:hAnsi="Arial"/>
                <w:sz w:val="18"/>
                <w:szCs w:val="18"/>
                <w:color w:val="auto"/>
              </w:rPr>
              <w:t>MVA Investors, LLC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WC</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7"/>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6"/>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743,524</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743,524</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6"/>
              </w:rPr>
              <w:t>743,524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7"/>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03"/>
        </w:trPr>
        <w:tc>
          <w:tcPr>
            <w:tcW w:w="2040" w:type="dxa"/>
            <w:vAlign w:val="bottom"/>
            <w:tcBorders>
              <w:top w:val="single" w:sz="8" w:color="auto"/>
              <w:left w:val="single" w:sz="8" w:color="auto"/>
            </w:tcBorders>
            <w:gridSpan w:val="4"/>
          </w:tcPr>
          <w:p>
            <w:pPr>
              <w:ind w:left="40"/>
              <w:spacing w:after="0" w:line="202" w:lineRule="exact"/>
              <w:rPr>
                <w:sz w:val="20"/>
                <w:szCs w:val="20"/>
                <w:color w:val="auto"/>
              </w:rPr>
            </w:pPr>
            <w:r>
              <w:rPr>
                <w:rFonts w:ascii="Arial" w:cs="Arial" w:eastAsia="Arial" w:hAnsi="Arial"/>
                <w:sz w:val="18"/>
                <w:szCs w:val="18"/>
                <w:b w:val="1"/>
                <w:bCs w:val="1"/>
                <w:color w:val="auto"/>
              </w:rPr>
              <w:t>CUSIP No.: 87583X109</w:t>
            </w:r>
          </w:p>
        </w:tc>
        <w:tc>
          <w:tcPr>
            <w:tcW w:w="68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SCHEDULE 13D</w:t>
            </w:r>
          </w:p>
        </w:tc>
        <w:tc>
          <w:tcPr>
            <w:tcW w:w="250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8"/>
              </w:rPr>
              <w:t>Page 8 of 15 Pages</w:t>
            </w:r>
          </w:p>
        </w:tc>
        <w:tc>
          <w:tcPr>
            <w:tcW w:w="0" w:type="dxa"/>
            <w:vAlign w:val="bottom"/>
          </w:tcPr>
          <w:p>
            <w:pPr>
              <w:spacing w:after="0"/>
              <w:rPr>
                <w:sz w:val="1"/>
                <w:szCs w:val="1"/>
                <w:color w:val="auto"/>
              </w:rPr>
            </w:pPr>
          </w:p>
        </w:tc>
      </w:tr>
      <w:tr>
        <w:trPr>
          <w:trHeight w:val="28"/>
        </w:trPr>
        <w:tc>
          <w:tcPr>
            <w:tcW w:w="98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5"/>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Aaron I. Davis</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gridSpan w:val="5"/>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2</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120" w:type="dxa"/>
            <w:vAlign w:val="bottom"/>
          </w:tcPr>
          <w:p>
            <w:pPr>
              <w:spacing w:after="0"/>
              <w:rPr>
                <w:sz w:val="20"/>
                <w:szCs w:val="20"/>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3</w:t>
            </w:r>
          </w:p>
        </w:tc>
        <w:tc>
          <w:tcPr>
            <w:tcW w:w="420" w:type="dxa"/>
            <w:vAlign w:val="bottom"/>
            <w:tcBorders>
              <w:right w:val="single" w:sz="8" w:color="auto"/>
            </w:tcBorders>
          </w:tcPr>
          <w:p>
            <w:pPr>
              <w:spacing w:after="0"/>
              <w:rPr>
                <w:sz w:val="20"/>
                <w:szCs w:val="20"/>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520" w:type="dxa"/>
            <w:vAlign w:val="bottom"/>
            <w:tcBorders>
              <w:right w:val="single" w:sz="8" w:color="BFBFBF"/>
            </w:tcBorders>
            <w:shd w:val="clear" w:color="auto" w:fill="BFBFBF"/>
          </w:tcPr>
          <w:p>
            <w:pPr>
              <w:spacing w:after="0"/>
              <w:rPr>
                <w:sz w:val="20"/>
                <w:szCs w:val="20"/>
                <w:color w:val="auto"/>
              </w:rPr>
            </w:pPr>
          </w:p>
        </w:tc>
        <w:tc>
          <w:tcPr>
            <w:tcW w:w="2860" w:type="dxa"/>
            <w:vAlign w:val="bottom"/>
            <w:tcBorders>
              <w:right w:val="single" w:sz="8" w:color="BFBFBF"/>
            </w:tcBorders>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11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20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1520" w:type="dxa"/>
            <w:vAlign w:val="bottom"/>
            <w:tcBorders>
              <w:right w:val="single" w:sz="8" w:color="BFBFBF"/>
            </w:tcBorders>
            <w:shd w:val="clear" w:color="auto" w:fill="BFBFBF"/>
          </w:tcPr>
          <w:p>
            <w:pPr>
              <w:spacing w:after="0"/>
              <w:rPr>
                <w:sz w:val="24"/>
                <w:szCs w:val="24"/>
                <w:color w:val="auto"/>
              </w:rPr>
            </w:pPr>
          </w:p>
        </w:tc>
        <w:tc>
          <w:tcPr>
            <w:tcW w:w="2860" w:type="dxa"/>
            <w:vAlign w:val="bottom"/>
            <w:tcBorders>
              <w:right w:val="single" w:sz="8" w:color="BFBFBF"/>
            </w:tcBorders>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11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6880" w:type="dxa"/>
            <w:vAlign w:val="bottom"/>
            <w:tcBorders>
              <w:bottom w:val="single" w:sz="8" w:color="auto"/>
            </w:tcBorders>
            <w:gridSpan w:val="3"/>
            <w:shd w:val="clear" w:color="auto" w:fill="BFBFBF"/>
          </w:tcPr>
          <w:p>
            <w:pPr>
              <w:spacing w:after="0"/>
              <w:rPr>
                <w:sz w:val="23"/>
                <w:szCs w:val="23"/>
                <w:color w:val="auto"/>
              </w:rPr>
            </w:pPr>
          </w:p>
        </w:tc>
        <w:tc>
          <w:tcPr>
            <w:tcW w:w="11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4</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AF</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80" w:type="dxa"/>
            <w:vAlign w:val="bottom"/>
            <w:tcBorders>
              <w:bottom w:val="single" w:sz="8" w:color="auto"/>
            </w:tcBorders>
            <w:gridSpan w:val="6"/>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5</w:t>
            </w:r>
          </w:p>
        </w:tc>
        <w:tc>
          <w:tcPr>
            <w:tcW w:w="420" w:type="dxa"/>
            <w:vAlign w:val="bottom"/>
            <w:tcBorders>
              <w:right w:val="single" w:sz="8" w:color="auto"/>
            </w:tcBorders>
          </w:tcPr>
          <w:p>
            <w:pPr>
              <w:spacing w:after="0"/>
              <w:rPr>
                <w:sz w:val="24"/>
                <w:szCs w:val="24"/>
                <w:color w:val="auto"/>
              </w:rPr>
            </w:pPr>
          </w:p>
        </w:tc>
        <w:tc>
          <w:tcPr>
            <w:tcW w:w="93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3"/>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5"/>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6</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200" w:type="dxa"/>
            <w:vAlign w:val="bottom"/>
            <w:gridSpan w:val="6"/>
          </w:tcPr>
          <w:p>
            <w:pPr>
              <w:ind w:left="40"/>
              <w:spacing w:after="0"/>
              <w:rPr>
                <w:sz w:val="20"/>
                <w:szCs w:val="20"/>
                <w:color w:val="auto"/>
              </w:rPr>
            </w:pPr>
            <w:r>
              <w:rPr>
                <w:rFonts w:ascii="Arial" w:cs="Arial" w:eastAsia="Arial" w:hAnsi="Arial"/>
                <w:sz w:val="18"/>
                <w:szCs w:val="18"/>
                <w:color w:val="auto"/>
              </w:rPr>
              <w:t>United States of America</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50,000</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743,524</w:t>
            </w:r>
          </w:p>
        </w:tc>
        <w:tc>
          <w:tcPr>
            <w:tcW w:w="2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15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4"/>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6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4"/>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50,000</w:t>
            </w: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68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743,524</w:t>
            </w: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305"/>
              <w:spacing w:after="0"/>
              <w:rPr>
                <w:sz w:val="20"/>
                <w:szCs w:val="20"/>
                <w:color w:val="auto"/>
              </w:rPr>
            </w:pPr>
            <w:r>
              <w:rPr>
                <w:rFonts w:ascii="Arial" w:cs="Arial" w:eastAsia="Arial" w:hAnsi="Arial"/>
                <w:sz w:val="32"/>
                <w:szCs w:val="32"/>
                <w:b w:val="1"/>
                <w:bCs w:val="1"/>
                <w:color w:val="auto"/>
                <w:w w:val="84"/>
              </w:rPr>
              <w:t>11</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6"/>
              </w:rPr>
              <w:t>793,524</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12</w:t>
            </w:r>
          </w:p>
        </w:tc>
        <w:tc>
          <w:tcPr>
            <w:tcW w:w="420" w:type="dxa"/>
            <w:vAlign w:val="bottom"/>
            <w:tcBorders>
              <w:right w:val="single" w:sz="8" w:color="auto"/>
            </w:tcBorders>
          </w:tcPr>
          <w:p>
            <w:pPr>
              <w:spacing w:after="0"/>
              <w:rPr>
                <w:sz w:val="13"/>
                <w:szCs w:val="13"/>
                <w:color w:val="auto"/>
              </w:rPr>
            </w:pPr>
          </w:p>
        </w:tc>
        <w:tc>
          <w:tcPr>
            <w:tcW w:w="820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8200" w:type="dxa"/>
            <w:vAlign w:val="bottom"/>
            <w:gridSpan w:val="6"/>
            <w:vMerge w:val="continue"/>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980" w:type="dxa"/>
            <w:vAlign w:val="bottom"/>
            <w:vMerge w:val="continue"/>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13</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0.8%*</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3"/>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80" w:type="dxa"/>
            <w:vAlign w:val="bottom"/>
            <w:vMerge w:val="restart"/>
          </w:tcPr>
          <w:p>
            <w:pPr>
              <w:jc w:val="center"/>
              <w:ind w:left="285"/>
              <w:spacing w:after="0"/>
              <w:rPr>
                <w:sz w:val="20"/>
                <w:szCs w:val="20"/>
                <w:color w:val="auto"/>
              </w:rPr>
            </w:pPr>
            <w:r>
              <w:rPr>
                <w:rFonts w:ascii="Arial" w:cs="Arial" w:eastAsia="Arial" w:hAnsi="Arial"/>
                <w:sz w:val="32"/>
                <w:szCs w:val="32"/>
                <w:b w:val="1"/>
                <w:bCs w:val="1"/>
                <w:color w:val="auto"/>
                <w:w w:val="89"/>
              </w:rPr>
              <w:t>14</w:t>
            </w:r>
          </w:p>
        </w:tc>
        <w:tc>
          <w:tcPr>
            <w:tcW w:w="420" w:type="dxa"/>
            <w:vAlign w:val="bottom"/>
            <w:tcBorders>
              <w:right w:val="single" w:sz="8" w:color="auto"/>
            </w:tcBorders>
          </w:tcPr>
          <w:p>
            <w:pPr>
              <w:spacing w:after="0"/>
              <w:rPr>
                <w:sz w:val="20"/>
                <w:szCs w:val="20"/>
                <w:color w:val="auto"/>
              </w:rPr>
            </w:pPr>
          </w:p>
        </w:tc>
        <w:tc>
          <w:tcPr>
            <w:tcW w:w="820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ind w:firstLine="648"/>
        <w:spacing w:after="0" w:line="272" w:lineRule="auto"/>
        <w:rPr>
          <w:sz w:val="20"/>
          <w:szCs w:val="20"/>
          <w:color w:val="auto"/>
        </w:rPr>
      </w:pPr>
      <w:r>
        <w:rPr>
          <w:rFonts w:ascii="Arial" w:cs="Arial" w:eastAsia="Arial" w:hAnsi="Arial"/>
          <w:sz w:val="17"/>
          <w:szCs w:val="17"/>
          <w:color w:val="auto"/>
        </w:rPr>
        <w:t>This Amendment No. 2 (“Amendment No. 2”) amends and supplements the amended statement on Schedule 13D (“Amendment No. 1”) filed on January 4, 2022 by Boxer Capital, LLC (“Boxer Capital”), Boxer Asset Management Inc. (“Boxer Management”), Joe Lewis, MVA Investors, LLC (“MVA Investors”), Aaron I. Davis, BCTG Holdings, LLC (“BCTG Holdings”), and, as its original filing on Schedule 13D regarding the Issuer, Braslyn Ltd. (“Braslyn) (together, the “Reporting Persons”), which, in respect of the Reporting Persons other than Braslyn, amended and supplemented the original statement on Schedule 13D filed by them on August 20, 2021 (as previously amended, the “Original Filing”). The Original Filing remains in effect except to the extent that it is amended, restated or superseded by information contained in this Amendment No. 2. Capitalized terms used and not defined in this Amendment No. 2 have the meanings set forth in the Original Filing.</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is hereby amended to add the following:</w:t>
      </w:r>
    </w:p>
    <w:p>
      <w:pPr>
        <w:spacing w:after="0" w:line="21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On August 11, 2023, MVA Investors, using funds on hand, purchased 475,000 shares of Common Stock at a price of $5.15 per share from the Issuer in a private placement for an aggregate purchase price of $2,446,250, pursuant to a securities purchase agreement dated August 10, 2023 (“Private Placement”). In connection with the Private Placement, Boxer Capital purchased 2,340,579 prefunded warrants (the “Prefunded Warrants”) at a cash purchase price of $5.1499 per each Prefunded Warrant for an aggregate purchase price of $12,053,747.79. The Prefunded Warrants have an exercise price of $0.0001 per share of Common Stock and are immediately exercisable and remain exercisable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Prefunded Warrants are subject to a limitation (the “Blocker”) that prohibits the Reporting Persons from exercising the Prefunded Warrants if the result would cause their aggregate beneficial ownership of Common Stock to exceed 9.99% of the Common Stock then outstanding. As a result of the Blocker, the Prefunded Warrants cannot now be exercised by the Reporting Persons and do not give them beneficial ownership of shares of Common Stock.</w:t>
      </w:r>
    </w:p>
    <w:p>
      <w:pPr>
        <w:spacing w:after="0" w:line="1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is hereby amended to add the following:</w:t>
      </w:r>
    </w:p>
    <w:p>
      <w:pPr>
        <w:spacing w:after="0" w:line="21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Pursuant to the Private Placement, MVA Investors purchased 475,000 shares of Common Stock at a price of $5.15 per share for an aggregate purchase price of $2,446,250. In connection with the Private Placement, Boxer Capital purchased 2,340,579 prefunded warrants (the “Prefunded Warrants”) at a purchase price of $5.1499 per each Prefunded Warrant for an aggregate purchase price of $12,053,747.79. The Prefunded Warrants have an exercise price of $0.0001 per share of Common Stock and are immediately exercisable and remain exercisable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Prefunded Warrants are subject to the Blocker. As a result of the Blocker, the Prefunded Warrants cannot now be exercised by the Reporting Persons and do not give them beneficial ownership of shares of Common Stock.</w:t>
      </w:r>
    </w:p>
    <w:p>
      <w:pPr>
        <w:spacing w:after="0" w:line="1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is hereby amended and restated as follows:</w:t>
      </w:r>
    </w:p>
    <w:p>
      <w:pPr>
        <w:spacing w:after="0" w:line="21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All percentages are based on 101,663,940 shares of the Issuer’s Common Stock outstanding, which is the sum of (i) </w:t>
      </w:r>
      <w:r>
        <w:rPr>
          <w:rFonts w:ascii="Arial" w:cs="Arial" w:eastAsia="Arial" w:hAnsi="Arial"/>
          <w:sz w:val="14"/>
          <w:szCs w:val="14"/>
          <w:color w:val="auto"/>
        </w:rPr>
        <w:t>88,467,269</w:t>
      </w:r>
      <w:r>
        <w:rPr>
          <w:rFonts w:ascii="Arial" w:cs="Arial" w:eastAsia="Arial" w:hAnsi="Arial"/>
          <w:sz w:val="16"/>
          <w:szCs w:val="16"/>
          <w:color w:val="auto"/>
        </w:rPr>
        <w:t xml:space="preserve"> shares of the Common Stock outstanding as of August 2, 2023 as set forth in the Issuer’s Quarterly Report on Form 10-Q filed with the SEC on August 7, 2023, and (ii) 13,196,671 shares of Common Stock issued in the Private Placement as set forth in the Issuer’s Form 8-K filed with the SEC on August 10, 2023.</w:t>
      </w:r>
    </w:p>
    <w:p>
      <w:pPr>
        <w:spacing w:after="0" w:line="135" w:lineRule="exact"/>
        <w:rPr>
          <w:sz w:val="20"/>
          <w:szCs w:val="20"/>
          <w:color w:val="auto"/>
        </w:rPr>
      </w:pPr>
    </w:p>
    <w:p>
      <w:pPr>
        <w:ind w:right="440" w:firstLine="656"/>
        <w:spacing w:after="0" w:line="277" w:lineRule="auto"/>
        <w:tabs>
          <w:tab w:leader="none" w:pos="149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Persons may be deemed to beneficially own, in the aggregate, 14,932,577 shares of Common Stock, representing 14.7% of the outstanding shares of Common Stock.</w:t>
      </w:r>
    </w:p>
    <w:p>
      <w:pPr>
        <w:spacing w:after="0" w:line="14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BCTG Holdings beneficially owns 6,988,450 shares of Common Stock which represents 6.9% of the outstanding Common Stock. Boxer Capital and Boxer Management beneficially own 7,123,642 shares of Common Stock which represents 7.0% of the outstanding Common Stock. Braslyn beneficially owns 26,961 shares of Common Stock which represents less than 0.1% of the outstanding Common Stock. Joe Lewis beneficially owns 14,139,053 shares of Common Stock which includes the shares of Common Stock beneficially owned by BCTG Holdings, Boxer Capital, and Braslyn and which represents 13.9% of the outstanding Common Stock. MVA Investors beneficially owns 743,524 shares of Common Stock which represents 0.7% of the outstanding Common Stock. Mr. Davis beneficially owns 793,524 shares of Common Stock which includes the shares of Common Stock beneficially owned by MVA Investors and which represents 0.8% of the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ind w:right="20" w:firstLine="656"/>
        <w:spacing w:after="0" w:line="277" w:lineRule="auto"/>
        <w:tabs>
          <w:tab w:leader="none" w:pos="1506"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respect to any rights or powers to vote, or to direct the vote of, or to dispose of, or to direct the disposition of, the Common Stock owned by the Reporting Persons:</w:t>
      </w:r>
    </w:p>
    <w:p>
      <w:pPr>
        <w:spacing w:after="0" w:line="157" w:lineRule="exact"/>
        <w:rPr>
          <w:sz w:val="20"/>
          <w:szCs w:val="20"/>
          <w:color w:val="auto"/>
        </w:rPr>
      </w:pPr>
    </w:p>
    <w:p>
      <w:pPr>
        <w:ind w:left="2120" w:hanging="816"/>
        <w:spacing w:after="0"/>
        <w:tabs>
          <w:tab w:leader="none" w:pos="2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98" w:lineRule="exact"/>
        <w:rPr>
          <w:sz w:val="20"/>
          <w:szCs w:val="20"/>
          <w:color w:val="auto"/>
        </w:rPr>
      </w:pPr>
    </w:p>
    <w:p>
      <w:pPr>
        <w:ind w:left="1300" w:right="220" w:firstLine="648"/>
        <w:spacing w:after="0" w:line="342" w:lineRule="auto"/>
        <w:rPr>
          <w:sz w:val="20"/>
          <w:szCs w:val="20"/>
          <w:color w:val="auto"/>
        </w:rPr>
      </w:pPr>
      <w:r>
        <w:rPr>
          <w:rFonts w:ascii="Arial" w:cs="Arial" w:eastAsia="Arial" w:hAnsi="Arial"/>
          <w:sz w:val="16"/>
          <w:szCs w:val="16"/>
          <w:color w:val="auto"/>
        </w:rPr>
        <w:t>BCTG Holdings has the sole power to vote or to direct the vote of 6,988,450 shares of Common Stock. Mr. Davis has the sole power to vote or to direct the vote of 50,000 shares of Common Stock underlying Issuer options exercisable within 60 days.</w:t>
      </w:r>
    </w:p>
    <w:p>
      <w:pPr>
        <w:spacing w:after="0" w:line="110" w:lineRule="exact"/>
        <w:rPr>
          <w:sz w:val="20"/>
          <w:szCs w:val="20"/>
          <w:color w:val="auto"/>
        </w:rPr>
      </w:pPr>
    </w:p>
    <w:p>
      <w:pPr>
        <w:ind w:left="2180" w:hanging="876"/>
        <w:spacing w:after="0"/>
        <w:tabs>
          <w:tab w:leader="none" w:pos="2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12" w:lineRule="exact"/>
        <w:rPr>
          <w:sz w:val="20"/>
          <w:szCs w:val="20"/>
          <w:color w:val="auto"/>
        </w:rPr>
      </w:pPr>
    </w:p>
    <w:p>
      <w:pPr>
        <w:ind w:left="1300" w:right="260" w:firstLine="648"/>
        <w:spacing w:after="0" w:line="259" w:lineRule="auto"/>
        <w:rPr>
          <w:sz w:val="20"/>
          <w:szCs w:val="20"/>
          <w:color w:val="auto"/>
        </w:rPr>
      </w:pPr>
      <w:r>
        <w:rPr>
          <w:rFonts w:ascii="Arial" w:cs="Arial" w:eastAsia="Arial" w:hAnsi="Arial"/>
          <w:sz w:val="18"/>
          <w:szCs w:val="18"/>
          <w:color w:val="auto"/>
        </w:rPr>
        <w:t>Boxer Capital and Boxer Management have shared power to vote or to direct the vote of 7,123,642 shares of Common Stock. Braslyn has shared power to vote or to direct the vote of 26,961 shares of Common Stock. Joe Lewis has shared power to vote or to direct the vote of 14,139,053 shares of Common Stock. MVA Investors and Mr. Davis have shared power to vote or direct the vote of 743,524 shares of Common Stock.</w:t>
      </w:r>
    </w:p>
    <w:p>
      <w:pPr>
        <w:spacing w:after="0" w:line="160" w:lineRule="exact"/>
        <w:rPr>
          <w:sz w:val="20"/>
          <w:szCs w:val="20"/>
          <w:color w:val="auto"/>
        </w:rPr>
      </w:pPr>
    </w:p>
    <w:p>
      <w:pPr>
        <w:ind w:left="2220" w:hanging="916"/>
        <w:spacing w:after="0"/>
        <w:tabs>
          <w:tab w:leader="none" w:pos="2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12" w:lineRule="exact"/>
        <w:rPr>
          <w:sz w:val="20"/>
          <w:szCs w:val="20"/>
          <w:color w:val="auto"/>
        </w:rPr>
      </w:pPr>
    </w:p>
    <w:p>
      <w:pPr>
        <w:jc w:val="both"/>
        <w:ind w:left="1300" w:right="60" w:firstLine="648"/>
        <w:spacing w:after="0" w:line="263" w:lineRule="auto"/>
        <w:rPr>
          <w:sz w:val="20"/>
          <w:szCs w:val="20"/>
          <w:color w:val="auto"/>
        </w:rPr>
      </w:pPr>
      <w:r>
        <w:rPr>
          <w:rFonts w:ascii="Arial" w:cs="Arial" w:eastAsia="Arial" w:hAnsi="Arial"/>
          <w:sz w:val="18"/>
          <w:szCs w:val="18"/>
          <w:color w:val="auto"/>
        </w:rPr>
        <w:t>BCTG Holdings has the sole power to dispose or to direct the disposition of 6,988,450 shares of Common Stock. Mr. Davis has the sole power to dispose or to direct the disposition of 50,000 shares of Common Stock underlying Issuer options exercisable within 60 days.</w:t>
      </w:r>
    </w:p>
    <w:p>
      <w:pPr>
        <w:spacing w:after="0" w:line="170" w:lineRule="exact"/>
        <w:rPr>
          <w:sz w:val="20"/>
          <w:szCs w:val="20"/>
          <w:color w:val="auto"/>
        </w:rPr>
      </w:pPr>
    </w:p>
    <w:p>
      <w:pPr>
        <w:ind w:left="2220" w:hanging="916"/>
        <w:spacing w:after="0"/>
        <w:tabs>
          <w:tab w:leader="none" w:pos="2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98" w:lineRule="exact"/>
        <w:rPr>
          <w:sz w:val="20"/>
          <w:szCs w:val="20"/>
          <w:color w:val="auto"/>
        </w:rPr>
      </w:pPr>
    </w:p>
    <w:p>
      <w:pPr>
        <w:ind w:left="1300" w:right="40" w:firstLine="648"/>
        <w:spacing w:after="0" w:line="259" w:lineRule="auto"/>
        <w:rPr>
          <w:sz w:val="20"/>
          <w:szCs w:val="20"/>
          <w:color w:val="auto"/>
        </w:rPr>
      </w:pPr>
      <w:r>
        <w:rPr>
          <w:rFonts w:ascii="Arial" w:cs="Arial" w:eastAsia="Arial" w:hAnsi="Arial"/>
          <w:sz w:val="18"/>
          <w:szCs w:val="18"/>
          <w:color w:val="auto"/>
        </w:rPr>
        <w:t>Boxer Capital and Boxer Management have shared power to dispose or to direct the disposition of 7,123,642 shares of Common Stock. Braslyn has shared power to dispose or direct the disposition of 26,961 shares of Common Stock. Joe Lewis has shared power to dispose or direct the disposition of 14,139,053 shares of Common Stock. MVA Investors and Mr. Davis have shared power to vote or direct the vote of 743,524 shares of Common Stock.</w:t>
      </w:r>
    </w:p>
    <w:p>
      <w:pPr>
        <w:spacing w:after="0" w:line="173" w:lineRule="exact"/>
        <w:rPr>
          <w:sz w:val="20"/>
          <w:szCs w:val="20"/>
          <w:color w:val="auto"/>
        </w:rPr>
      </w:pPr>
    </w:p>
    <w:p>
      <w:pPr>
        <w:jc w:val="both"/>
        <w:ind w:right="120" w:firstLine="656"/>
        <w:spacing w:after="0" w:line="263" w:lineRule="auto"/>
        <w:tabs>
          <w:tab w:leader="none" w:pos="1496"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as described herein, the Reporting Persons have not engaged in any transactions in the Common Stock in the past 60 days. On June 6, 2023, the Issuer awarded restricted stock units and stock options to Aaron I. Davis for his service as a director of the Issuer, as reported by Mr. Davis in a Form 4 filed with the SEC on June 8, 2023.</w:t>
      </w:r>
    </w:p>
    <w:p>
      <w:pPr>
        <w:spacing w:after="0" w:line="170" w:lineRule="exact"/>
        <w:rPr>
          <w:rFonts w:ascii="Arial" w:cs="Arial" w:eastAsia="Arial" w:hAnsi="Arial"/>
          <w:sz w:val="18"/>
          <w:szCs w:val="18"/>
          <w:color w:val="auto"/>
        </w:rPr>
      </w:pPr>
    </w:p>
    <w:p>
      <w:pPr>
        <w:ind w:right="180" w:firstLine="656"/>
        <w:spacing w:after="0" w:line="263" w:lineRule="auto"/>
        <w:tabs>
          <w:tab w:leader="none" w:pos="1506"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as described herein and except as may result from indirect interests of investors in Boxer Capital, BCTG, and MVA Investors, no persons other than the Reporting Persons have the right to receive or the power to direct the receipt of dividends, or proceeds of sale of such securities outlined in this report.</w:t>
      </w:r>
    </w:p>
    <w:p>
      <w:pPr>
        <w:spacing w:after="0" w:line="156" w:lineRule="exact"/>
        <w:rPr>
          <w:rFonts w:ascii="Arial" w:cs="Arial" w:eastAsia="Arial" w:hAnsi="Arial"/>
          <w:sz w:val="18"/>
          <w:szCs w:val="18"/>
          <w:color w:val="auto"/>
        </w:rPr>
      </w:pPr>
    </w:p>
    <w:p>
      <w:pPr>
        <w:ind w:left="1500" w:hanging="844"/>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is hereby amended to add the following:</w:t>
      </w:r>
    </w:p>
    <w:p>
      <w:pPr>
        <w:spacing w:after="0" w:line="19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Mr. Davis participates in the Issuer’s equity compensation plans for outside directors, as further described from time to time by the Issuer in its filings with the SEC.</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jc w:val="right"/>
              <w:ind w:right="980"/>
              <w:spacing w:after="0"/>
              <w:rPr>
                <w:rFonts w:ascii="Arial" w:cs="Arial" w:eastAsia="Arial" w:hAnsi="Arial"/>
                <w:sz w:val="18"/>
                <w:szCs w:val="18"/>
                <w:color w:val="0000EE"/>
                <w:w w:val="85"/>
              </w:rPr>
            </w:pPr>
            <w:hyperlink r:id="rId2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940" w:type="dxa"/>
            <w:vAlign w:val="bottom"/>
            <w:gridSpan w:val="3"/>
          </w:tcPr>
          <w:p>
            <w:pPr>
              <w:spacing w:after="0"/>
              <w:rPr>
                <w:rFonts w:ascii="Arial" w:cs="Arial" w:eastAsia="Arial" w:hAnsi="Arial"/>
                <w:sz w:val="18"/>
                <w:szCs w:val="18"/>
                <w:color w:val="0000EE"/>
                <w:w w:val="93"/>
              </w:rPr>
            </w:pPr>
            <w:hyperlink r:id="rId20">
              <w:r>
                <w:rPr>
                  <w:rFonts w:ascii="Arial" w:cs="Arial" w:eastAsia="Arial" w:hAnsi="Arial"/>
                  <w:sz w:val="18"/>
                  <w:szCs w:val="18"/>
                  <w:color w:val="0000EE"/>
                  <w:w w:val="93"/>
                </w:rPr>
                <w:t>Joint Filing Agreement, dated January 4, 2022, among BCTG Holdings, Boxer Capital, Boxer Management, Braslyn, Joe Lewis, MVA</w:t>
              </w:r>
            </w:hyperlink>
          </w:p>
        </w:tc>
      </w:tr>
      <w:tr>
        <w:trPr>
          <w:trHeight w:val="196"/>
        </w:trPr>
        <w:tc>
          <w:tcPr>
            <w:tcW w:w="32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97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Investors and Aaron I. Davis (incorporated by reference to Exhibit 1 to the Schedule 13D filed on January 4, 2022.</w:t>
              </w:r>
            </w:hyperlink>
          </w:p>
        </w:tc>
        <w:tc>
          <w:tcPr>
            <w:tcW w:w="2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826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412"/>
        </w:trPr>
        <w:tc>
          <w:tcPr>
            <w:tcW w:w="1300" w:type="dxa"/>
            <w:vAlign w:val="bottom"/>
            <w:gridSpan w:val="2"/>
          </w:tcPr>
          <w:p>
            <w:pPr>
              <w:jc w:val="right"/>
              <w:ind w:right="980"/>
              <w:spacing w:after="0"/>
              <w:rPr>
                <w:rFonts w:ascii="Arial" w:cs="Arial" w:eastAsia="Arial" w:hAnsi="Arial"/>
                <w:sz w:val="18"/>
                <w:szCs w:val="18"/>
                <w:color w:val="0000EE"/>
                <w:w w:val="85"/>
              </w:rPr>
            </w:pPr>
            <w:hyperlink r:id="rId21">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9940" w:type="dxa"/>
            <w:vAlign w:val="bottom"/>
            <w:gridSpan w:val="3"/>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Securities Purchase Agreement, dated August 10, 2023 (incorporated by reference to Exhibit 10.1 to Form 8-K filed on August 10, 2023).</w:t>
              </w:r>
            </w:hyperlink>
          </w:p>
        </w:tc>
      </w:tr>
      <w:tr>
        <w:trPr>
          <w:trHeight w:val="635"/>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260" w:type="dxa"/>
            <w:vAlign w:val="bottom"/>
            <w:tcBorders>
              <w:top w:val="single" w:sz="8" w:color="0000EE"/>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tabs>
          <w:tab w:leader="none" w:pos="1280" w:val="left"/>
        </w:tabs>
        <w:rPr>
          <w:rFonts w:ascii="Arial" w:cs="Arial" w:eastAsia="Arial" w:hAnsi="Arial"/>
          <w:sz w:val="16"/>
          <w:szCs w:val="16"/>
          <w:u w:val="single" w:color="auto"/>
          <w:color w:val="0000EE"/>
        </w:rPr>
      </w:pPr>
      <w:hyperlink r:id="rId22">
        <w:r>
          <w:rPr>
            <w:rFonts w:ascii="Arial" w:cs="Arial" w:eastAsia="Arial" w:hAnsi="Arial"/>
            <w:sz w:val="18"/>
            <w:szCs w:val="18"/>
            <w:u w:val="single" w:color="auto"/>
            <w:color w:val="0000EE"/>
          </w:rPr>
          <w:t>99.3</w:t>
        </w:r>
      </w:hyperlink>
      <w:r>
        <w:rPr>
          <w:rFonts w:ascii="Arial" w:cs="Arial" w:eastAsia="Arial" w:hAnsi="Arial"/>
          <w:sz w:val="18"/>
          <w:szCs w:val="18"/>
          <w:u w:val="single" w:color="auto"/>
          <w:color w:val="0000EE"/>
        </w:rPr>
        <w:tab/>
      </w:r>
      <w:hyperlink r:id="rId22">
        <w:r>
          <w:rPr>
            <w:rFonts w:ascii="Arial" w:cs="Arial" w:eastAsia="Arial" w:hAnsi="Arial"/>
            <w:sz w:val="16"/>
            <w:szCs w:val="16"/>
            <w:u w:val="single" w:color="auto"/>
            <w:color w:val="0000EE"/>
          </w:rPr>
          <w:t>Form of Prefunded Warrant (incorporated by reference to Exhibit 4.1 to Form 8-K filed on August 10,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1" w:name="page12"/>
    <w:bookmarkEnd w:id="11"/>
    <w:p>
      <w:pPr>
        <w:jc w:val="center"/>
        <w:ind w:right="-1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2023</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Name:Aaron I. Davis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Name:Aaron I. Davis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Name:Paul Higgs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BRASLYN LTD.</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Name:Jason Callender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Joseph C. Lewis, Individually</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Name:Aaron I. Davis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Aaron I. Davis, Individually</w:t>
      </w:r>
    </w:p>
    <w:sectPr>
      <w:pgSz w:w="11900" w:h="16838" w:orient="portrait"/>
      <w:cols w:equalWidth="0" w:num="1">
        <w:col w:w="11120"/>
      </w:cols>
      <w:pgMar w:left="320" w:top="3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20" Type="http://schemas.openxmlformats.org/officeDocument/2006/relationships/hyperlink" Target="https://www.sec.gov/Archives/edgar/data/1819133/000119312522001819/d279861dex991.htm" TargetMode="External"/><Relationship Id="rId21" Type="http://schemas.openxmlformats.org/officeDocument/2006/relationships/hyperlink" Target="https://www.sec.gov/Archives/edgar/data/1819133/000119312523208100/d525614dex101.htm" TargetMode="External"/><Relationship Id="rId22" Type="http://schemas.openxmlformats.org/officeDocument/2006/relationships/hyperlink" Target="https://www.sec.gov/Archives/edgar/data/1819133/000119312523208100/d52561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2023-08-16T15:54:30Z</dcterms:created>
  <dcterms:modified xsi:type="dcterms:W3CDTF">2023-08-16T15:54:30Z</dcterms:modified>
</cp:coreProperties>
</file>