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f10k2020_bctgacq.htm"/>
      <w:bookmarkStart w:id="1" w:name="ksf10k2020_bctgacq"/>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10-K</w:t>
      </w:r>
    </w:p>
    <w:p>
      <w:pPr>
        <w:pStyle w:val="TextBody"/>
        <w:spacing w:before="0" w:after="0"/>
        <w:ind w:left="720" w:right="0" w:hanging="72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r>
        <w:rPr>
          <w:rFonts w:ascii="Times New Roman;Times;Serif" w:hAnsi="Times New Roman;Times;Serif"/>
          <w:b/>
          <w:i w:val="false"/>
          <w:caps w:val="false"/>
          <w:smallCaps w:val="false"/>
          <w:sz w:val="20"/>
          <w:u w:val="single"/>
        </w:rPr>
        <w:t>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spacing w:before="0" w:after="0"/>
        <w:ind w:left="720" w:right="0" w:hanging="72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UNDER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 to ________________</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001-39485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BCTG ACQUISITION CORP.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6370" w:type="dxa"/>
        <w:jc w:val="left"/>
        <w:tblInd w:w="0" w:type="dxa"/>
        <w:tblCellMar>
          <w:top w:w="0" w:type="dxa"/>
          <w:left w:w="0" w:type="dxa"/>
          <w:bottom w:w="28" w:type="dxa"/>
          <w:right w:w="0" w:type="dxa"/>
        </w:tblCellMar>
      </w:tblPr>
      <w:tblGrid>
        <w:gridCol w:w="2855"/>
        <w:gridCol w:w="60"/>
        <w:gridCol w:w="3455"/>
      </w:tblGrid>
      <w:tr>
        <w:trPr/>
        <w:tc>
          <w:tcPr>
            <w:tcW w:w="285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345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85-1195036</w:t>
            </w:r>
          </w:p>
        </w:tc>
      </w:tr>
      <w:tr>
        <w:trPr/>
        <w:tc>
          <w:tcPr>
            <w:tcW w:w="2855" w:type="dxa"/>
            <w:tcBorders/>
            <w:shd w:fill="auto"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(State or other jurisdiction of</w:t>
            </w:r>
          </w:p>
        </w:tc>
        <w:tc>
          <w:tcPr>
            <w:tcW w:w="60" w:type="dxa"/>
            <w:tcBorders/>
            <w:shd w:fill="auto" w:val="clear"/>
            <w:tcMar>
              <w:bottom w:w="0" w:type="dxa"/>
            </w:tcMar>
            <w:vAlign w:val="center"/>
          </w:tcPr>
          <w:p>
            <w:pPr>
              <w:pStyle w:val="TableContents"/>
              <w:spacing w:before="0" w:after="283"/>
              <w:jc w:val="center"/>
              <w:rPr/>
            </w:pPr>
            <w:r>
              <w:rPr/>
              <w:t> </w:t>
            </w:r>
          </w:p>
        </w:tc>
        <w:tc>
          <w:tcPr>
            <w:tcW w:w="3455" w:type="dxa"/>
            <w:tcBorders/>
            <w:shd w:fill="auto"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(I.R.S. Employer Identification No.)</w:t>
            </w:r>
          </w:p>
        </w:tc>
      </w:tr>
      <w:tr>
        <w:trPr/>
        <w:tc>
          <w:tcPr>
            <w:tcW w:w="2855" w:type="dxa"/>
            <w:tcBorders/>
            <w:shd w:fill="auto"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3455" w:type="dxa"/>
            <w:tcBorders/>
            <w:shd w:fill="auto" w:val="clear"/>
            <w:tcMar>
              <w:bottom w:w="0" w:type="dxa"/>
            </w:tcMar>
            <w:vAlign w:val="center"/>
          </w:tcPr>
          <w:p>
            <w:pPr>
              <w:pStyle w:val="TableContents"/>
              <w:spacing w:before="0" w:after="283"/>
              <w:jc w:val="center"/>
              <w:rPr/>
            </w:pPr>
            <w:r>
              <w:rPr/>
              <w:t> </w:t>
            </w:r>
          </w:p>
        </w:tc>
      </w:tr>
    </w:tbl>
    <w:p>
      <w:pPr>
        <w:pStyle w:val="TextBody"/>
        <w:rPr/>
      </w:pPr>
      <w:r>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12860 El Camino Real, Suite 300 </w:t>
            </w:r>
          </w:p>
        </w:tc>
        <w:tc>
          <w:tcPr>
            <w:tcW w:w="60" w:type="dxa"/>
            <w:tcBorders/>
            <w:shd w:fill="auto" w:val="clear"/>
            <w:vAlign w:val="center"/>
          </w:tcPr>
          <w:p>
            <w:pPr>
              <w:pStyle w:val="TableContents"/>
              <w:spacing w:before="0" w:after="283"/>
              <w:jc w:val="center"/>
              <w:rPr/>
            </w:pPr>
            <w:r>
              <w:rPr/>
              <w:t> </w:t>
            </w:r>
          </w:p>
        </w:tc>
        <w:tc>
          <w:tcPr>
            <w:tcW w:w="920" w:type="dxa"/>
            <w:tcBorders/>
            <w:shd w:fill="auto" w:val="clear"/>
            <w:vAlign w:val="center"/>
          </w:tcPr>
          <w:p>
            <w:pPr>
              <w:pStyle w:val="TableContents"/>
              <w:spacing w:before="0" w:after="283"/>
              <w:jc w:val="center"/>
              <w:rPr/>
            </w:pPr>
            <w:r>
              <w:rPr/>
              <w:t> </w:t>
            </w:r>
          </w:p>
        </w:tc>
      </w:tr>
      <w:tr>
        <w:trPr/>
        <w:tc>
          <w:tcPr>
            <w:tcW w:w="321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San Diego, CA</w:t>
            </w:r>
          </w:p>
        </w:tc>
        <w:tc>
          <w:tcPr>
            <w:tcW w:w="60" w:type="dxa"/>
            <w:tcBorders/>
            <w:shd w:fill="auto" w:val="clear"/>
            <w:vAlign w:val="center"/>
          </w:tcPr>
          <w:p>
            <w:pPr>
              <w:pStyle w:val="TableContents"/>
              <w:spacing w:before="0" w:after="283"/>
              <w:jc w:val="center"/>
              <w:rPr/>
            </w:pPr>
            <w:r>
              <w:rPr/>
              <w:t> </w:t>
            </w:r>
          </w:p>
        </w:tc>
        <w:tc>
          <w:tcPr>
            <w:tcW w:w="92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92130</w:t>
            </w:r>
          </w:p>
        </w:tc>
      </w:tr>
      <w:tr>
        <w:trPr/>
        <w:tc>
          <w:tcPr>
            <w:tcW w:w="321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auto" w:val="clear"/>
            <w:vAlign w:val="center"/>
          </w:tcPr>
          <w:p>
            <w:pPr>
              <w:pStyle w:val="TableContents"/>
              <w:spacing w:before="0" w:after="283"/>
              <w:jc w:val="center"/>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(858) 400-3120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spacing w:before="0" w:after="0"/>
        <w:ind w:left="0" w:right="0" w:firstLine="720"/>
        <w:rPr>
          <w:caps w:val="false"/>
          <w:smallCaps w:val="false"/>
        </w:rPr>
      </w:pPr>
      <w:r>
        <w:rPr>
          <w:caps w:val="false"/>
          <w:smallCaps w:val="false"/>
        </w:rPr>
        <w:t> </w:t>
      </w:r>
    </w:p>
    <w:tbl>
      <w:tblPr>
        <w:tblW w:w="6340" w:type="dxa"/>
        <w:jc w:val="left"/>
        <w:tblInd w:w="0" w:type="dxa"/>
        <w:tblCellMar>
          <w:top w:w="0" w:type="dxa"/>
          <w:left w:w="0" w:type="dxa"/>
          <w:bottom w:w="28" w:type="dxa"/>
          <w:right w:w="0" w:type="dxa"/>
        </w:tblCellMar>
      </w:tblPr>
      <w:tblGrid>
        <w:gridCol w:w="1805"/>
        <w:gridCol w:w="60"/>
        <w:gridCol w:w="4475"/>
      </w:tblGrid>
      <w:tr>
        <w:trPr/>
        <w:tc>
          <w:tcPr>
            <w:tcW w:w="180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shd w:fill="auto" w:val="clear"/>
            <w:tcMar>
              <w:bottom w:w="0" w:type="dxa"/>
            </w:tcMar>
            <w:vAlign w:val="center"/>
          </w:tcPr>
          <w:p>
            <w:pPr>
              <w:pStyle w:val="TableContents"/>
              <w:spacing w:before="0" w:after="283"/>
              <w:rPr/>
            </w:pPr>
            <w:r>
              <w:rPr/>
              <w:t> </w:t>
            </w:r>
          </w:p>
        </w:tc>
        <w:tc>
          <w:tcPr>
            <w:tcW w:w="44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Name of each exchange on which registered</w:t>
            </w:r>
          </w:p>
        </w:tc>
      </w:tr>
      <w:tr>
        <w:trPr/>
        <w:tc>
          <w:tcPr>
            <w:tcW w:w="1805" w:type="dxa"/>
            <w:tcBorders/>
            <w:shd w:fill="auto"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Common Stock</w:t>
            </w:r>
          </w:p>
        </w:tc>
        <w:tc>
          <w:tcPr>
            <w:tcW w:w="60" w:type="dxa"/>
            <w:tcBorders/>
            <w:shd w:fill="auto" w:val="clear"/>
            <w:tcMar>
              <w:bottom w:w="0" w:type="dxa"/>
            </w:tcMar>
            <w:vAlign w:val="center"/>
          </w:tcPr>
          <w:p>
            <w:pPr>
              <w:pStyle w:val="TableContents"/>
              <w:spacing w:before="0" w:after="283"/>
              <w:rPr/>
            </w:pPr>
            <w:r>
              <w:rPr/>
              <w:t> </w:t>
            </w:r>
          </w:p>
        </w:tc>
        <w:tc>
          <w:tcPr>
            <w:tcW w:w="4475" w:type="dxa"/>
            <w:tcBorders/>
            <w:shd w:fill="auto"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The Nasdaq Stock Market LLC</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Exchange Act.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ind w:left="9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90" w:right="0" w:hanging="90"/>
        <w:rPr>
          <w:caps w:val="false"/>
          <w:smallCaps w:val="false"/>
        </w:rPr>
      </w:pPr>
      <w:r>
        <w:rPr>
          <w:caps w:val="false"/>
          <w:smallCaps w:val="false"/>
        </w:rPr>
        <w:t> </w:t>
      </w:r>
    </w:p>
    <w:tbl>
      <w:tblPr>
        <w:tblW w:w="4610" w:type="dxa"/>
        <w:jc w:val="left"/>
        <w:tblInd w:w="0" w:type="dxa"/>
        <w:tblCellMar>
          <w:top w:w="0" w:type="dxa"/>
          <w:left w:w="0" w:type="dxa"/>
          <w:bottom w:w="0" w:type="dxa"/>
          <w:right w:w="0" w:type="dxa"/>
        </w:tblCellMar>
      </w:tblPr>
      <w:tblGrid>
        <w:gridCol w:w="1835"/>
        <w:gridCol w:w="230"/>
        <w:gridCol w:w="2300"/>
        <w:gridCol w:w="245"/>
      </w:tblGrid>
      <w:tr>
        <w:trPr/>
        <w:tc>
          <w:tcPr>
            <w:tcW w:w="1835" w:type="dxa"/>
            <w:tcBorders/>
            <w:shd w:fill="FFFFFF" w:val="clear"/>
            <w:vAlign w:val="center"/>
          </w:tcPr>
          <w:p>
            <w:pPr>
              <w:pStyle w:val="TableContents"/>
              <w:spacing w:before="0" w:after="283"/>
              <w:ind w:left="0" w:right="0" w:hanging="90"/>
              <w:rPr>
                <w:rFonts w:ascii="Times New Roman;Times;Serif" w:hAnsi="Times New Roman;Times;Serif"/>
                <w:sz w:val="20"/>
              </w:rPr>
            </w:pPr>
            <w:r>
              <w:rPr>
                <w:rFonts w:ascii="Times New Roman;Times;Serif" w:hAnsi="Times New Roman;Times;Serif"/>
                <w:sz w:val="20"/>
              </w:rPr>
              <w:t>Large accelerated filer</w:t>
            </w:r>
          </w:p>
        </w:tc>
        <w:tc>
          <w:tcPr>
            <w:tcW w:w="230" w:type="dxa"/>
            <w:tcBorders/>
            <w:shd w:fill="FFFFFF" w:val="clear"/>
            <w:vAlign w:val="center"/>
          </w:tcPr>
          <w:p>
            <w:pPr>
              <w:pStyle w:val="TableContents"/>
              <w:spacing w:before="0" w:after="283"/>
              <w:ind w:left="0" w:right="0" w:hanging="90"/>
              <w:rPr/>
            </w:pPr>
            <w:r>
              <w:rPr/>
              <w:t>☐</w:t>
            </w:r>
          </w:p>
        </w:tc>
        <w:tc>
          <w:tcPr>
            <w:tcW w:w="2300" w:type="dxa"/>
            <w:tcBorders/>
            <w:shd w:fill="FFFFFF" w:val="clear"/>
            <w:vAlign w:val="center"/>
          </w:tcPr>
          <w:p>
            <w:pPr>
              <w:pStyle w:val="TableContents"/>
              <w:spacing w:before="0" w:after="283"/>
              <w:ind w:left="0" w:right="0" w:hanging="90"/>
              <w:rPr>
                <w:rFonts w:ascii="Times New Roman;Times;Serif" w:hAnsi="Times New Roman;Times;Serif"/>
                <w:sz w:val="20"/>
              </w:rPr>
            </w:pPr>
            <w:r>
              <w:rPr>
                <w:rFonts w:ascii="Times New Roman;Times;Serif" w:hAnsi="Times New Roman;Times;Serif"/>
                <w:sz w:val="20"/>
              </w:rPr>
              <w:t>Accelerated filer</w:t>
            </w:r>
          </w:p>
        </w:tc>
        <w:tc>
          <w:tcPr>
            <w:tcW w:w="245" w:type="dxa"/>
            <w:tcBorders/>
            <w:shd w:fill="FFFFFF" w:val="clear"/>
            <w:vAlign w:val="center"/>
          </w:tcPr>
          <w:p>
            <w:pPr>
              <w:pStyle w:val="TableContents"/>
              <w:spacing w:before="0" w:after="283"/>
              <w:ind w:left="0" w:right="0" w:hanging="90"/>
              <w:rPr/>
            </w:pPr>
            <w:r>
              <w:rPr/>
              <w:t>☐</w:t>
            </w:r>
          </w:p>
        </w:tc>
      </w:tr>
      <w:tr>
        <w:trPr/>
        <w:tc>
          <w:tcPr>
            <w:tcW w:w="1835" w:type="dxa"/>
            <w:tcBorders/>
            <w:shd w:fill="FFFFFF" w:val="clear"/>
            <w:vAlign w:val="center"/>
          </w:tcPr>
          <w:p>
            <w:pPr>
              <w:pStyle w:val="TableContents"/>
              <w:spacing w:before="0" w:after="283"/>
              <w:ind w:left="0" w:right="0" w:hanging="90"/>
              <w:rPr>
                <w:rFonts w:ascii="Times New Roman;Times;Serif" w:hAnsi="Times New Roman;Times;Serif"/>
                <w:sz w:val="20"/>
              </w:rPr>
            </w:pPr>
            <w:r>
              <w:rPr>
                <w:rFonts w:ascii="Times New Roman;Times;Serif" w:hAnsi="Times New Roman;Times;Serif"/>
                <w:sz w:val="20"/>
              </w:rPr>
              <w:t>Non-accelerated filer  </w:t>
            </w:r>
          </w:p>
        </w:tc>
        <w:tc>
          <w:tcPr>
            <w:tcW w:w="230" w:type="dxa"/>
            <w:tcBorders/>
            <w:shd w:fill="FFFFFF" w:val="clear"/>
            <w:vAlign w:val="center"/>
          </w:tcPr>
          <w:p>
            <w:pPr>
              <w:pStyle w:val="TableContents"/>
              <w:spacing w:before="0" w:after="283"/>
              <w:ind w:left="0" w:right="0" w:hanging="90"/>
              <w:rPr/>
            </w:pPr>
            <w:r>
              <w:rPr/>
              <w:t>☒</w:t>
            </w:r>
          </w:p>
        </w:tc>
        <w:tc>
          <w:tcPr>
            <w:tcW w:w="2300" w:type="dxa"/>
            <w:tcBorders/>
            <w:shd w:fill="FFFFFF" w:val="clear"/>
            <w:vAlign w:val="center"/>
          </w:tcPr>
          <w:p>
            <w:pPr>
              <w:pStyle w:val="TableContents"/>
              <w:spacing w:before="0" w:after="283"/>
              <w:ind w:left="0" w:right="0" w:hanging="90"/>
              <w:rPr>
                <w:rFonts w:ascii="Times New Roman;Times;Serif" w:hAnsi="Times New Roman;Times;Serif"/>
                <w:sz w:val="20"/>
              </w:rPr>
            </w:pPr>
            <w:r>
              <w:rPr>
                <w:rFonts w:ascii="Times New Roman;Times;Serif" w:hAnsi="Times New Roman;Times;Serif"/>
                <w:sz w:val="20"/>
              </w:rPr>
              <w:t>Smaller reporting company</w:t>
            </w:r>
          </w:p>
        </w:tc>
        <w:tc>
          <w:tcPr>
            <w:tcW w:w="245" w:type="dxa"/>
            <w:tcBorders/>
            <w:shd w:fill="FFFFFF" w:val="clear"/>
            <w:vAlign w:val="center"/>
          </w:tcPr>
          <w:p>
            <w:pPr>
              <w:pStyle w:val="TableContents"/>
              <w:spacing w:before="0" w:after="283"/>
              <w:ind w:left="0" w:right="0" w:hanging="90"/>
              <w:rPr/>
            </w:pPr>
            <w:r>
              <w:rPr/>
              <w:t>☒</w:t>
            </w:r>
          </w:p>
        </w:tc>
      </w:tr>
      <w:tr>
        <w:trPr/>
        <w:tc>
          <w:tcPr>
            <w:tcW w:w="1835" w:type="dxa"/>
            <w:tcBorders/>
            <w:shd w:fill="FFFFFF" w:val="clear"/>
            <w:vAlign w:val="center"/>
          </w:tcPr>
          <w:p>
            <w:pPr>
              <w:pStyle w:val="TableContents"/>
              <w:spacing w:before="0" w:after="283"/>
              <w:ind w:left="0" w:right="0" w:hanging="90"/>
              <w:rPr/>
            </w:pPr>
            <w:r>
              <w:rPr/>
              <w:t> </w:t>
            </w:r>
          </w:p>
        </w:tc>
        <w:tc>
          <w:tcPr>
            <w:tcW w:w="230" w:type="dxa"/>
            <w:tcBorders/>
            <w:shd w:fill="FFFFFF" w:val="clear"/>
            <w:vAlign w:val="center"/>
          </w:tcPr>
          <w:p>
            <w:pPr>
              <w:pStyle w:val="TableContents"/>
              <w:spacing w:before="0" w:after="283"/>
              <w:ind w:left="0" w:right="0" w:hanging="90"/>
              <w:rPr/>
            </w:pPr>
            <w:r>
              <w:rPr/>
              <w:t> </w:t>
            </w:r>
          </w:p>
        </w:tc>
        <w:tc>
          <w:tcPr>
            <w:tcW w:w="2300" w:type="dxa"/>
            <w:tcBorders/>
            <w:shd w:fill="FFFFFF" w:val="clear"/>
            <w:vAlign w:val="center"/>
          </w:tcPr>
          <w:p>
            <w:pPr>
              <w:pStyle w:val="TableContents"/>
              <w:spacing w:before="0" w:after="283"/>
              <w:ind w:left="0" w:right="0" w:hanging="90"/>
              <w:rPr>
                <w:rFonts w:ascii="Times New Roman;Times;Serif" w:hAnsi="Times New Roman;Times;Serif"/>
                <w:sz w:val="20"/>
              </w:rPr>
            </w:pPr>
            <w:r>
              <w:rPr>
                <w:rFonts w:ascii="Times New Roman;Times;Serif" w:hAnsi="Times New Roman;Times;Serif"/>
                <w:sz w:val="20"/>
              </w:rPr>
              <w:t>Emerging Growth Company</w:t>
            </w:r>
          </w:p>
        </w:tc>
        <w:tc>
          <w:tcPr>
            <w:tcW w:w="245" w:type="dxa"/>
            <w:tcBorders/>
            <w:shd w:fill="FFFFFF" w:val="clear"/>
            <w:vAlign w:val="center"/>
          </w:tcPr>
          <w:p>
            <w:pPr>
              <w:pStyle w:val="TableContents"/>
              <w:spacing w:before="0" w:after="283"/>
              <w:rPr/>
            </w:pPr>
            <w:r>
              <w:rPr/>
              <w:t>☒</w:t>
            </w:r>
          </w:p>
        </w:tc>
      </w:tr>
    </w:tbl>
    <w:p>
      <w:pPr>
        <w:pStyle w:val="TextBody"/>
        <w:spacing w:before="0" w:after="0"/>
        <w:ind w:left="90" w:right="0" w:hanging="9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2020, the aggregate market value of the Registrant’s shares of common stock held by non-affiliates of the Registrant was $0.00.</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the Registrant’s shares of common stock as of March 31, 2021 was 21,377,250.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BCTG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10-K for the Year Ended December 31, 2020</w:t>
      </w:r>
    </w:p>
    <w:p>
      <w:pPr>
        <w:pStyle w:val="TextBody"/>
        <w:spacing w:before="0" w:after="0"/>
        <w:ind w:left="0" w:right="0" w:hanging="0"/>
        <w:rPr>
          <w:caps/>
        </w:rPr>
      </w:pPr>
      <w:r>
        <w:rPr>
          <w:caps/>
        </w:rPr>
        <w:t> </w:t>
      </w:r>
    </w:p>
    <w:tbl>
      <w:tblPr>
        <w:tblW w:w="10205" w:type="dxa"/>
        <w:jc w:val="left"/>
        <w:tblInd w:w="0" w:type="dxa"/>
        <w:tblCellMar>
          <w:top w:w="0" w:type="dxa"/>
          <w:left w:w="0" w:type="dxa"/>
          <w:bottom w:w="0" w:type="dxa"/>
          <w:right w:w="0" w:type="dxa"/>
        </w:tblCellMar>
      </w:tblPr>
      <w:tblGrid>
        <w:gridCol w:w="752"/>
        <w:gridCol w:w="9177"/>
        <w:gridCol w:w="276"/>
      </w:tblGrid>
      <w:tr>
        <w:trPr/>
        <w:tc>
          <w:tcPr>
            <w:tcW w:w="752" w:type="dxa"/>
            <w:tcBorders/>
            <w:shd w:fill="CCEEFF" w:val="clear"/>
            <w:vAlign w:val="center"/>
          </w:tcPr>
          <w:p>
            <w:pPr>
              <w:pStyle w:val="TableContents"/>
              <w:spacing w:before="0" w:after="283"/>
              <w:rPr/>
            </w:pPr>
            <w:hyperlink w:anchor="a_001">
              <w:r>
                <w:rPr>
                  <w:rStyle w:val="InternetLink"/>
                  <w:rFonts w:ascii="Times New Roman;Times;Serif" w:hAnsi="Times New Roman;Times;Serif"/>
                  <w:caps/>
                  <w:sz w:val="20"/>
                </w:rPr>
                <w:t>part I</w:t>
              </w:r>
            </w:hyperlink>
          </w:p>
        </w:tc>
        <w:tc>
          <w:tcPr>
            <w:tcW w:w="9177"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w:t>
            </w:r>
          </w:p>
        </w:tc>
        <w:tc>
          <w:tcPr>
            <w:tcW w:w="9177" w:type="dxa"/>
            <w:tcBorders/>
            <w:shd w:fill="CCEEFF" w:val="clear"/>
            <w:vAlign w:val="center"/>
          </w:tcPr>
          <w:p>
            <w:pPr>
              <w:pStyle w:val="TableContents"/>
              <w:spacing w:before="0" w:after="283"/>
              <w:rPr/>
            </w:pPr>
            <w:hyperlink w:anchor="a_002">
              <w:r>
                <w:rPr>
                  <w:rStyle w:val="InternetLink"/>
                  <w:rFonts w:ascii="Times New Roman;Times;Serif" w:hAnsi="Times New Roman;Times;Serif"/>
                  <w:sz w:val="20"/>
                </w:rPr>
                <w:t>BUSINESS  </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1A.</w:t>
            </w:r>
          </w:p>
        </w:tc>
        <w:tc>
          <w:tcPr>
            <w:tcW w:w="9177" w:type="dxa"/>
            <w:tcBorders/>
            <w:shd w:fill="CCEEFF" w:val="clear"/>
            <w:vAlign w:val="center"/>
          </w:tcPr>
          <w:p>
            <w:pPr>
              <w:pStyle w:val="TableContents"/>
              <w:spacing w:before="0" w:after="283"/>
              <w:rPr/>
            </w:pPr>
            <w:hyperlink w:anchor="a_003">
              <w:r>
                <w:rPr>
                  <w:rStyle w:val="InternetLink"/>
                  <w:rFonts w:ascii="Times New Roman;Times;Serif" w:hAnsi="Times New Roman;Times;Serif"/>
                  <w:sz w:val="20"/>
                </w:rPr>
                <w:t>RISK FACTORS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1B.</w:t>
            </w:r>
          </w:p>
        </w:tc>
        <w:tc>
          <w:tcPr>
            <w:tcW w:w="9177" w:type="dxa"/>
            <w:tcBorders/>
            <w:shd w:fill="CCEEFF" w:val="clear"/>
            <w:vAlign w:val="center"/>
          </w:tcPr>
          <w:p>
            <w:pPr>
              <w:pStyle w:val="TableContents"/>
              <w:spacing w:before="0" w:after="283"/>
              <w:rPr/>
            </w:pPr>
            <w:hyperlink w:anchor="a_004">
              <w:r>
                <w:rPr>
                  <w:rStyle w:val="InternetLink"/>
                  <w:rFonts w:ascii="Times New Roman;Times;Serif" w:hAnsi="Times New Roman;Times;Serif"/>
                  <w:sz w:val="20"/>
                </w:rPr>
                <w:t>UNRESOLVED STAFF COMMENTS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2.</w:t>
            </w:r>
          </w:p>
        </w:tc>
        <w:tc>
          <w:tcPr>
            <w:tcW w:w="9177" w:type="dxa"/>
            <w:tcBorders/>
            <w:shd w:fill="CCEEFF" w:val="clear"/>
            <w:vAlign w:val="center"/>
          </w:tcPr>
          <w:p>
            <w:pPr>
              <w:pStyle w:val="TableContents"/>
              <w:spacing w:before="0" w:after="283"/>
              <w:rPr/>
            </w:pPr>
            <w:hyperlink w:anchor="a_005">
              <w:r>
                <w:rPr>
                  <w:rStyle w:val="InternetLink"/>
                  <w:rFonts w:ascii="Times New Roman;Times;Serif" w:hAnsi="Times New Roman;Times;Serif"/>
                  <w:sz w:val="20"/>
                </w:rPr>
                <w:t>PROPERTIES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3.</w:t>
            </w:r>
          </w:p>
        </w:tc>
        <w:tc>
          <w:tcPr>
            <w:tcW w:w="9177" w:type="dxa"/>
            <w:tcBorders/>
            <w:shd w:fill="CCEEFF" w:val="clear"/>
            <w:vAlign w:val="center"/>
          </w:tcPr>
          <w:p>
            <w:pPr>
              <w:pStyle w:val="TableContents"/>
              <w:spacing w:before="0" w:after="283"/>
              <w:rPr/>
            </w:pPr>
            <w:hyperlink w:anchor="a_006">
              <w:r>
                <w:rPr>
                  <w:rStyle w:val="InternetLink"/>
                  <w:rFonts w:ascii="Times New Roman;Times;Serif" w:hAnsi="Times New Roman;Times;Serif"/>
                  <w:sz w:val="20"/>
                </w:rPr>
                <w:t>LEGAL PROCEEDINGS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4.</w:t>
            </w:r>
          </w:p>
        </w:tc>
        <w:tc>
          <w:tcPr>
            <w:tcW w:w="9177" w:type="dxa"/>
            <w:tcBorders/>
            <w:shd w:fill="CCEEFF" w:val="clear"/>
            <w:vAlign w:val="center"/>
          </w:tcPr>
          <w:p>
            <w:pPr>
              <w:pStyle w:val="TableContents"/>
              <w:spacing w:before="0" w:after="283"/>
              <w:rPr/>
            </w:pPr>
            <w:hyperlink w:anchor="a_007">
              <w:r>
                <w:rPr>
                  <w:rStyle w:val="InternetLink"/>
                  <w:rFonts w:ascii="Times New Roman;Times;Serif" w:hAnsi="Times New Roman;Times;Serif"/>
                  <w:sz w:val="20"/>
                </w:rPr>
                <w:t>MINE SAFETY DISCLOSURES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pPr>
            <w:hyperlink w:anchor="a_008">
              <w:r>
                <w:rPr>
                  <w:rStyle w:val="InternetLink"/>
                  <w:rFonts w:ascii="Times New Roman;Times;Serif" w:hAnsi="Times New Roman;Times;Serif"/>
                  <w:caps/>
                  <w:sz w:val="20"/>
                </w:rPr>
                <w:t xml:space="preserve">part II </w:t>
              </w:r>
            </w:hyperlink>
          </w:p>
        </w:tc>
        <w:tc>
          <w:tcPr>
            <w:tcW w:w="9177"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13</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5.</w:t>
            </w:r>
          </w:p>
        </w:tc>
        <w:tc>
          <w:tcPr>
            <w:tcW w:w="9177" w:type="dxa"/>
            <w:tcBorders/>
            <w:shd w:fill="CCEEFF" w:val="clear"/>
            <w:vAlign w:val="center"/>
          </w:tcPr>
          <w:p>
            <w:pPr>
              <w:pStyle w:val="TableContents"/>
              <w:spacing w:before="0" w:after="283"/>
              <w:rPr/>
            </w:pPr>
            <w:hyperlink w:anchor="a_009">
              <w:r>
                <w:rPr>
                  <w:rStyle w:val="InternetLink"/>
                  <w:rFonts w:ascii="Times New Roman;Times;Serif" w:hAnsi="Times New Roman;Times;Serif"/>
                  <w:sz w:val="20"/>
                </w:rPr>
                <w:t>MARKET FOR REGISTRANT’S COMMON EQUITY, RELATED STOCKHOLDER MATTERS AND ISSUER PURCHASES OF EQUITY SECURITIES</w:t>
              </w:r>
            </w:hyperlink>
            <w:r>
              <w:rPr>
                <w:rFonts w:ascii="Times New Roman;Times;Serif" w:hAnsi="Times New Roman;Times;Serif"/>
                <w:sz w:val="20"/>
              </w:rPr>
              <w:t> </w:t>
            </w:r>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6.</w:t>
            </w:r>
          </w:p>
        </w:tc>
        <w:tc>
          <w:tcPr>
            <w:tcW w:w="9177" w:type="dxa"/>
            <w:tcBorders/>
            <w:shd w:fill="CCEEFF" w:val="clear"/>
            <w:vAlign w:val="center"/>
          </w:tcPr>
          <w:p>
            <w:pPr>
              <w:pStyle w:val="TableContents"/>
              <w:spacing w:before="0" w:after="283"/>
              <w:rPr/>
            </w:pPr>
            <w:hyperlink w:anchor="a_010">
              <w:r>
                <w:rPr>
                  <w:rStyle w:val="InternetLink"/>
                  <w:rFonts w:ascii="Times New Roman;Times;Serif" w:hAnsi="Times New Roman;Times;Serif"/>
                  <w:sz w:val="20"/>
                </w:rPr>
                <w:t>[RESERVED]  </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7.</w:t>
            </w:r>
          </w:p>
        </w:tc>
        <w:tc>
          <w:tcPr>
            <w:tcW w:w="9177" w:type="dxa"/>
            <w:tcBorders/>
            <w:shd w:fill="CCEEFF" w:val="clear"/>
            <w:vAlign w:val="center"/>
          </w:tcPr>
          <w:p>
            <w:pPr>
              <w:pStyle w:val="TableContents"/>
              <w:spacing w:before="0" w:after="283"/>
              <w:rPr/>
            </w:pPr>
            <w:hyperlink w:anchor="a_011">
              <w:r>
                <w:rPr>
                  <w:rStyle w:val="InternetLink"/>
                  <w:rFonts w:ascii="Times New Roman;Times;Serif" w:hAnsi="Times New Roman;Times;Serif"/>
                  <w:sz w:val="20"/>
                </w:rPr>
                <w:t>MANAGEMENT’S DISCUSSION AND ANALYSIS OF FINANCIAL CONDITION AND RESULTS OF OPERATIONS</w:t>
              </w:r>
            </w:hyperlink>
            <w:r>
              <w:rPr>
                <w:rFonts w:ascii="Times New Roman;Times;Serif" w:hAnsi="Times New Roman;Times;Serif"/>
                <w:sz w:val="20"/>
              </w:rPr>
              <w:t xml:space="preserve">  </w:t>
            </w:r>
          </w:p>
        </w:tc>
        <w:tc>
          <w:tcPr>
            <w:tcW w:w="276"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14</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7A.</w:t>
            </w:r>
          </w:p>
        </w:tc>
        <w:tc>
          <w:tcPr>
            <w:tcW w:w="9177" w:type="dxa"/>
            <w:tcBorders/>
            <w:shd w:fill="CCEEFF" w:val="clear"/>
            <w:vAlign w:val="center"/>
          </w:tcPr>
          <w:p>
            <w:pPr>
              <w:pStyle w:val="TableContents"/>
              <w:spacing w:before="0" w:after="283"/>
              <w:rPr/>
            </w:pPr>
            <w:hyperlink w:anchor="a_012">
              <w:r>
                <w:rPr>
                  <w:rStyle w:val="InternetLink"/>
                  <w:rFonts w:ascii="Times New Roman;Times;Serif" w:hAnsi="Times New Roman;Times;Serif"/>
                  <w:sz w:val="20"/>
                </w:rPr>
                <w:t>QUANTITATIVE AND QUALITATIVE DISCLOSURES ABOUT MARKET RISK</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8.</w:t>
            </w:r>
          </w:p>
        </w:tc>
        <w:tc>
          <w:tcPr>
            <w:tcW w:w="9177" w:type="dxa"/>
            <w:tcBorders/>
            <w:shd w:fill="CCEEFF" w:val="clear"/>
            <w:vAlign w:val="center"/>
          </w:tcPr>
          <w:p>
            <w:pPr>
              <w:pStyle w:val="TableContents"/>
              <w:spacing w:before="0" w:after="283"/>
              <w:rPr/>
            </w:pPr>
            <w:hyperlink w:anchor="a_013">
              <w:r>
                <w:rPr>
                  <w:rStyle w:val="InternetLink"/>
                  <w:rFonts w:ascii="Times New Roman;Times;Serif" w:hAnsi="Times New Roman;Times;Serif"/>
                  <w:sz w:val="20"/>
                </w:rPr>
                <w:t>FINANCIAL STATEMENTS AND SUPPLEMENTARY DATA</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9.</w:t>
            </w:r>
          </w:p>
        </w:tc>
        <w:tc>
          <w:tcPr>
            <w:tcW w:w="9177" w:type="dxa"/>
            <w:tcBorders/>
            <w:shd w:fill="CCEEFF" w:val="clear"/>
            <w:vAlign w:val="center"/>
          </w:tcPr>
          <w:p>
            <w:pPr>
              <w:pStyle w:val="TableContents"/>
              <w:spacing w:before="0" w:after="283"/>
              <w:rPr/>
            </w:pPr>
            <w:hyperlink w:anchor="a_014">
              <w:r>
                <w:rPr>
                  <w:rStyle w:val="InternetLink"/>
                  <w:rFonts w:ascii="Times New Roman;Times;Serif" w:hAnsi="Times New Roman;Times;Serif"/>
                  <w:sz w:val="20"/>
                </w:rPr>
                <w:t>CHANGES IN AND DISAGREEMENTS WITH ACCOUNTANTS ON ACCOUNTING AND FINANCIAL DISCLOSURE</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9A.</w:t>
            </w:r>
          </w:p>
        </w:tc>
        <w:tc>
          <w:tcPr>
            <w:tcW w:w="9177" w:type="dxa"/>
            <w:tcBorders/>
            <w:shd w:fill="CCEEFF" w:val="clear"/>
            <w:vAlign w:val="center"/>
          </w:tcPr>
          <w:p>
            <w:pPr>
              <w:pStyle w:val="TableContents"/>
              <w:spacing w:before="0" w:after="283"/>
              <w:rPr/>
            </w:pPr>
            <w:hyperlink w:anchor="a_015">
              <w:r>
                <w:rPr>
                  <w:rStyle w:val="InternetLink"/>
                  <w:rFonts w:ascii="Times New Roman;Times;Serif" w:hAnsi="Times New Roman;Times;Serif"/>
                  <w:sz w:val="20"/>
                </w:rPr>
                <w:t>CONTROLS AND PROCEDURES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9B.</w:t>
            </w:r>
          </w:p>
        </w:tc>
        <w:tc>
          <w:tcPr>
            <w:tcW w:w="9177" w:type="dxa"/>
            <w:tcBorders/>
            <w:shd w:fill="CCEEFF" w:val="clear"/>
            <w:vAlign w:val="center"/>
          </w:tcPr>
          <w:p>
            <w:pPr>
              <w:pStyle w:val="TableContents"/>
              <w:spacing w:before="0" w:after="283"/>
              <w:rPr/>
            </w:pPr>
            <w:hyperlink w:anchor="a_016">
              <w:r>
                <w:rPr>
                  <w:rStyle w:val="InternetLink"/>
                  <w:rFonts w:ascii="Times New Roman;Times;Serif" w:hAnsi="Times New Roman;Times;Serif"/>
                  <w:sz w:val="20"/>
                </w:rPr>
                <w:t>OTHER INFORMATION</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pPr>
            <w:hyperlink w:anchor="a_017">
              <w:r>
                <w:rPr>
                  <w:rStyle w:val="InternetLink"/>
                  <w:rFonts w:ascii="Times New Roman;Times;Serif" w:hAnsi="Times New Roman;Times;Serif"/>
                  <w:caps/>
                  <w:sz w:val="20"/>
                </w:rPr>
                <w:t>part III</w:t>
              </w:r>
            </w:hyperlink>
          </w:p>
        </w:tc>
        <w:tc>
          <w:tcPr>
            <w:tcW w:w="9177"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20</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10.</w:t>
            </w:r>
          </w:p>
        </w:tc>
        <w:tc>
          <w:tcPr>
            <w:tcW w:w="9177" w:type="dxa"/>
            <w:tcBorders/>
            <w:shd w:fill="CCEEFF" w:val="clear"/>
            <w:vAlign w:val="center"/>
          </w:tcPr>
          <w:p>
            <w:pPr>
              <w:pStyle w:val="TableContents"/>
              <w:spacing w:before="0" w:after="283"/>
              <w:rPr/>
            </w:pPr>
            <w:hyperlink w:anchor="a_018">
              <w:r>
                <w:rPr>
                  <w:rStyle w:val="InternetLink"/>
                  <w:rFonts w:ascii="Times New Roman;Times;Serif" w:hAnsi="Times New Roman;Times;Serif"/>
                  <w:sz w:val="20"/>
                </w:rPr>
                <w:t>DIRECTORS, EXECUTIVE OFFICERS AND CORPORATE GOVERNANCE</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11.</w:t>
            </w:r>
          </w:p>
        </w:tc>
        <w:tc>
          <w:tcPr>
            <w:tcW w:w="9177" w:type="dxa"/>
            <w:tcBorders/>
            <w:shd w:fill="CCEEFF" w:val="clear"/>
            <w:vAlign w:val="center"/>
          </w:tcPr>
          <w:p>
            <w:pPr>
              <w:pStyle w:val="TableContents"/>
              <w:spacing w:before="0" w:after="283"/>
              <w:rPr/>
            </w:pPr>
            <w:hyperlink w:anchor="a_019">
              <w:r>
                <w:rPr>
                  <w:rStyle w:val="InternetLink"/>
                  <w:rFonts w:ascii="Times New Roman;Times;Serif" w:hAnsi="Times New Roman;Times;Serif"/>
                  <w:sz w:val="20"/>
                </w:rPr>
                <w:t>EXECUTIVE COMPENSATION</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12.</w:t>
            </w:r>
          </w:p>
        </w:tc>
        <w:tc>
          <w:tcPr>
            <w:tcW w:w="9177" w:type="dxa"/>
            <w:tcBorders/>
            <w:shd w:fill="CCEEFF" w:val="clear"/>
            <w:vAlign w:val="center"/>
          </w:tcPr>
          <w:p>
            <w:pPr>
              <w:pStyle w:val="TableContents"/>
              <w:spacing w:before="0" w:after="283"/>
              <w:rPr/>
            </w:pPr>
            <w:hyperlink w:anchor="a_020">
              <w:r>
                <w:rPr>
                  <w:rStyle w:val="InternetLink"/>
                  <w:rFonts w:ascii="Times New Roman;Times;Serif" w:hAnsi="Times New Roman;Times;Serif"/>
                  <w:sz w:val="20"/>
                </w:rPr>
                <w:t>SECURITY OWNERSHIP OF CERTAIN BENEFICIAL OWNERS AND MANAGEMENT AND RELATED STOCKHOLDER MATTERS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13.</w:t>
            </w:r>
          </w:p>
        </w:tc>
        <w:tc>
          <w:tcPr>
            <w:tcW w:w="9177" w:type="dxa"/>
            <w:tcBorders/>
            <w:shd w:fill="CCEEFF" w:val="clear"/>
            <w:vAlign w:val="center"/>
          </w:tcPr>
          <w:p>
            <w:pPr>
              <w:pStyle w:val="TableContents"/>
              <w:spacing w:before="0" w:after="283"/>
              <w:rPr/>
            </w:pPr>
            <w:hyperlink w:anchor="a_021">
              <w:r>
                <w:rPr>
                  <w:rStyle w:val="InternetLink"/>
                  <w:rFonts w:ascii="Times New Roman;Times;Serif" w:hAnsi="Times New Roman;Times;Serif"/>
                  <w:sz w:val="20"/>
                </w:rPr>
                <w:t>CERTAIN RELATIONSHIPS AND RELATED TRANSACTIONS, AND DIRECTOR INDEPENDENCE</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14.</w:t>
            </w:r>
          </w:p>
        </w:tc>
        <w:tc>
          <w:tcPr>
            <w:tcW w:w="9177" w:type="dxa"/>
            <w:tcBorders/>
            <w:shd w:fill="CCEEFF" w:val="clear"/>
            <w:vAlign w:val="center"/>
          </w:tcPr>
          <w:p>
            <w:pPr>
              <w:pStyle w:val="TableContents"/>
              <w:spacing w:before="0" w:after="283"/>
              <w:rPr/>
            </w:pPr>
            <w:hyperlink w:anchor="a_022">
              <w:r>
                <w:rPr>
                  <w:rStyle w:val="InternetLink"/>
                  <w:rFonts w:ascii="Times New Roman;Times;Serif" w:hAnsi="Times New Roman;Times;Serif"/>
                  <w:sz w:val="20"/>
                </w:rPr>
                <w:t>PRINCIPAL ACCOUNTANT FEES AND SERVICES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pPr>
            <w:hyperlink w:anchor="a_023">
              <w:r>
                <w:rPr>
                  <w:rStyle w:val="InternetLink"/>
                  <w:rFonts w:ascii="Times New Roman;Times;Serif" w:hAnsi="Times New Roman;Times;Serif"/>
                  <w:caps/>
                  <w:sz w:val="20"/>
                </w:rPr>
                <w:t>part IV</w:t>
              </w:r>
            </w:hyperlink>
          </w:p>
        </w:tc>
        <w:tc>
          <w:tcPr>
            <w:tcW w:w="9177"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jc w:val="center"/>
              <w:rPr>
                <w:rFonts w:ascii="Times New Roman;Times;Serif" w:hAnsi="Times New Roman;Times;Serif"/>
                <w:caps/>
                <w:sz w:val="20"/>
              </w:rPr>
            </w:pPr>
            <w:r>
              <w:rPr>
                <w:rFonts w:ascii="Times New Roman;Times;Serif" w:hAnsi="Times New Roman;Times;Serif"/>
                <w:caps/>
                <w:sz w:val="20"/>
              </w:rPr>
              <w:t>33</w:t>
            </w:r>
          </w:p>
        </w:tc>
      </w:tr>
      <w:tr>
        <w:trPr/>
        <w:tc>
          <w:tcPr>
            <w:tcW w:w="752" w:type="dxa"/>
            <w:tcBorders/>
            <w:shd w:fill="FFFFFF" w:val="clear"/>
            <w:vAlign w:val="center"/>
          </w:tcPr>
          <w:p>
            <w:pPr>
              <w:pStyle w:val="TableContents"/>
              <w:spacing w:before="0" w:after="283"/>
              <w:rPr/>
            </w:pPr>
            <w:r>
              <w:rPr/>
              <w:t> </w:t>
            </w:r>
          </w:p>
        </w:tc>
        <w:tc>
          <w:tcPr>
            <w:tcW w:w="9177"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jc w:val="center"/>
              <w:rPr/>
            </w:pPr>
            <w:r>
              <w:rPr/>
              <w:t> </w:t>
            </w:r>
          </w:p>
        </w:tc>
      </w:tr>
      <w:tr>
        <w:trPr/>
        <w:tc>
          <w:tcPr>
            <w:tcW w:w="75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ITEM 15.</w:t>
            </w:r>
          </w:p>
        </w:tc>
        <w:tc>
          <w:tcPr>
            <w:tcW w:w="9177" w:type="dxa"/>
            <w:tcBorders/>
            <w:shd w:fill="CCEEFF" w:val="clear"/>
            <w:vAlign w:val="center"/>
          </w:tcPr>
          <w:p>
            <w:pPr>
              <w:pStyle w:val="TableContents"/>
              <w:spacing w:before="0" w:after="283"/>
              <w:rPr/>
            </w:pPr>
            <w:hyperlink w:anchor="a_024">
              <w:r>
                <w:rPr>
                  <w:rStyle w:val="InternetLink"/>
                  <w:rFonts w:ascii="Times New Roman;Times;Serif" w:hAnsi="Times New Roman;Times;Serif"/>
                  <w:sz w:val="20"/>
                </w:rPr>
                <w:t>EXHIBITS AND FINANCIAL STATEMENT SCHEDULES</w:t>
              </w:r>
            </w:hyperlink>
          </w:p>
        </w:tc>
        <w:tc>
          <w:tcPr>
            <w:tcW w:w="27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33</w:t>
            </w:r>
          </w:p>
        </w:tc>
      </w:tr>
    </w:tbl>
    <w:p>
      <w:pPr>
        <w:pStyle w:val="TextBody"/>
        <w:spacing w:before="0" w:after="0"/>
        <w:ind w:left="0" w:right="0" w:hanging="0"/>
        <w:rPr>
          <w:caps/>
        </w:rPr>
      </w:pPr>
      <w:r>
        <w:rPr>
          <w:caps/>
        </w:rPr>
        <w:t> </w:t>
      </w:r>
    </w:p>
    <w:p>
      <w:pPr>
        <w:pStyle w:val="TextBody"/>
        <w:spacing w:before="0" w:after="0"/>
        <w:jc w:val="center"/>
        <w:rPr>
          <w:bdr w:val="single" w:sz="12" w:space="1" w:color="000000"/>
        </w:rPr>
      </w:pPr>
      <w:r>
        <w:rPr>
          <w:bdr w:val="single" w:sz="12" w:space="1" w:color="000000"/>
        </w:rPr>
        <w:t>i</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6"/>
        <w:gridCol w:w="341"/>
        <w:gridCol w:w="9788"/>
      </w:tblGrid>
      <w:tr>
        <w:trPr/>
        <w:tc>
          <w:tcPr>
            <w:tcW w:w="7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w:t>
            </w:r>
          </w:p>
        </w:tc>
        <w:tc>
          <w:tcPr>
            <w:tcW w:w="978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ability to complete our initial business combination;</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success in retaining or recruiting, or changes required in, our officers, key employees or directors following our initial business combination;</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officers and directors allocating their time to other businesses and potentially having conflicts of interest with our business or in approving our initial business combination, as a result of which they would then receive expense reimbursements;</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197"/>
        <w:gridCol w:w="9964"/>
      </w:tblGrid>
      <w:tr>
        <w:trPr/>
        <w:tc>
          <w:tcPr>
            <w:tcW w:w="4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pPr>
            <w:r>
              <w:rPr/>
              <w:t>●</w:t>
            </w:r>
          </w:p>
        </w:tc>
        <w:tc>
          <w:tcPr>
            <w:tcW w:w="9964"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potential ability to obtain additional financing to complete our initial business combination;</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3"/>
        <w:gridCol w:w="462"/>
        <w:gridCol w:w="9640"/>
      </w:tblGrid>
      <w:tr>
        <w:trPr/>
        <w:tc>
          <w:tcPr>
            <w:tcW w:w="103"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pPr>
            <w:r>
              <w:rPr/>
              <w:t>●</w:t>
            </w:r>
          </w:p>
        </w:tc>
        <w:tc>
          <w:tcPr>
            <w:tcW w:w="96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pool of prospective target businesses;</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184"/>
        <w:gridCol w:w="9981"/>
      </w:tblGrid>
      <w:tr>
        <w:trPr/>
        <w:tc>
          <w:tcPr>
            <w:tcW w:w="4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pPr>
            <w:r>
              <w:rPr/>
              <w:t>●</w:t>
            </w:r>
          </w:p>
        </w:tc>
        <w:tc>
          <w:tcPr>
            <w:tcW w:w="9981"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ability of our officers and directors to generate a number of potential investment opportunities;</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9"/>
        <w:gridCol w:w="222"/>
        <w:gridCol w:w="9934"/>
      </w:tblGrid>
      <w:tr>
        <w:trPr/>
        <w:tc>
          <w:tcPr>
            <w:tcW w:w="4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potential change in control if we acquire one or more target businesses for stock;</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7"/>
        <w:gridCol w:w="348"/>
        <w:gridCol w:w="9780"/>
      </w:tblGrid>
      <w:tr>
        <w:trPr/>
        <w:tc>
          <w:tcPr>
            <w:tcW w:w="7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pPr>
            <w:r>
              <w:rPr/>
              <w:t>●</w:t>
            </w:r>
          </w:p>
        </w:tc>
        <w:tc>
          <w:tcPr>
            <w:tcW w:w="978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potential liquidity and trading of our securities;</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1"/>
        <w:gridCol w:w="457"/>
        <w:gridCol w:w="9647"/>
      </w:tblGrid>
      <w:tr>
        <w:trPr/>
        <w:tc>
          <w:tcPr>
            <w:tcW w:w="10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pPr>
            <w:r>
              <w:rPr/>
              <w:t>●</w:t>
            </w:r>
          </w:p>
        </w:tc>
        <w:tc>
          <w:tcPr>
            <w:tcW w:w="964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lack of a market for our securities;</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use of proceeds not held in the trust account or available to us from interest income on the trust account balance; or</w:t>
            </w:r>
          </w:p>
        </w:tc>
      </w:tr>
    </w:tbl>
    <w:p>
      <w:pPr>
        <w:pStyle w:val="TextBody"/>
        <w:spacing w:before="0" w:after="0"/>
        <w:ind w:left="72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7"/>
        <w:gridCol w:w="302"/>
        <w:gridCol w:w="9836"/>
      </w:tblGrid>
      <w:tr>
        <w:trPr/>
        <w:tc>
          <w:tcPr>
            <w:tcW w:w="6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pPr>
            <w:r>
              <w:rPr/>
              <w:t>●</w:t>
            </w:r>
          </w:p>
        </w:tc>
        <w:tc>
          <w:tcPr>
            <w:tcW w:w="983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financial performance following our initial public offering.</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ii</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part I</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report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efforts have been limited to organizational activities, completing our initial public offering (the “Initial Public Offering”) and searching for a target business. We have generated no operating revenues to date, and we do not expect that we will generate operating revenues until we consummate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Sponsor and Investment Focus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is an affiliate of Boxer Capital, LLC, or Boxer Capital, a private biopharmaceutical investment firm based in San Diego, California. Boxer Capital was founded in 2005 by its managing founders and Tavistock Group, which is the family office of Joseph C. Lewis. Aaron Davis, our Chief Executive Officer and Chairman, and Christopher Fuglesang, our President, are among the co-founders of Boxer Capital and serve as its Chief Executive Officer and Managing Director, respectively. Boxer Capital’s investment focus is on identifying new therapeutics that will improve patient care and outcomes and investing behind these opportunities to fund their advancement. Boxer Capital invests in the entire drug development lifecycle from early-stage preclinical discovery assets to late-stage clinical and commercial stage companies.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team at Boxer Capital is comprised of individuals with backgrounds in finance, drug development, medicine and science. The majority of the team has doctorates in medicine and science, and some have been responsible for multiple Investigational New Drug Applications and New Drug Applications.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fundamental area of strength for Boxer Capital has been targeted oncology, having focused on investing in this sector of healthcare for most of the last ten years. Over time,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Opportunity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including but not limited to rising U.S. healthcare spending, an accelerated pace of biotechnology innovation, and robust financing and capital markets activity.</w:t>
      </w:r>
    </w:p>
    <w:p>
      <w:pPr>
        <w:pStyle w:val="TextBody"/>
        <w:spacing w:before="0" w:after="0"/>
        <w:ind w:left="720" w:right="0" w:hanging="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Strategy &amp; Investment Criteria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Have identified a unique mechanism, developed a novel approach to a known mechanism, or made another scientific or technological leap that provides them with a competitive advantage versus current standard of care;</w:t>
            </w:r>
          </w:p>
        </w:tc>
      </w:tr>
    </w:tbl>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Have a competent management team with the experience and skillset that is necessary to successfully develop and commercialize promising drug candidates;</w:t>
            </w:r>
          </w:p>
        </w:tc>
      </w:tr>
    </w:tbl>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Are attractively valued due to being overlooked, misunderstood or undercapitalized, leaving ample upside for our stockholders;</w:t>
            </w:r>
          </w:p>
        </w:tc>
      </w:tr>
    </w:tbl>
    <w:p>
      <w:pPr>
        <w:pStyle w:val="TextBody"/>
        <w:spacing w:before="0" w:after="0"/>
        <w:ind w:left="720" w:right="0" w:hanging="360"/>
        <w:jc w:val="both"/>
        <w:rPr>
          <w:caps w:val="false"/>
          <w:smallCaps w:val="false"/>
        </w:rPr>
      </w:pPr>
      <w:r>
        <w:rPr>
          <w:caps w:val="false"/>
          <w:smallCaps w:val="false"/>
        </w:rPr>
        <w:t> </w:t>
      </w:r>
    </w:p>
    <w:tbl>
      <w:tblPr>
        <w:tblW w:w="10135" w:type="dxa"/>
        <w:jc w:val="left"/>
        <w:tblInd w:w="0" w:type="dxa"/>
        <w:tblCellMar>
          <w:top w:w="0" w:type="dxa"/>
          <w:left w:w="0" w:type="dxa"/>
          <w:bottom w:w="0" w:type="dxa"/>
          <w:right w:w="0" w:type="dxa"/>
        </w:tblCellMar>
      </w:tblPr>
      <w:tblGrid>
        <w:gridCol w:w="75"/>
        <w:gridCol w:w="170"/>
        <w:gridCol w:w="98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8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Have a thesis that can be understood and appreciated by public investors in the current environment; and</w:t>
            </w:r>
          </w:p>
        </w:tc>
      </w:tr>
    </w:tbl>
    <w:p>
      <w:pPr>
        <w:pStyle w:val="TextBody"/>
        <w:spacing w:before="0" w:after="0"/>
        <w:ind w:left="720" w:right="0" w:hanging="360"/>
        <w:jc w:val="both"/>
        <w:rPr>
          <w:caps w:val="false"/>
          <w:smallCaps w:val="false"/>
        </w:rPr>
      </w:pPr>
      <w:r>
        <w:rPr>
          <w:caps w:val="false"/>
          <w:smallCaps w:val="false"/>
        </w:rPr>
        <w:t> </w:t>
      </w:r>
    </w:p>
    <w:tbl>
      <w:tblPr>
        <w:tblW w:w="9505" w:type="dxa"/>
        <w:jc w:val="left"/>
        <w:tblInd w:w="0" w:type="dxa"/>
        <w:tblCellMar>
          <w:top w:w="0" w:type="dxa"/>
          <w:left w:w="0" w:type="dxa"/>
          <w:bottom w:w="0" w:type="dxa"/>
          <w:right w:w="0" w:type="dxa"/>
        </w:tblCellMar>
      </w:tblPr>
      <w:tblGrid>
        <w:gridCol w:w="75"/>
        <w:gridCol w:w="170"/>
        <w:gridCol w:w="92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2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Will benefit from our capital, guidance and network and the public market access we can provide.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criteria are not meant to be exhaustive, and our management team may adopt new or unique criteria over time and depending on each particular situation.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Effecting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effectuate our initial business combination using cash from the proceeds of our initial public offering and the private placement of the private shares,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signed a definitive agreement with any acquisition targets. 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Although our management team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IPO investors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our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Target Businesses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the prospectus from our Initial Public Offering, or this report,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unaffiliated stockholders from a financial point of view.</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Selection of a Target Business and Structuring of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Market Value of Target Business or Businesses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business or businesses or assets with which we effect our initial business combination must have a collective fair market value equal to at least 80% of the value of the trust account (excluding any taxes payable)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Lack of Business Diversification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subject us to negative economic, competitive and regulatory developments, any or all of which may have a substantial adverse impact on the particular industry in which we operate after our initial business combination, and</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cause us to depend on the marketing and sale of a single product or limited number of products or services.</w:t>
            </w:r>
          </w:p>
        </w:tc>
      </w:tr>
    </w:tbl>
    <w:p>
      <w:pPr>
        <w:pStyle w:val="TextBody"/>
        <w:spacing w:before="0" w:after="0"/>
        <w:ind w:left="960" w:right="0" w:hanging="4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Ability to Evaluate the Target’s Management Team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closely scrutinize the management of a prospective target business when evaluating the desirability of effecting our initial business combination with that business, our assessment of the target business’ management may not prove to be correct.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Stockholders May Not Have the Ability to Approve an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aggregate amount then on deposit in the trust account. If we determine to engage in a tender offer, such tender offer will be structured so that each stockholder may tender any or all of his, her or its public shares rather than some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our Initial Public Offering in order to be able to receive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trust account.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734,064 of our public shares (or approximately 3.4% of our public shares) to be voted in favor of the transaction in order to have such transaction approved (assuming that only a quorum was present at the meeting).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hold a meeting to approve a proposed business combination and a significant number of stockholders vote, or indicate an intention to vote, against such proposed business combination, our officers, directors, initial stockholders or their affiliates could make purchases of our stock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Conversion/Tender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meeting called to approve an initial business combination, public stockholders may seek to convert their public shares, regardless of whether they vote for or against the proposed business combination, into their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aggregate amount then on deposit in the trust account, less any taxes then due but not yet paid. Notwithstanding the foregoing, our initial stockholders have agreed, pursuant to written letter agreements with us, not to convert any public shares held by them into their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share of the aggregate amount then on deposit in the trust account. If we hold a meeting to approve an initial business combination, a holder will always have the ability to vote against a proposed business combination and not seek conversion of his shares.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stockholders, officers and directors will not have conversion rights with respect to any shares of common stock owned by them, directly or indirectly, whether acquired prior to our Initial Public Offering or purchased by them in it or in the aftermarket.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conversion rights. Under Delaware law and our bylaws,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to convert or tender such shares once made, may be withdrawn at any time up to the vote on the proposed business combination or expiration of the tender offer. Furthermore, if a holder of a public share delivered his certificate in connection with an election of their conversion or tender and subsequently decides prior to the vote on the business combination or the expiration of the tender offer not to elect to exercise such rights, he may simply request that the transfer agent return the certificate (physically or electronically).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the trust account. In such case, we will promptly return any shares delivered by public holders.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of Trust Account if No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complete a business combination within 24 months from the closing of our Initial Public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month from the closing of our Initial Public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seek to have all third parties (including any vendors or other entities we engage after our Initial Public Offering, other than our independent registered public accounting firm) and any prospective target businesses enter into valid and enforceable agreements with us waiving any right, title, interest or claim of any kind they may have in or to any monies held in the trust account. The underwriters in our Initial Public Offering executed such a waiver agreement.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our Initial Public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contains certain requirements and restrictions relating to our Initial Public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 </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if our initial business combination is not consummated within 24 months of the closing of our Initial Public Offering, then our existence will terminate and we will distribute all amounts in the trust account to all of our public holders of shares of common stock;</w:t>
            </w:r>
          </w:p>
        </w:tc>
      </w:tr>
    </w:tbl>
    <w:p>
      <w:pPr>
        <w:pStyle w:val="TextBody"/>
        <w:spacing w:before="0" w:after="0"/>
        <w:ind w:left="960" w:right="0" w:hanging="48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we may not consummate any other business combination, merger, capital stock exchange, asset acquisition, stock purchase, reorganization or similar transaction prior to our initial business combination; and</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prior to our initial business combination, we may not issue additional shares of capital stock that would entitle the holders thereof to (i) receive funds from the trust account or (ii) vote on any initial business combination.</w:t>
            </w:r>
          </w:p>
        </w:tc>
      </w:tr>
    </w:tbl>
    <w:p>
      <w:pPr>
        <w:pStyle w:val="TextBody"/>
        <w:spacing w:before="0" w:after="0"/>
        <w:ind w:left="960" w:right="0" w:hanging="4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Revisions to Agreements with Insiders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Restrictions relating to liquidating the trust account if we failed to consummate a business combination in the time-frames specified above could be amended, but only if we allowed all stockholders to redeem their shares in connection with such amendment;</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Restrictions relating to our insiders being required to vote in favor of a business combination or against any amendments to our organizational documents could be amended to allow our insiders to vote on a transaction as they wished;</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restrictions on transfer of our securities could be amended to allow transfer to third parties who were not members of our original management team;</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obligation of our management team to not propose amendments to our organizational documents could be amended to allow them to propose such changes to our stockholders;</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obligation of insiders to not receive any compensation in connection with a business combination could be modified in order to allow them to receive such compensation;</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requirement to obtain a valuation for any target business affiliated with our insiders, in the event it was too expensive to do so.</w:t>
            </w:r>
          </w:p>
        </w:tc>
      </w:tr>
    </w:tbl>
    <w:p>
      <w:pPr>
        <w:pStyle w:val="TextBody"/>
        <w:spacing w:before="0" w:after="0"/>
        <w:ind w:left="960" w:right="0" w:hanging="48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specified above, stockholders would not be required to be given the opportunity to redeem their shares in connection with such changes. Such changes could result in:</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Our having an extended period of time to consummate a business combination (although with less in trust as a certain number of our stockholders would certainly redeem their shares in connection with any such extension);</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Our insiders being able to vote against a business combination or in favor of changes to our organizational documents;</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Our operations being controlled by a new management team that our stockholders did not elect to invest with;</w:t>
            </w:r>
          </w:p>
        </w:tc>
      </w:tr>
    </w:tbl>
    <w:p>
      <w:pPr>
        <w:pStyle w:val="TextBody"/>
        <w:spacing w:before="0" w:after="0"/>
        <w:ind w:left="960" w:right="0" w:hanging="480"/>
        <w:jc w:val="both"/>
        <w:rPr>
          <w:caps w:val="false"/>
          <w:smallCaps w:val="false"/>
        </w:rPr>
      </w:pPr>
      <w:r>
        <w:rPr>
          <w:caps w:val="false"/>
          <w:smallCaps w:val="false"/>
        </w:rPr>
        <w:t> </w:t>
      </w:r>
    </w:p>
    <w:tbl>
      <w:tblPr>
        <w:tblW w:w="8260" w:type="dxa"/>
        <w:jc w:val="left"/>
        <w:tblInd w:w="0" w:type="dxa"/>
        <w:tblCellMar>
          <w:top w:w="0" w:type="dxa"/>
          <w:left w:w="0" w:type="dxa"/>
          <w:bottom w:w="0" w:type="dxa"/>
          <w:right w:w="0" w:type="dxa"/>
        </w:tblCellMar>
      </w:tblPr>
      <w:tblGrid>
        <w:gridCol w:w="75"/>
        <w:gridCol w:w="170"/>
        <w:gridCol w:w="801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801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Our insiders receiving compensation in connection with a business combination; and</w:t>
            </w:r>
          </w:p>
        </w:tc>
      </w:tr>
    </w:tbl>
    <w:p>
      <w:pPr>
        <w:pStyle w:val="TextBody"/>
        <w:spacing w:before="0" w:after="0"/>
        <w:ind w:left="96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Our insiders closing a transaction with one of their affiliates without receiving an independent valuation of such business.</w:t>
            </w:r>
          </w:p>
        </w:tc>
      </w:tr>
    </w:tbl>
    <w:p>
      <w:pPr>
        <w:pStyle w:val="TextBody"/>
        <w:spacing w:before="0" w:after="0"/>
        <w:ind w:left="960" w:right="0" w:hanging="48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may not be viewed favorably by certain target businesses. Any of these factors may place us at a competitive disadvantage in successfully negotiating our initial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to an affiliate of our sponsor a fee of $10,000 per month for use of office space and certain office and secretarial services. The office space is located at 12860 El Camino Real, Suite 300, San Diego, CA 92130.</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Periodic Reporting and Audited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our common stock under the Exchange Act and have reporting obligations, including the requirement that we file annual, quarterly and current reports with the SEC. In accordance with the requirements of the Exchange Act, this annual report contains financial statements audited and reported on by our independent registered public accountants.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(2) the date on which we have issued more than $1.0 billion in non-convertible debt securities during the prior three-year period. References herein to “emerging growth company” shall have the meaning associated with it in the JOBS Act.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make disclosures under this Item.</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PROPERTIES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our executive offices at 12860 El Camino Real, Suite 300, San Diego, CA 92130. We pay to an affiliate of our sponsor a fee of $10,000 per month for providing us with office space and certain office and secretarial services. We consider our current office space adequate for our current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began to trade on the Nasdaq Capital Market, or Nasdaq, under the symbol “BCTG” on September 3,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spacing w:before="0" w:after="0"/>
        <w:ind w:left="0" w:right="0" w:hanging="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2021, there were 21,377,250 shares of our common stock issued and outstanding held by 12 stockholders of record. The number of record holders was determined from the records of our transfer agent and does not include beneficial owners of shares whose shares are held in the names of various security brokers, dealers, and registered clearing agencies.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2020, we consummated our initial public offering (“Initial Public Offering”) of 16,675,000 shares of our common stock, which includes full exercise of the underwriter’s over-allotment option. The shares of common stock were sold at a price of $10.00 per share of common stock, generating gross proceeds to us of $166,750,000. The securities sold in the offering were registered under the Securities Act on registration statements on Form S-1 (No. 333-240237).</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we consummated the private placement (“Private Placement”) with our sponsor of 533,500 shares of Common Stock (the “Private Shares”) at a price of $10.00 per share, generating total proceeds of $5,335,000. The Private Shares are identical to the shares of common stock sold in the Initial Public Offering. Additionally, the sponsor has agreed not to transfer, assign, or sell any of the Private Shares (except in limited circumstances, as described in the Initial Public Offering Registration Statement) until the date that is 30 days after the date we complete our initial business combination. Our sponsor was granted certain demand and piggyback registration rights in connection with the purchase of the Private Shares. The Private Shares were issued pursuant to Section 4(a)(2) of the Securities Act of 1933, as amended, as the transactions did not involve a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gross proceeds received from the Initial Public Offering and the Private Placement, $166,750,000.00 was placed in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paid a total of $3,335,000 in underwriting discounts and commissions and approximately $454,000 for other offering costs and expenses related to the Initial Public Offering. Deferred underwriting fees in the amount of $5,836,250 are due upon the closing of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 description of the use of the proceeds generated in our initial public offering, see below Part II, Item 7 – Management’s Discussion and Analysis of Financial Condition and Results of Operations of this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Issuer and Affiliated Purchasers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[RESERVED]</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to the “Company,” “BCTG Acquisition Corp.,” “BCTG,” “our,” “us” or “we” refer to BCTG Acquisition Corp.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on Form 10-K 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blank check company incorporated as a Delaware corporation on May 21, 2020. We were formed for the purpose of effecting a merger, share exchange, asset acquisition, share purchase, reorganization or similar business combination with one or more businesses (the “Business Combination”). Although we are not limited to a particular industry or sector for purposes of consummating a Business Combination, intend to focus on businesses that have their primary operations located in North America and Europe in the biotechnology industry. We are an emerging growth company and, as such, we are subject to all of the risks associated with emerging growth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is BCTG Holdings, LLC, a Delaware limited liability company (the “Sponsor”).  The registration statement for our initial public offering (the “Initial Public Offering”) was declared effective on September 2, 2020. On September 8, 2020, we consummated an Initial Public Offering of 16,675,000 shares of common stock (the “Public Shares”), which includes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we consummated the private placement (“Private Placement”) of 533,500 shares of common stock (the “Private Placement Shares”), at a price of $10.00 per Private Placement Share to the Sponsor, generating gross proceeds of approximately $5.3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Initial Public Offering  and the Private Placement (including the exercise of the over-allotment) $166.8 million, representing the net proceeds of the sale of the Public Shares in the Initial Public Offering and certain proceeds of the Private Placement, was placed in a trust account (“Trust Account”) located in the United States with Continental Stock Transfer&amp; Trust Company acting as trustee, and held as cash or invested only in U.S. “government securities,” within the meaning set forth in Section 2(a)(16) of the Investment Company Act, with a maturity of 185 days or less, or in money market funds meeting certain conditions under the Investment Company Act, which invest only in direct U.S. government treasury obligations, as determined by us, until the earlier of: (i) the completion of a Business Combination and (ii) the distribution of the Trust Account as described below.</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24 months from the closing of the Initial Public Offering, or September 8, 2022, to complete our initial Business Combination (the “Combination Period”). If we do not complete a Business Combination within this period of time (and stockholders do not approve an amendment to the amended and restated certificate of incorporation to extend this date)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our obligations under Delaware law to provide for claims of creditors and the requirements of other applicable law. The initial stockholders have agreed to waive their liquidation rights with respect to the Founder Shares if we fail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we fail to complete a Business Combination within the Combination Period. The underwriters have agreed to waive their rights to their deferred underwriting commission held in the Trust Account in the event we do not complete a Business Combination within the Combination Period and, in such event, such amounts will be included with the funds held in the Trust Account that will be available to fund the redemption of our Public Shares. In the event of such distribution, it is possible that the per share value of the residual assets remaining available for distribution (including Trust Account assets) will be only $10.00 per share initially held in the Trust Account.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entire activity since inception up to December 31, 2020 was in preparation for our formation, the Initial Public Offering, and, since the closing of our Initial Public Offering, a search for business combination candidates. We will not be generating any operating revenues until after the closing and completion of our initial Business Combination.</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21, 2020 (inception) through December 31, 2020, we had net loss of approximately $123,000, which consisted of approximately $109,000 in general and administrative expenses, approximately $40,000 in general and administrative expenses – related party, and approximately $39,000 in franchise and income tax expense, offset by approximately $65,000 in interest income earned on investments held in the Trust Account.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we had $1.3 million in cash available for operating expenses and approximately $1.4 million of working capital.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Initial Public Offering, our liquidity needs were satisfied through a payment of $25,000 from our Sponsor in exchange for the issuance of the Founder Shares (as defined below), and the loans under the Note (as defined below) of approximately $127,000 to us to cover for offering costs in connection with the Initial Public Offering. We fully repaid the Notes on September 10, 2020. Subsequent to the consummation of the Initial Public Offering on September 8, 2020, the liquidity needs have been satisfied through the net proceeds from the consummation of the Private Placement not held in the Trust Account. In addition, in order to finance transaction costs in connection with a Business Combination, our officers, directors and initial stockholders may, but are not obligated to, provide us Working Capital Loans (as defined below). As of December 31, 2020, there were no amounts outstanding under any Working Capital Loans.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we will have sufficient working capital and borrowing capacity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hd w:fill="FFFFFF" w:val="clear"/>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Founder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2020, we issued 3,593,750 shares of common stock to our Sponsor in exchange for a payment of $25,000 (the “Founder Shares”).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4,493,450 shares of common stock, and our independent directors and advisors collectively own 208,800 shares of common stock. Our Sponsor had agreed to forfeit up to an aggregate of 543,750 Founder Shares, so that the Founder Shares would represent 20% of our issued and outstanding shares after the Initial Public Offering, to the extent the underwriters’ over-allotment option was not exercised in full or in part. On September 8, 2020, the underwriters exercised their 15% over-allotment option in full; thus, the Founder Shares were no longer subject to forfeiture.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Private Placement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of the Initial Public Offering, our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 of our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and our officers and directors have agreed, subject to limited exceptions, not to transfer, assign or sell any of their Private Placement Shares until 30 days after the completion of the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Related Party Loans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2020 and June 10, 2020, our Sponsor agreed to loan us up to $25,025 and $274,975, respectively, for an aggregate amount of $300,000 to be used for the payment of costs related to the Initial Public Offering pursuant to a promissory note (each, a “Note” and, collectively, the “Notes”). The Notes were non-interest bearing, unsecured and due upon the date we consummate the Initial Public Offering. We borrowed approximately $127,000 under the Notes and repaid the Notes in full on September 10,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fund working capital deficiencies or finance transaction costs in connection with an intended initial Business Combination, the initial stockholders, officers and directors and their affiliates may, but are not obligated to, loan us funds as may be required (the “Working Capital Loans”).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Placement Shares. We did not have any borrowings under the Working Capital Loans as of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Administrative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date of our prospectus, we agreed to pay an affiliate of the Sponsor a total of $10,000 per month for office space and certain office and secretarial services. Upon completion of the Initial Business Combination or our liquidation, we will cease paying these monthly fees. For the period from May 21, 2020 (inception) through December 31, 2020, the Company incurred $40,000 related to these services. As of December 31, 2020, no amounts were payable related to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Share Purchase Commitment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Registration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Underwriting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if the underwriters’ over-allotment option is exercised in full. The deferred fee will become payable to the underwriters from the amounts held in the Trust Account solely in the event that we complete a Business Combination, subject to the terms of the underwriting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Investments Held in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investments held in the Trust Account are classified as trading securities. Trading securities are presented on the balance sheet at fair value at the end of each reporting period. Gains and losses resulting from the change in fair value of these securities is included in interest earned on investments held in the Trust Account on the accompanying statement of operations. The estimated fair values of investments held in the Trust Account are determined using available market information.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Subject to Possible Redemption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shares of common stock are classified as stockholders’ equity. Our common stock features certain redemption rights that are considered to be outside of our control and subject to the occurrence of uncertain future events. Accordingly, as of December 31, 2020, 15,736,221 shares of common stock subject to possible redemption are presented as temporary equity, outside of the stockholders’ equity section of the accompanying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Net Loss Per Common Share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comply with accounting and disclosure requirements of FASB ASC Topic 260, “Earnings Per Share.” Net loss per share of common stock is computed by dividing net loss applicable to stockholders by the weighted average number of shares of common stock outstanding during the periods. Weighted average share were reduced for the effect of an aggregate of 543,750 shares of common stock that were subject to forfeiture if the over-allotment option was not exercised by the underwriters. The underwriters exercised their over-allotment option in full on September 8, 2020; thus, these Founder Shares were no longer subject to forfeiture (see Note 6). At December 31, 2020, we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statement of operations includes a presentation of loss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 Shares is calculated by dividing the net loss of approximately $123,000, less income attributable to Founder Shares, by the weighted average number of shares of Founder Shares outstanding for the periods.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we did not have any off-balance sheet arrangements as defined in Item 303(a)(4)(ii) of Regulation S-K.</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have elected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does not believe there are any other recently issued, but not yet effective, accounting pronouncements, if currently adopted, that would have a material effect on our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7A. QUANTITATIVE AND QUALITATIVE DISCLOSURES ABOUT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8. FINANCIAL STATEMENTS AND SUPPLEMENTARY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and the notes thereto begin on page F-1 of this Annual Report.</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9A.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year ended December 31, 2020,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due to a transition period established by rules of the Securities and Exchange Commission for newly public companies. This annual report does not include an attestation report of our registered public accounting firm regarding internal control over financial reporting. As a smaller reporting company, management’s report is not subject to attestation by our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during the quarter ended December 31, 2020 that have materially affected, or are reasonably likely to materially affect, our internal control over financial reporting.</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9B. 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part III</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10. 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our directors and executive officers as of March 31, 2021.</w:t>
      </w:r>
    </w:p>
    <w:p>
      <w:pPr>
        <w:pStyle w:val="TextBody"/>
        <w:spacing w:before="0" w:after="0"/>
        <w:ind w:left="0" w:right="0" w:firstLine="360"/>
        <w:rPr>
          <w:caps w:val="false"/>
          <w:smallCaps w:val="false"/>
        </w:rPr>
      </w:pPr>
      <w:r>
        <w:rPr>
          <w:caps w:val="false"/>
          <w:smallCaps w:val="false"/>
        </w:rPr>
        <w:t> </w:t>
      </w:r>
    </w:p>
    <w:tbl>
      <w:tblPr>
        <w:tblW w:w="7320" w:type="dxa"/>
        <w:jc w:val="left"/>
        <w:tblInd w:w="0" w:type="dxa"/>
        <w:tblCellMar>
          <w:top w:w="0" w:type="dxa"/>
          <w:left w:w="0" w:type="dxa"/>
          <w:bottom w:w="28" w:type="dxa"/>
          <w:right w:w="0" w:type="dxa"/>
        </w:tblCellMar>
      </w:tblPr>
      <w:tblGrid>
        <w:gridCol w:w="3365"/>
        <w:gridCol w:w="60"/>
        <w:gridCol w:w="425"/>
        <w:gridCol w:w="60"/>
        <w:gridCol w:w="60"/>
        <w:gridCol w:w="3350"/>
      </w:tblGrid>
      <w:tr>
        <w:trPr/>
        <w:tc>
          <w:tcPr>
            <w:tcW w:w="3365"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Name</w:t>
            </w:r>
          </w:p>
        </w:tc>
        <w:tc>
          <w:tcPr>
            <w:tcW w:w="60" w:type="dxa"/>
            <w:tcBorders/>
            <w:shd w:fill="auto" w:val="clear"/>
            <w:tcMar>
              <w:bottom w:w="0" w:type="dxa"/>
            </w:tcMar>
            <w:vAlign w:val="center"/>
          </w:tcPr>
          <w:p>
            <w:pPr>
              <w:pStyle w:val="TableContents"/>
              <w:spacing w:before="0" w:after="283"/>
              <w:rPr/>
            </w:pPr>
            <w:r>
              <w:rPr/>
              <w:t> </w:t>
            </w:r>
          </w:p>
        </w:tc>
        <w:tc>
          <w:tcPr>
            <w:tcW w:w="4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Age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350"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Position</w:t>
            </w:r>
          </w:p>
        </w:tc>
      </w:tr>
      <w:tr>
        <w:trPr/>
        <w:tc>
          <w:tcPr>
            <w:tcW w:w="3365"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Aaron I. Davis</w:t>
            </w:r>
          </w:p>
        </w:tc>
        <w:tc>
          <w:tcPr>
            <w:tcW w:w="60" w:type="dxa"/>
            <w:tcBorders/>
            <w:shd w:fill="CCEEFF" w:val="clear"/>
            <w:tcMar>
              <w:bottom w:w="0" w:type="dxa"/>
            </w:tcMar>
            <w:vAlign w:val="center"/>
          </w:tcPr>
          <w:p>
            <w:pPr>
              <w:pStyle w:val="TableContents"/>
              <w:spacing w:before="0" w:after="283"/>
              <w:rPr/>
            </w:pPr>
            <w:r>
              <w:rPr/>
              <w:t> </w:t>
            </w:r>
          </w:p>
        </w:tc>
        <w:tc>
          <w:tcPr>
            <w:tcW w:w="425" w:type="dxa"/>
            <w:tcBorders/>
            <w:shd w:fill="CCEE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42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3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Chairman, Chief Executive Officer</w:t>
            </w:r>
          </w:p>
        </w:tc>
      </w:tr>
      <w:tr>
        <w:trPr/>
        <w:tc>
          <w:tcPr>
            <w:tcW w:w="3365"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Christopher Fuglesang, Ph.D., J.D.</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52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350"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President, Director</w:t>
            </w:r>
          </w:p>
        </w:tc>
      </w:tr>
      <w:tr>
        <w:trPr/>
        <w:tc>
          <w:tcPr>
            <w:tcW w:w="3365"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Michael Beauchamp</w:t>
            </w:r>
          </w:p>
        </w:tc>
        <w:tc>
          <w:tcPr>
            <w:tcW w:w="60" w:type="dxa"/>
            <w:tcBorders/>
            <w:shd w:fill="CCEEFF" w:val="clear"/>
            <w:tcMar>
              <w:bottom w:w="0" w:type="dxa"/>
            </w:tcMar>
            <w:vAlign w:val="center"/>
          </w:tcPr>
          <w:p>
            <w:pPr>
              <w:pStyle w:val="TableContents"/>
              <w:spacing w:before="0" w:after="283"/>
              <w:rPr/>
            </w:pPr>
            <w:r>
              <w:rPr/>
              <w:t> </w:t>
            </w:r>
          </w:p>
        </w:tc>
        <w:tc>
          <w:tcPr>
            <w:tcW w:w="425" w:type="dxa"/>
            <w:tcBorders/>
            <w:shd w:fill="CCEE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30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350"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Chief Financial Officer, Treasurer</w:t>
            </w:r>
          </w:p>
        </w:tc>
      </w:tr>
      <w:tr>
        <w:trPr/>
        <w:tc>
          <w:tcPr>
            <w:tcW w:w="3365"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Andrew Ellis, M.D., J.D.</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38</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350"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Chief Operating Officer, Secretary</w:t>
            </w:r>
          </w:p>
        </w:tc>
      </w:tr>
      <w:tr>
        <w:trPr/>
        <w:tc>
          <w:tcPr>
            <w:tcW w:w="3365"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Carole L. Nuechterlein, J.D.</w:t>
            </w:r>
          </w:p>
        </w:tc>
        <w:tc>
          <w:tcPr>
            <w:tcW w:w="60" w:type="dxa"/>
            <w:tcBorders/>
            <w:shd w:fill="CCEEFF" w:val="clear"/>
            <w:tcMar>
              <w:bottom w:w="0" w:type="dxa"/>
            </w:tcMar>
            <w:vAlign w:val="center"/>
          </w:tcPr>
          <w:p>
            <w:pPr>
              <w:pStyle w:val="TableContents"/>
              <w:spacing w:before="0" w:after="283"/>
              <w:rPr/>
            </w:pPr>
            <w:r>
              <w:rPr/>
              <w:t> </w:t>
            </w:r>
          </w:p>
        </w:tc>
        <w:tc>
          <w:tcPr>
            <w:tcW w:w="425" w:type="dxa"/>
            <w:tcBorders/>
            <w:shd w:fill="CCEE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60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350"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r>
      <w:tr>
        <w:trPr/>
        <w:tc>
          <w:tcPr>
            <w:tcW w:w="3365"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Richard Heyman, Ph.D.</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63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350"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r>
      <w:tr>
        <w:trPr/>
        <w:tc>
          <w:tcPr>
            <w:tcW w:w="3365"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Charles M. Baum, M.D., Ph.D.</w:t>
            </w:r>
          </w:p>
        </w:tc>
        <w:tc>
          <w:tcPr>
            <w:tcW w:w="60" w:type="dxa"/>
            <w:tcBorders/>
            <w:shd w:fill="CCEEFF" w:val="clear"/>
            <w:tcMar>
              <w:bottom w:w="0" w:type="dxa"/>
            </w:tcMar>
            <w:vAlign w:val="center"/>
          </w:tcPr>
          <w:p>
            <w:pPr>
              <w:pStyle w:val="TableContents"/>
              <w:spacing w:before="0" w:after="283"/>
              <w:rPr/>
            </w:pPr>
            <w:r>
              <w:rPr/>
              <w:t> </w:t>
            </w:r>
          </w:p>
        </w:tc>
        <w:tc>
          <w:tcPr>
            <w:tcW w:w="425" w:type="dxa"/>
            <w:tcBorders/>
            <w:shd w:fill="CCEE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63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350"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r>
      <w:tr>
        <w:trPr/>
        <w:tc>
          <w:tcPr>
            <w:tcW w:w="3365"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Jamie G. Christensen, Ph.D.</w:t>
            </w:r>
          </w:p>
        </w:tc>
        <w:tc>
          <w:tcPr>
            <w:tcW w:w="60" w:type="dxa"/>
            <w:tcBorders/>
            <w:shd w:fill="FFFFFF" w:val="clear"/>
            <w:tcMar>
              <w:bottom w:w="0" w:type="dxa"/>
            </w:tcMar>
            <w:vAlign w:val="center"/>
          </w:tcPr>
          <w:p>
            <w:pPr>
              <w:pStyle w:val="TableContents"/>
              <w:spacing w:before="0" w:after="283"/>
              <w:rPr/>
            </w:pPr>
            <w:r>
              <w:rPr/>
              <w:t> </w:t>
            </w:r>
          </w:p>
        </w:tc>
        <w:tc>
          <w:tcPr>
            <w:tcW w:w="425" w:type="dxa"/>
            <w:tcBorders/>
            <w:shd w:fill="FFFF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53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350"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r>
      <w:tr>
        <w:trPr/>
        <w:tc>
          <w:tcPr>
            <w:tcW w:w="3365"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James B. Avery</w:t>
            </w:r>
          </w:p>
        </w:tc>
        <w:tc>
          <w:tcPr>
            <w:tcW w:w="60" w:type="dxa"/>
            <w:tcBorders/>
            <w:shd w:fill="CCEEFF" w:val="clear"/>
            <w:tcMar>
              <w:bottom w:w="0" w:type="dxa"/>
            </w:tcMar>
            <w:vAlign w:val="center"/>
          </w:tcPr>
          <w:p>
            <w:pPr>
              <w:pStyle w:val="TableContents"/>
              <w:spacing w:before="0" w:after="283"/>
              <w:rPr/>
            </w:pPr>
            <w:r>
              <w:rPr/>
              <w:t> </w:t>
            </w:r>
          </w:p>
        </w:tc>
        <w:tc>
          <w:tcPr>
            <w:tcW w:w="425" w:type="dxa"/>
            <w:tcBorders/>
            <w:shd w:fill="CCEEFF" w:val="clear"/>
            <w:tcMar>
              <w:bottom w:w="0"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57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350"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r>
    </w:tbl>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Aaron I. Davis</w:t>
      </w:r>
      <w:r>
        <w:rPr>
          <w:rFonts w:ascii="Times New Roman;Times;Serif" w:hAnsi="Times New Roman;Times;Serif"/>
          <w:b w:val="false"/>
          <w:i w:val="false"/>
          <w:caps w:val="false"/>
          <w:smallCaps w:val="false"/>
          <w:sz w:val="20"/>
        </w:rPr>
        <w:t xml:space="preserve"> has served as our Chief Executive Officer and Chairman of our board of directors since May 2020. Mr. Davis co-founded Boxer Capital, 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 We believe Mr. Davis’ experience serving as a director of biotechnology companies and as a manager of funds specializing in the area of life sciences qualifies him to serve on our Board of Directors.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Christopher Fuglesang, Ph.D., J.D., </w:t>
      </w:r>
      <w:r>
        <w:rPr>
          <w:rFonts w:ascii="Times New Roman;Times;Serif" w:hAnsi="Times New Roman;Times;Serif"/>
          <w:b w:val="false"/>
          <w:i w:val="false"/>
          <w:caps w:val="false"/>
          <w:smallCaps w:val="false"/>
          <w:sz w:val="20"/>
        </w:rPr>
        <w:t>has served as our President and as a member of our board of directors since May 2020. Dr. Fuglesang joined 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and CiVi Biopharma Holdings,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 We believe Dr. Fuglesang’s experience as an investor in the life sciences industry qualifies him to serve on our board of directors.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Beauchamp</w:t>
      </w:r>
      <w:r>
        <w:rPr>
          <w:rFonts w:ascii="Times New Roman;Times;Serif" w:hAnsi="Times New Roman;Times;Serif"/>
          <w:b w:val="false"/>
          <w:i w:val="false"/>
          <w:caps w:val="false"/>
          <w:smallCaps w:val="false"/>
          <w:sz w:val="20"/>
        </w:rPr>
        <w:t xml:space="preserve"> has served as our Chief Financial Officer and Treasurer since May 2020. Mr. Beauchamp has served as Vice President of Finance at Boxer Capital since January 2016, where he is responsible for the firm’s back office operations, including finance, tax, audit and administration. Prior to joining Boxer Capital, Mr. Beauchamp worked in the assurance practice at PricewaterhouseCoopers from 2012 to January 2016. Mr. Beauchamp received a bachelor of accountancy degree from the University of San Diego.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Andrew Ellis, M.D., J.D., </w:t>
      </w:r>
      <w:r>
        <w:rPr>
          <w:rFonts w:ascii="Times New Roman;Times;Serif" w:hAnsi="Times New Roman;Times;Serif"/>
          <w:b w:val="false"/>
          <w:i w:val="false"/>
          <w:caps w:val="false"/>
          <w:smallCaps w:val="false"/>
          <w:sz w:val="20"/>
        </w:rPr>
        <w:t>has served as our Chief Operating Officer and Secretary since May 2020. Dr. Ellis has served at Boxer Capital as Head of Compliance since July 2018 and as Senior Vice President since December 2020, where he is responsible for securities compliance, deal structuring and due diligence for investments in private and public healthcare companies. Prior to joining Boxer Capital, Dr. Ellis was a corporate and securities attorney at Wilson Sonsini Goodrich &amp; Rosati, P.C. from August 2013 to July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Carole L. Nuechterlein, J.D.,</w:t>
      </w:r>
      <w:r>
        <w:rPr>
          <w:rFonts w:ascii="Times New Roman;Times;Serif" w:hAnsi="Times New Roman;Times;Serif"/>
          <w:b w:val="false"/>
          <w:i w:val="false"/>
          <w:caps w:val="false"/>
          <w:smallCaps w:val="false"/>
          <w:sz w:val="20"/>
        </w:rPr>
        <w:t xml:space="preserve"> has served on our board of directors since the completion of our initial public offering. Ms. Nuechterlein joined F. Hoffmann-La Roche Ltd. in 2001 and currently serves as the head of Roche Venture Fund. Prior to that, from 1998 to 2001, Ms. Nuechterlein served as General Counsel for SangStat, Inc., a biopharmaceutical company. Ms. Nuechterlein has served as a member of the board of directors of Millendo Therapeutics, Inc. (Nasdaq:MLND) since March 2017 and Aligos Therapeutics (Nasdaq: ALGS) since August 2018,. Ms. Nuechterlein serves and has served as a member of the boards of directors of a number of private biotechnology companies, including Enthera Therapeutics since January 2021, Entrada Therapeutics since April 2020,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 We believe Ms. Nuechterlein’s experience investing in innovative biotechnology companies qualifies her to serve on our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Richard Heyman, Ph.D.,</w:t>
      </w:r>
      <w:r>
        <w:rPr>
          <w:rFonts w:ascii="Times New Roman;Times;Serif" w:hAnsi="Times New Roman;Times;Serif"/>
          <w:b w:val="false"/>
          <w:i w:val="false"/>
          <w:caps w:val="false"/>
          <w:smallCaps w:val="false"/>
          <w:sz w:val="20"/>
        </w:rPr>
        <w:t xml:space="preserve"> has served on our board of directors since the completion of our initial public offering. Dr. Heyman is chairman of the board 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 We believe Dr. Heyman’s experience and expertise as a biotechnology executive and investor qualifies him to serve on our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Charles M. Baum, M.D., Ph.D.,</w:t>
      </w:r>
      <w:r>
        <w:rPr>
          <w:rFonts w:ascii="Times New Roman;Times;Serif" w:hAnsi="Times New Roman;Times;Serif"/>
          <w:b w:val="false"/>
          <w:i w:val="false"/>
          <w:caps w:val="false"/>
          <w:smallCaps w:val="false"/>
          <w:sz w:val="20"/>
        </w:rPr>
        <w:t xml:space="preserve"> has served on our board of directors since the completion of our initial public offering. Dr. Baum has been the 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 We believe Dr. Baum’s experience as a biotechnology executive and his expertise in targeted oncology qualifies him to serve on our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Jamie G. Christensen, Ph.D.,</w:t>
      </w:r>
      <w:r>
        <w:rPr>
          <w:rFonts w:ascii="Times New Roman;Times;Serif" w:hAnsi="Times New Roman;Times;Serif"/>
          <w:b w:val="false"/>
          <w:i w:val="false"/>
          <w:caps w:val="false"/>
          <w:smallCaps w:val="false"/>
          <w:sz w:val="20"/>
        </w:rPr>
        <w:t xml:space="preserve"> has served on our board of directors since the completion of our initial public offering. Dr. Christensen has been the 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 We believe Dr. Christensen’s experience as a biotechnology executive and his expertise in drug discovery and translational research qualifies him to serve on our board of directors.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James B. Avery</w:t>
      </w:r>
      <w:r>
        <w:rPr>
          <w:rFonts w:ascii="Times New Roman;Times;Serif" w:hAnsi="Times New Roman;Times;Serif"/>
          <w:b w:val="false"/>
          <w:i w:val="false"/>
          <w:caps w:val="false"/>
          <w:smallCaps w:val="false"/>
          <w:sz w:val="20"/>
        </w:rPr>
        <w:t xml:space="preserve"> has served on our board of directors since October 2020. Mr. Avery joined Tavistock Group in July 2014 and is currently a Senior Managing Director. From 2003 to June 2014, Mr. Avery was a Managing Director and Co-Founder of GCA Savvian, a boutique investment bank, in addition to holding the position of Representative Director for GCA Corporation, GCA Savvian’s parent company that is publicly traded on the Tokyo Stock Exchange. Prior to GCA Savvian, Mr. Avery spent 10 years working in the New York and Silicon Valley offices of Morgan Stanley, where he advised clients across a number of industries on strategic, merger &amp; acquisition and capital market transactions. Mr. Avery has also held roles at Edward M. Greenberg Associates, Burson-Marsteller, Westdeutsche Landesbank, and Republic National Bank of New York. Mr. Avery is currently a member of the board of directors of Inseego Corp. (Nasdaq: INSG) and FrontWell Capital Partners. Mr. Avery received his Bachelor of Science in Finance from Miami University in 1986. We believe that Mr. Avery’s management background and expertise in strategic corporate matters and capital markets qualifies him to serve as a member of our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Terms of Office of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seven members, five of whom are deemed “independent” under SEC and Nasdaq rules. Our board of directors is divided into three classes with only one class of directors being elected in each year and each class serving a three-year term. The term of office of the first class of directors, consisting of Carole L. Nuechterlein and Jamie G. Christensen, expires at our first annual meeting of stockholders. The term of office of the second class of directors, consisting of Richard Heyman and Charles M. Baum, expires at the second annual meeting. The term of office of the third class of directors, consisting of Aaron I. Davis, Christopher Fuglesang and James B. Avery, expires at our third annual meeting of stockholders. We may not hold an annual meeting of stockholders until after we consummate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with our sponsor, upon consummation of an initial business combination, our sponsor will be entitled to nominate two individuals for election to our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executive officer has received any cash compensation for services rendered to us. We will pay to an affiliate of our sponsor a fee of $10,000 per month for providing us with office space and certain office and secretarial services until we close a business combination.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had determined that Carole L. Nuechterlein, Richard Heyman, Jamie Christensen, Charles M. Baum and James B. Avery are “independent directors” as defined in the Nasdaq listing standards and applicable SEC rules. Our independent directors will have regularly scheduled meetings at which only independent directors are present.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of the board of directors, which consists of Carole L. Nuechterlein, Richard Heyman, and Charles M. Baum, each of whom is an independent director. Carole L. Nuechterlein serves as chairman of the audit committee. The audit committee’s duties, which are specified in our Audit Committee Charter, include, but are not limited to:</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reviewing and discussing with management and the independent auditor the annual audited financial statements, and recommending to the board whether the audited financial statements should be included in our Form 10-K;</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discussing with management and the independent auditor significant financial reporting issues and judgments made in connection with the preparation of our financial statements;</w:t>
            </w:r>
          </w:p>
        </w:tc>
      </w:tr>
    </w:tbl>
    <w:p>
      <w:pPr>
        <w:pStyle w:val="TextBody"/>
        <w:spacing w:before="0" w:after="0"/>
        <w:ind w:left="0" w:right="0" w:hanging="0"/>
        <w:jc w:val="both"/>
        <w:rPr>
          <w:caps w:val="false"/>
          <w:smallCaps w:val="false"/>
        </w:rPr>
      </w:pPr>
      <w:r>
        <w:rPr>
          <w:caps w:val="false"/>
          <w:smallCaps w:val="false"/>
        </w:rPr>
        <w:t> </w:t>
      </w:r>
    </w:p>
    <w:tbl>
      <w:tblPr>
        <w:tblW w:w="8005" w:type="dxa"/>
        <w:jc w:val="left"/>
        <w:tblInd w:w="0" w:type="dxa"/>
        <w:tblCellMar>
          <w:top w:w="0" w:type="dxa"/>
          <w:left w:w="0" w:type="dxa"/>
          <w:bottom w:w="0" w:type="dxa"/>
          <w:right w:w="0" w:type="dxa"/>
        </w:tblCellMar>
      </w:tblPr>
      <w:tblGrid>
        <w:gridCol w:w="75"/>
        <w:gridCol w:w="170"/>
        <w:gridCol w:w="77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77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discussing with management major risk assessment and risk management policies;</w:t>
            </w:r>
          </w:p>
        </w:tc>
      </w:tr>
    </w:tbl>
    <w:p>
      <w:pPr>
        <w:pStyle w:val="TextBody"/>
        <w:spacing w:before="0" w:after="0"/>
        <w:ind w:left="0" w:right="0" w:hanging="0"/>
        <w:jc w:val="both"/>
        <w:rPr>
          <w:caps w:val="false"/>
          <w:smallCaps w:val="false"/>
        </w:rPr>
      </w:pPr>
      <w:r>
        <w:rPr>
          <w:caps w:val="false"/>
          <w:smallCaps w:val="false"/>
        </w:rPr>
        <w:t> </w:t>
      </w:r>
    </w:p>
    <w:tbl>
      <w:tblPr>
        <w:tblW w:w="5620" w:type="dxa"/>
        <w:jc w:val="left"/>
        <w:tblInd w:w="0" w:type="dxa"/>
        <w:tblCellMar>
          <w:top w:w="0" w:type="dxa"/>
          <w:left w:w="0" w:type="dxa"/>
          <w:bottom w:w="0" w:type="dxa"/>
          <w:right w:w="0" w:type="dxa"/>
        </w:tblCellMar>
      </w:tblPr>
      <w:tblGrid>
        <w:gridCol w:w="75"/>
        <w:gridCol w:w="170"/>
        <w:gridCol w:w="53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537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monitoring the independence of the independent auditor;</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verifying the rotation of the lead (or coordinating) audit partner having primary responsibility for the audit and the audit partner responsible for reviewing the audit as required by law;</w:t>
            </w:r>
          </w:p>
        </w:tc>
      </w:tr>
    </w:tbl>
    <w:p>
      <w:pPr>
        <w:pStyle w:val="TextBody"/>
        <w:spacing w:before="0" w:after="0"/>
        <w:ind w:left="0" w:right="0" w:hanging="0"/>
        <w:jc w:val="both"/>
        <w:rPr>
          <w:caps w:val="false"/>
          <w:smallCaps w:val="false"/>
        </w:rPr>
      </w:pPr>
      <w:r>
        <w:rPr>
          <w:caps w:val="false"/>
          <w:smallCaps w:val="false"/>
        </w:rPr>
        <w:t> </w:t>
      </w:r>
    </w:p>
    <w:tbl>
      <w:tblPr>
        <w:tblW w:w="5410" w:type="dxa"/>
        <w:jc w:val="left"/>
        <w:tblInd w:w="0" w:type="dxa"/>
        <w:tblCellMar>
          <w:top w:w="0" w:type="dxa"/>
          <w:left w:w="0" w:type="dxa"/>
          <w:bottom w:w="0" w:type="dxa"/>
          <w:right w:w="0" w:type="dxa"/>
        </w:tblCellMar>
      </w:tblPr>
      <w:tblGrid>
        <w:gridCol w:w="75"/>
        <w:gridCol w:w="170"/>
        <w:gridCol w:w="51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516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reviewing and approving all related-party transactions;</w:t>
            </w:r>
          </w:p>
        </w:tc>
      </w:tr>
    </w:tbl>
    <w:p>
      <w:pPr>
        <w:pStyle w:val="TextBody"/>
        <w:spacing w:before="0" w:after="0"/>
        <w:ind w:left="0" w:right="0" w:hanging="0"/>
        <w:jc w:val="both"/>
        <w:rPr>
          <w:caps w:val="false"/>
          <w:smallCaps w:val="false"/>
        </w:rPr>
      </w:pPr>
      <w:r>
        <w:rPr>
          <w:caps w:val="false"/>
          <w:smallCaps w:val="false"/>
        </w:rPr>
        <w:t> </w:t>
      </w:r>
    </w:p>
    <w:tbl>
      <w:tblPr>
        <w:tblW w:w="9385" w:type="dxa"/>
        <w:jc w:val="left"/>
        <w:tblInd w:w="0" w:type="dxa"/>
        <w:tblCellMar>
          <w:top w:w="0" w:type="dxa"/>
          <w:left w:w="0" w:type="dxa"/>
          <w:bottom w:w="0" w:type="dxa"/>
          <w:right w:w="0" w:type="dxa"/>
        </w:tblCellMar>
      </w:tblPr>
      <w:tblGrid>
        <w:gridCol w:w="75"/>
        <w:gridCol w:w="170"/>
        <w:gridCol w:w="91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14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inquiring and discussing with management our compliance with applicable laws and regulations;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pre-approving all audit services and permitted non-audit services to be performed by our independent auditor, including the fees and terms of the services to be performed;</w:t>
            </w:r>
          </w:p>
        </w:tc>
      </w:tr>
    </w:tbl>
    <w:p>
      <w:pPr>
        <w:pStyle w:val="TextBody"/>
        <w:spacing w:before="0" w:after="0"/>
        <w:ind w:left="0" w:right="0" w:hanging="0"/>
        <w:jc w:val="both"/>
        <w:rPr>
          <w:caps w:val="false"/>
          <w:smallCaps w:val="false"/>
        </w:rPr>
      </w:pPr>
      <w:r>
        <w:rPr>
          <w:caps w:val="false"/>
          <w:smallCaps w:val="false"/>
        </w:rPr>
        <w:t> </w:t>
      </w:r>
    </w:p>
    <w:tbl>
      <w:tblPr>
        <w:tblW w:w="4810" w:type="dxa"/>
        <w:jc w:val="left"/>
        <w:tblInd w:w="0" w:type="dxa"/>
        <w:tblCellMar>
          <w:top w:w="0" w:type="dxa"/>
          <w:left w:w="0" w:type="dxa"/>
          <w:bottom w:w="0" w:type="dxa"/>
          <w:right w:w="0" w:type="dxa"/>
        </w:tblCellMar>
      </w:tblPr>
      <w:tblGrid>
        <w:gridCol w:w="75"/>
        <w:gridCol w:w="170"/>
        <w:gridCol w:w="45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456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appointing or replacing the independent auditor;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establishing procedures for the receipt, retention and treatment of complaints received by us regarding accounting, internal accounting controls or reports which raise material issues regarding our financial statements or accounting policies;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approving reimbursement of expenses incurred by our management team in identifying potential target businesses.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Experts on 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Carole L. Nuechterlein qualifies as an “audit committee financial expert,” as defined under rules and regulations of the SEC.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Guidelines for Selecting Director Nominees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independent directors can satisfactorily carry out the responsibility of properly selecting or approving director nominees without the formation of a standing nominating committee. Carole L. Nuechterlein, Richard Heyman, Jamie Christensen, Chuck Baum and James B. Avery will participate in the consideration and recommendation of director nominees. In accordance with Rule 5605(e)(1)(A) of the Nasdaq rules, all such directors are independent. As there is no standing nominating committee, we do not have a nominating committee charter in place.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will also consider director candidates recommended for nomination by our shareholders during such times as they are seeking proposed nominees to stand for election at the next annual general meeting (or, if applicable, extraordinary general meeting). Our shareholders that wish to nominate a director for election to the Board should follow the procedures set forth in our bylaws.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compensation committee of the board of directors consisting of Richard Heyman and Carole L. Nuechterlein, each of whom is an independent director. Richard Heyman serves as chairman of the compensation committee. We adopted a compensation committee charter, which details the principal functions of the compensation committee, including: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tc>
      </w:tr>
    </w:tbl>
    <w:p>
      <w:pPr>
        <w:pStyle w:val="TextBody"/>
        <w:spacing w:before="0" w:after="0"/>
        <w:ind w:left="0" w:right="0" w:hanging="0"/>
        <w:jc w:val="both"/>
        <w:rPr>
          <w:caps w:val="false"/>
          <w:smallCaps w:val="false"/>
        </w:rPr>
      </w:pPr>
      <w:r>
        <w:rPr>
          <w:caps w:val="false"/>
          <w:smallCaps w:val="false"/>
        </w:rPr>
        <w:t> </w:t>
      </w:r>
    </w:p>
    <w:tbl>
      <w:tblPr>
        <w:tblW w:w="7855" w:type="dxa"/>
        <w:jc w:val="left"/>
        <w:tblInd w:w="0" w:type="dxa"/>
        <w:tblCellMar>
          <w:top w:w="0" w:type="dxa"/>
          <w:left w:w="0" w:type="dxa"/>
          <w:bottom w:w="0" w:type="dxa"/>
          <w:right w:w="0" w:type="dxa"/>
        </w:tblCellMar>
      </w:tblPr>
      <w:tblGrid>
        <w:gridCol w:w="75"/>
        <w:gridCol w:w="170"/>
        <w:gridCol w:w="76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761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reviewing and approving the compensation of all of our other executive officers;</w:t>
            </w:r>
          </w:p>
        </w:tc>
      </w:tr>
    </w:tbl>
    <w:p>
      <w:pPr>
        <w:pStyle w:val="TextBody"/>
        <w:spacing w:before="0" w:after="0"/>
        <w:ind w:left="0" w:right="0" w:hanging="0"/>
        <w:jc w:val="both"/>
        <w:rPr>
          <w:caps w:val="false"/>
          <w:smallCaps w:val="false"/>
        </w:rPr>
      </w:pPr>
      <w:r>
        <w:rPr>
          <w:caps w:val="false"/>
          <w:smallCaps w:val="false"/>
        </w:rPr>
        <w:t> </w:t>
      </w:r>
    </w:p>
    <w:tbl>
      <w:tblPr>
        <w:tblW w:w="5725" w:type="dxa"/>
        <w:jc w:val="left"/>
        <w:tblInd w:w="0" w:type="dxa"/>
        <w:tblCellMar>
          <w:top w:w="0" w:type="dxa"/>
          <w:left w:w="0" w:type="dxa"/>
          <w:bottom w:w="0" w:type="dxa"/>
          <w:right w:w="0" w:type="dxa"/>
        </w:tblCellMar>
      </w:tblPr>
      <w:tblGrid>
        <w:gridCol w:w="75"/>
        <w:gridCol w:w="170"/>
        <w:gridCol w:w="548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548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reviewing our executive compensation policies and plans;</w:t>
            </w:r>
          </w:p>
        </w:tc>
      </w:tr>
    </w:tbl>
    <w:p>
      <w:pPr>
        <w:pStyle w:val="TextBody"/>
        <w:spacing w:before="0" w:after="0"/>
        <w:ind w:left="0" w:right="0" w:hanging="0"/>
        <w:jc w:val="both"/>
        <w:rPr>
          <w:caps w:val="false"/>
          <w:smallCaps w:val="false"/>
        </w:rPr>
      </w:pPr>
      <w:r>
        <w:rPr>
          <w:caps w:val="false"/>
          <w:smallCaps w:val="false"/>
        </w:rPr>
        <w:t> </w:t>
      </w:r>
    </w:p>
    <w:tbl>
      <w:tblPr>
        <w:tblW w:w="9145" w:type="dxa"/>
        <w:jc w:val="left"/>
        <w:tblInd w:w="0" w:type="dxa"/>
        <w:tblCellMar>
          <w:top w:w="0" w:type="dxa"/>
          <w:left w:w="0" w:type="dxa"/>
          <w:bottom w:w="0" w:type="dxa"/>
          <w:right w:w="0" w:type="dxa"/>
        </w:tblCellMar>
      </w:tblPr>
      <w:tblGrid>
        <w:gridCol w:w="75"/>
        <w:gridCol w:w="170"/>
        <w:gridCol w:w="89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890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implementing and administering our incentive compensation equity-based remuneration plans;</w:t>
            </w:r>
          </w:p>
        </w:tc>
      </w:tr>
    </w:tbl>
    <w:p>
      <w:pPr>
        <w:pStyle w:val="TextBody"/>
        <w:spacing w:before="0" w:after="0"/>
        <w:ind w:left="0" w:right="0" w:hanging="0"/>
        <w:jc w:val="both"/>
        <w:rPr>
          <w:caps w:val="false"/>
          <w:smallCaps w:val="false"/>
        </w:rPr>
      </w:pPr>
      <w:r>
        <w:rPr>
          <w:caps w:val="false"/>
          <w:smallCaps w:val="false"/>
        </w:rPr>
        <w:t> </w:t>
      </w:r>
    </w:p>
    <w:tbl>
      <w:tblPr>
        <w:tblW w:w="10105" w:type="dxa"/>
        <w:jc w:val="left"/>
        <w:tblInd w:w="0" w:type="dxa"/>
        <w:tblCellMar>
          <w:top w:w="0" w:type="dxa"/>
          <w:left w:w="0" w:type="dxa"/>
          <w:bottom w:w="0" w:type="dxa"/>
          <w:right w:w="0" w:type="dxa"/>
        </w:tblCellMar>
      </w:tblPr>
      <w:tblGrid>
        <w:gridCol w:w="75"/>
        <w:gridCol w:w="170"/>
        <w:gridCol w:w="98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8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assisting management in complying with our proxy statement and annual report disclosure requirements;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approving all special perquisites, special cash payments and other special compensation and benefit arrangements for our executive officers and employees;</w:t>
            </w:r>
          </w:p>
        </w:tc>
      </w:tr>
    </w:tbl>
    <w:p>
      <w:pPr>
        <w:pStyle w:val="TextBody"/>
        <w:spacing w:before="0" w:after="0"/>
        <w:ind w:left="0" w:right="0" w:hanging="0"/>
        <w:jc w:val="both"/>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170"/>
        <w:gridCol w:w="91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12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producing a report on executive compensation to be included in our annual proxy statement; and</w:t>
            </w:r>
          </w:p>
        </w:tc>
      </w:tr>
    </w:tbl>
    <w:p>
      <w:pPr>
        <w:pStyle w:val="TextBody"/>
        <w:spacing w:before="0" w:after="0"/>
        <w:ind w:left="0" w:right="0" w:hanging="0"/>
        <w:jc w:val="both"/>
        <w:rPr>
          <w:caps w:val="false"/>
          <w:smallCaps w:val="false"/>
        </w:rPr>
      </w:pPr>
      <w:r>
        <w:rPr>
          <w:caps w:val="false"/>
          <w:smallCaps w:val="false"/>
        </w:rPr>
        <w:t> </w:t>
      </w:r>
    </w:p>
    <w:tbl>
      <w:tblPr>
        <w:tblW w:w="9610" w:type="dxa"/>
        <w:jc w:val="left"/>
        <w:tblInd w:w="0" w:type="dxa"/>
        <w:tblCellMar>
          <w:top w:w="0" w:type="dxa"/>
          <w:left w:w="0" w:type="dxa"/>
          <w:bottom w:w="0" w:type="dxa"/>
          <w:right w:w="0" w:type="dxa"/>
        </w:tblCellMar>
      </w:tblPr>
      <w:tblGrid>
        <w:gridCol w:w="75"/>
        <w:gridCol w:w="170"/>
        <w:gridCol w:w="93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36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reviewing, evaluating and recommending changes, if appropriate, to the remuneration for directors.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that applies to all of our executive officers, directors and employees. The code of ethics codifies the business and ethical principles that govern all aspects of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be aware of the following potential conflicts of interest: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None of our officers and directors are required to commit their full time to our affairs and, accordingly, they may have conflicts of interest in allocating their time among various business activities.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Our officers and directors may in the future become affiliated with entities, including other blank check companies, engaged in business activities similar to those intended to be conducted by our company.</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shares. For the foregoing reasons, our board may have a conflict of interest in determining whether a particular target business is an appropriate business with which to effect our initial business combination.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officers and directors of a corporation incorporated under the laws of the State of Delaware are required to present business opportunities to a corporation if:</w:t>
      </w:r>
    </w:p>
    <w:p>
      <w:pPr>
        <w:pStyle w:val="TextBody"/>
        <w:spacing w:before="0" w:after="0"/>
        <w:ind w:left="0" w:right="0" w:hanging="0"/>
        <w:jc w:val="both"/>
        <w:rPr>
          <w:caps w:val="false"/>
          <w:smallCaps w:val="false"/>
        </w:rPr>
      </w:pPr>
      <w:r>
        <w:rPr>
          <w:caps w:val="false"/>
          <w:smallCaps w:val="false"/>
        </w:rPr>
        <w:t> </w:t>
      </w:r>
    </w:p>
    <w:tbl>
      <w:tblPr>
        <w:tblW w:w="5890" w:type="dxa"/>
        <w:jc w:val="left"/>
        <w:tblInd w:w="0" w:type="dxa"/>
        <w:tblCellMar>
          <w:top w:w="0" w:type="dxa"/>
          <w:left w:w="0" w:type="dxa"/>
          <w:bottom w:w="0" w:type="dxa"/>
          <w:right w:w="0" w:type="dxa"/>
        </w:tblCellMar>
      </w:tblPr>
      <w:tblGrid>
        <w:gridCol w:w="75"/>
        <w:gridCol w:w="170"/>
        <w:gridCol w:w="56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564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corporation could financially undertake the opportunity;</w:t>
            </w:r>
          </w:p>
        </w:tc>
      </w:tr>
    </w:tbl>
    <w:p>
      <w:pPr>
        <w:pStyle w:val="TextBody"/>
        <w:spacing w:before="0" w:after="0"/>
        <w:ind w:left="0" w:right="0" w:hanging="0"/>
        <w:jc w:val="both"/>
        <w:rPr>
          <w:caps w:val="false"/>
          <w:smallCaps w:val="false"/>
        </w:rPr>
      </w:pPr>
      <w:r>
        <w:rPr>
          <w:caps w:val="false"/>
          <w:smallCaps w:val="false"/>
        </w:rPr>
        <w:t> </w:t>
      </w:r>
    </w:p>
    <w:tbl>
      <w:tblPr>
        <w:tblW w:w="6220" w:type="dxa"/>
        <w:jc w:val="left"/>
        <w:tblInd w:w="0" w:type="dxa"/>
        <w:tblCellMar>
          <w:top w:w="0" w:type="dxa"/>
          <w:left w:w="0" w:type="dxa"/>
          <w:bottom w:w="0" w:type="dxa"/>
          <w:right w:w="0" w:type="dxa"/>
        </w:tblCellMar>
      </w:tblPr>
      <w:tblGrid>
        <w:gridCol w:w="75"/>
        <w:gridCol w:w="170"/>
        <w:gridCol w:w="59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597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opportunity is within the corporation’s line of business;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would not be fair to the corporation and its stockholders for the opportunity not to be brought to the attention of the corporation.</w:t>
            </w:r>
          </w:p>
        </w:tc>
      </w:tr>
    </w:tbl>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our Initial Public Offering.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26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current material pre-existing fiduciary or contractual obligations of our officers, directors and director nominees: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850"/>
        <w:gridCol w:w="60"/>
        <w:gridCol w:w="2982"/>
        <w:gridCol w:w="60"/>
        <w:gridCol w:w="1553"/>
        <w:gridCol w:w="60"/>
        <w:gridCol w:w="3563"/>
        <w:gridCol w:w="77"/>
      </w:tblGrid>
      <w:tr>
        <w:trPr/>
        <w:tc>
          <w:tcPr>
            <w:tcW w:w="1850" w:type="dxa"/>
            <w:tcBorders>
              <w:bottom w:val="single" w:sz="12" w:space="0" w:color="000000"/>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Name of Individual</w:t>
            </w:r>
          </w:p>
        </w:tc>
        <w:tc>
          <w:tcPr>
            <w:tcW w:w="60" w:type="dxa"/>
            <w:tcBorders/>
            <w:shd w:fill="auto" w:val="clear"/>
            <w:tcMar>
              <w:bottom w:w="0" w:type="dxa"/>
            </w:tcMar>
            <w:vAlign w:val="center"/>
          </w:tcPr>
          <w:p>
            <w:pPr>
              <w:pStyle w:val="TableContents"/>
              <w:spacing w:before="0" w:after="283"/>
              <w:rPr/>
            </w:pPr>
            <w:r>
              <w:rPr/>
              <w:t> </w:t>
            </w:r>
          </w:p>
        </w:tc>
        <w:tc>
          <w:tcPr>
            <w:tcW w:w="2982"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Name of Affiliated Company</w:t>
            </w:r>
          </w:p>
        </w:tc>
        <w:tc>
          <w:tcPr>
            <w:tcW w:w="60" w:type="dxa"/>
            <w:tcBorders/>
            <w:shd w:fill="auto" w:val="clear"/>
            <w:tcMar>
              <w:bottom w:w="0" w:type="dxa"/>
            </w:tcMar>
            <w:vAlign w:val="center"/>
          </w:tcPr>
          <w:p>
            <w:pPr>
              <w:pStyle w:val="TableContents"/>
              <w:spacing w:before="0" w:after="283"/>
              <w:rPr/>
            </w:pPr>
            <w:r>
              <w:rPr/>
              <w:t> </w:t>
            </w:r>
          </w:p>
        </w:tc>
        <w:tc>
          <w:tcPr>
            <w:tcW w:w="1553"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Entity’s Business</w:t>
            </w:r>
          </w:p>
        </w:tc>
        <w:tc>
          <w:tcPr>
            <w:tcW w:w="60" w:type="dxa"/>
            <w:tcBorders/>
            <w:shd w:fill="auto" w:val="clear"/>
            <w:tcMar>
              <w:bottom w:w="0" w:type="dxa"/>
            </w:tcMar>
            <w:vAlign w:val="center"/>
          </w:tcPr>
          <w:p>
            <w:pPr>
              <w:pStyle w:val="TableContents"/>
              <w:spacing w:before="0" w:after="283"/>
              <w:rPr/>
            </w:pPr>
            <w:r>
              <w:rPr/>
              <w:t> </w:t>
            </w:r>
          </w:p>
        </w:tc>
        <w:tc>
          <w:tcPr>
            <w:tcW w:w="3563"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Affiliation</w:t>
            </w:r>
          </w:p>
        </w:tc>
        <w:tc>
          <w:tcPr>
            <w:tcW w:w="77" w:type="dxa"/>
            <w:tcBorders/>
            <w:shd w:fill="auto"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Aaron Davis</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Boxer Capital, LLC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Investment Fund</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Chief Executive Officer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MVA Investors, LLC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Investment Fund</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Chief Executive Officer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Mirati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Odonate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iTeos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Tango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CiVi Biopharma Holdings,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Executive Chairman</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Sojournix,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Rain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Christopher Fuglesang</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Boxer Capital, LLC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Investment Fund</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Managing 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MVA Investors, LLC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Investment Fund</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President</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Pandion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CiVi Biopharma Holdings,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Coho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Shoreline Biosciences,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Michael Beauchamp</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Boxer Capital, LLC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Investment Fund</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Vice President of Finance</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Andrew Ellis</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Boxer Capital, LLC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Investment Fund</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Senior Vice President</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Carole L. Nuechterlein</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F. Hoffmann-La Roche Ltd.</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Deputy Director, Head of Roche Venture Fund</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Millendo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Aligos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Vivet Therapeutics SAS</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CiVi Biopharma Holdings,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Entrada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Mission Therapeutics Ltd.</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Arch Oncology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Second Genome,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Enthera Therapeutics</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jc w:val="both"/>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Richard Heyman</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Arch Ventures</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Investment Fund</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Venture Partner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Metacrine,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Chairman</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Millendo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ORIC Pharmaceuticals</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YumanityTherapeutics,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Vividion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PMV Pharmaceuticals,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Chairman</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Amunix,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jc w:val="both"/>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Charles M. Baum</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Mirati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President, Chief Executive Officer and Director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OncoMyx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Chairman</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jc w:val="both"/>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Jamie G. Christensen</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Mirati Therapeutics, Inc.</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Therapeutics</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Executive Vice President and Chief Scientific Officer</w:t>
            </w:r>
          </w:p>
        </w:tc>
        <w:tc>
          <w:tcPr>
            <w:tcW w:w="77"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982"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55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63" w:type="dxa"/>
            <w:tcBorders/>
            <w:shd w:fill="FFFFFF" w:val="clear"/>
            <w:tcMar>
              <w:bottom w:w="0" w:type="dxa"/>
            </w:tcMar>
            <w:vAlign w:val="center"/>
          </w:tcPr>
          <w:p>
            <w:pPr>
              <w:pStyle w:val="TableContents"/>
              <w:spacing w:before="0" w:after="283"/>
              <w:rPr/>
            </w:pPr>
            <w:r>
              <w:rPr/>
              <w:t> </w:t>
            </w:r>
          </w:p>
        </w:tc>
        <w:tc>
          <w:tcPr>
            <w:tcW w:w="77"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James B. Avery</w:t>
            </w:r>
          </w:p>
        </w:tc>
        <w:tc>
          <w:tcPr>
            <w:tcW w:w="60" w:type="dxa"/>
            <w:tcBorders/>
            <w:shd w:fill="CCEEFF" w:val="clear"/>
            <w:tcMar>
              <w:bottom w:w="0" w:type="dxa"/>
            </w:tcMar>
            <w:vAlign w:val="center"/>
          </w:tcPr>
          <w:p>
            <w:pPr>
              <w:pStyle w:val="TableContents"/>
              <w:spacing w:before="0" w:after="283"/>
              <w:rPr/>
            </w:pPr>
            <w:r>
              <w:rPr/>
              <w:t> </w:t>
            </w:r>
          </w:p>
        </w:tc>
        <w:tc>
          <w:tcPr>
            <w:tcW w:w="2982"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Tavistock Group</w:t>
            </w:r>
          </w:p>
        </w:tc>
        <w:tc>
          <w:tcPr>
            <w:tcW w:w="60" w:type="dxa"/>
            <w:tcBorders/>
            <w:shd w:fill="CCEEFF" w:val="clear"/>
            <w:tcMar>
              <w:bottom w:w="0" w:type="dxa"/>
            </w:tcMar>
            <w:vAlign w:val="center"/>
          </w:tcPr>
          <w:p>
            <w:pPr>
              <w:pStyle w:val="TableContents"/>
              <w:spacing w:before="0" w:after="283"/>
              <w:rPr/>
            </w:pPr>
            <w:r>
              <w:rPr/>
              <w:t> </w:t>
            </w:r>
          </w:p>
        </w:tc>
        <w:tc>
          <w:tcPr>
            <w:tcW w:w="155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Financial</w:t>
            </w:r>
          </w:p>
        </w:tc>
        <w:tc>
          <w:tcPr>
            <w:tcW w:w="60" w:type="dxa"/>
            <w:tcBorders/>
            <w:shd w:fill="CCEEFF" w:val="clear"/>
            <w:tcMar>
              <w:bottom w:w="0" w:type="dxa"/>
            </w:tcMar>
            <w:vAlign w:val="center"/>
          </w:tcPr>
          <w:p>
            <w:pPr>
              <w:pStyle w:val="TableContents"/>
              <w:spacing w:before="0" w:after="283"/>
              <w:rPr/>
            </w:pPr>
            <w:r>
              <w:rPr/>
              <w:t> </w:t>
            </w:r>
          </w:p>
        </w:tc>
        <w:tc>
          <w:tcPr>
            <w:tcW w:w="3563"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Senior Managing Director</w:t>
            </w:r>
          </w:p>
        </w:tc>
        <w:tc>
          <w:tcPr>
            <w:tcW w:w="77" w:type="dxa"/>
            <w:tcBorders/>
            <w:shd w:fill="CCEEFF" w:val="clear"/>
            <w:tcMar>
              <w:bottom w:w="0" w:type="dxa"/>
            </w:tcMar>
            <w:vAlign w:val="center"/>
          </w:tcPr>
          <w:p>
            <w:pPr>
              <w:pStyle w:val="TableContents"/>
              <w:spacing w:before="0" w:after="283"/>
              <w:rPr/>
            </w:pPr>
            <w:r>
              <w:rPr/>
              <w:t> </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11.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employment agreements with our executive officers and have not made any agreements to provide benefits upon termination of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executive officer has received any cash compensation for services rendered to us.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However, such individuals will be reimbursed for any out-of-pocket expenses incurred in connection with activities on our behalf such as identifying potential target businesses and performing due diligence on suitable business combinations. There is no limit on the amount of these out-of-pocket expenses and there will be no review of the reasonableness of the expenses by anyone other than our board of directors and audit committee, which includes persons who may seek reimbursement, or a court of competent jurisdiction if such reimbursement is challenged.</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spacing w:before="0" w:after="0"/>
        <w:ind w:left="0" w:right="0" w:hanging="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March 31, 2021 the number of shares of common stock beneficially owned by (i) each person who is known by us to be the beneficial owner of more than five percent of our issued and outstanding common stock(ii) each of our officers and directors; and (iii) all of our officers and directors as a group. As of March 31, 2021, we had 21,377,250 shares of common stock issued and outstanding.</w:t>
      </w:r>
    </w:p>
    <w:p>
      <w:pPr>
        <w:pStyle w:val="TextBody"/>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owned by them. The following table does not reflect record of beneficial ownership of any shares issuable upon exercise of derivative securities that are not exercisable within 60 days of March 31, 2021.</w:t>
      </w:r>
    </w:p>
    <w:p>
      <w:pPr>
        <w:pStyle w:val="TextBody"/>
        <w:spacing w:before="0" w:after="0"/>
        <w:ind w:left="0" w:right="0" w:hanging="0"/>
        <w:jc w:val="both"/>
        <w:rPr>
          <w:caps w:val="false"/>
          <w:smallCaps w:val="false"/>
        </w:rPr>
      </w:pPr>
      <w:r>
        <w:rPr>
          <w:caps w:val="false"/>
          <w:smallCaps w:val="false"/>
        </w:rPr>
        <w:t> </w:t>
      </w:r>
    </w:p>
    <w:tbl>
      <w:tblPr>
        <w:tblW w:w="8059" w:type="dxa"/>
        <w:jc w:val="left"/>
        <w:tblInd w:w="0" w:type="dxa"/>
        <w:tblCellMar>
          <w:top w:w="0" w:type="dxa"/>
          <w:left w:w="0" w:type="dxa"/>
          <w:bottom w:w="28" w:type="dxa"/>
          <w:right w:w="0" w:type="dxa"/>
        </w:tblCellMar>
      </w:tblPr>
      <w:tblGrid>
        <w:gridCol w:w="4835"/>
        <w:gridCol w:w="60"/>
        <w:gridCol w:w="68"/>
        <w:gridCol w:w="1122"/>
        <w:gridCol w:w="60"/>
        <w:gridCol w:w="60"/>
        <w:gridCol w:w="167"/>
        <w:gridCol w:w="1232"/>
        <w:gridCol w:w="455"/>
      </w:tblGrid>
      <w:tr>
        <w:trPr/>
        <w:tc>
          <w:tcPr>
            <w:tcW w:w="4835" w:type="dxa"/>
            <w:tcBorders>
              <w:bottom w:val="single" w:sz="12" w:space="0" w:color="000000"/>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Name and Address of Beneficial Owner</w:t>
            </w:r>
            <w:r>
              <w:rPr>
                <w:rFonts w:ascii="Times New Roman;Times;Serif" w:hAnsi="Times New Roman;Times;Serif"/>
                <w:b/>
                <w:position w:val="8"/>
                <w:sz w:val="19"/>
              </w:rPr>
              <w:t>(1)</w:t>
            </w:r>
          </w:p>
        </w:tc>
        <w:tc>
          <w:tcPr>
            <w:tcW w:w="60" w:type="dxa"/>
            <w:tcBorders/>
            <w:shd w:fill="auto" w:val="clear"/>
            <w:tcMar>
              <w:bottom w:w="0" w:type="dxa"/>
            </w:tcMar>
            <w:vAlign w:val="center"/>
          </w:tcPr>
          <w:p>
            <w:pPr>
              <w:pStyle w:val="TableContents"/>
              <w:spacing w:before="0" w:after="283"/>
              <w:rPr/>
            </w:pPr>
            <w:r>
              <w:rPr/>
              <w:t> </w:t>
            </w:r>
          </w:p>
        </w:tc>
        <w:tc>
          <w:tcPr>
            <w:tcW w:w="119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Number of</w:t>
              <w:br/>
              <w:t>Shares</w:t>
              <w:br/>
              <w:t>Beneficially</w:t>
              <w:br/>
              <w:t>Owned</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9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Approximate</w:t>
              <w:br/>
              <w:t>Percentage of</w:t>
              <w:br/>
              <w:t>Outstanding</w:t>
              <w:br/>
              <w:t>Shares</w:t>
            </w:r>
          </w:p>
        </w:tc>
        <w:tc>
          <w:tcPr>
            <w:tcW w:w="455" w:type="dxa"/>
            <w:tcBorders/>
            <w:shd w:fill="auto" w:val="clear"/>
            <w:tcMar>
              <w:bottom w:w="0" w:type="dxa"/>
            </w:tcMar>
            <w:vAlign w:val="center"/>
          </w:tcPr>
          <w:p>
            <w:pPr>
              <w:pStyle w:val="TableContents"/>
              <w:spacing w:before="0" w:after="283"/>
              <w:ind w:left="0" w:right="0" w:hanging="200"/>
              <w:rPr/>
            </w:pPr>
            <w:r>
              <w:rPr/>
              <w:t> </w:t>
            </w:r>
          </w:p>
        </w:tc>
      </w:tr>
      <w:tr>
        <w:trPr/>
        <w:tc>
          <w:tcPr>
            <w:tcW w:w="48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 xml:space="preserve">BCTG Holdings, LLC (our sponsor)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4,488,450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jc w:val="left"/>
              <w:rPr/>
            </w:pPr>
            <w:r>
              <w:rPr/>
              <w:t> </w:t>
            </w:r>
          </w:p>
        </w:tc>
        <w:tc>
          <w:tcPr>
            <w:tcW w:w="123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21.0</w:t>
            </w:r>
          </w:p>
        </w:tc>
        <w:tc>
          <w:tcPr>
            <w:tcW w:w="455" w:type="dxa"/>
            <w:tcBorders/>
            <w:shd w:fill="CCEEFF" w:val="clear"/>
            <w:tcMar>
              <w:bottom w:w="0" w:type="dxa"/>
            </w:tcMar>
            <w:vAlign w:val="center"/>
          </w:tcPr>
          <w:p>
            <w:pPr>
              <w:pStyle w:val="TableContents"/>
              <w:spacing w:before="0" w:after="283"/>
              <w:ind w:left="0" w:right="0" w:hanging="200"/>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(3)</w:t>
            </w:r>
          </w:p>
        </w:tc>
      </w:tr>
      <w:tr>
        <w:trPr/>
        <w:tc>
          <w:tcPr>
            <w:tcW w:w="48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Aaron Davis</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1122"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center"/>
          </w:tcPr>
          <w:p>
            <w:pPr>
              <w:pStyle w:val="TableContents"/>
              <w:spacing w:before="0" w:after="283"/>
              <w:jc w:val="left"/>
              <w:rPr/>
            </w:pPr>
            <w:r>
              <w:rPr/>
              <w:t> </w:t>
            </w:r>
          </w:p>
        </w:tc>
        <w:tc>
          <w:tcPr>
            <w:tcW w:w="1232" w:type="dxa"/>
            <w:tcBorders/>
            <w:shd w:fill="FFFFFF" w:val="clear"/>
            <w:tcMar>
              <w:bottom w:w="0" w:type="dxa"/>
            </w:tcMar>
            <w:vAlign w:val="center"/>
          </w:tcPr>
          <w:p>
            <w:pPr>
              <w:pStyle w:val="TableContents"/>
              <w:spacing w:before="0" w:after="283"/>
              <w:jc w:val="right"/>
              <w:rPr/>
            </w:pPr>
            <w:r>
              <w:rPr/>
              <w:t>—</w:t>
            </w:r>
          </w:p>
        </w:tc>
        <w:tc>
          <w:tcPr>
            <w:tcW w:w="455" w:type="dxa"/>
            <w:tcBorders/>
            <w:shd w:fill="FFFF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Christopher Fuglesang</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jc w:val="left"/>
              <w:rPr/>
            </w:pPr>
            <w:r>
              <w:rPr/>
              <w:t> </w:t>
            </w:r>
          </w:p>
        </w:tc>
        <w:tc>
          <w:tcPr>
            <w:tcW w:w="1232" w:type="dxa"/>
            <w:tcBorders/>
            <w:shd w:fill="CCEEFF" w:val="clear"/>
            <w:tcMar>
              <w:bottom w:w="0" w:type="dxa"/>
            </w:tcMar>
            <w:vAlign w:val="center"/>
          </w:tcPr>
          <w:p>
            <w:pPr>
              <w:pStyle w:val="TableContents"/>
              <w:spacing w:before="0" w:after="283"/>
              <w:jc w:val="right"/>
              <w:rPr/>
            </w:pPr>
            <w:r>
              <w:rPr/>
              <w:t>—</w:t>
            </w:r>
          </w:p>
        </w:tc>
        <w:tc>
          <w:tcPr>
            <w:tcW w:w="45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Michael Beauchamp</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1122"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center"/>
          </w:tcPr>
          <w:p>
            <w:pPr>
              <w:pStyle w:val="TableContents"/>
              <w:spacing w:before="0" w:after="283"/>
              <w:jc w:val="left"/>
              <w:rPr/>
            </w:pPr>
            <w:r>
              <w:rPr/>
              <w:t> </w:t>
            </w:r>
          </w:p>
        </w:tc>
        <w:tc>
          <w:tcPr>
            <w:tcW w:w="1232" w:type="dxa"/>
            <w:tcBorders/>
            <w:shd w:fill="FFFFFF" w:val="clear"/>
            <w:tcMar>
              <w:bottom w:w="0" w:type="dxa"/>
            </w:tcMar>
            <w:vAlign w:val="center"/>
          </w:tcPr>
          <w:p>
            <w:pPr>
              <w:pStyle w:val="TableContents"/>
              <w:spacing w:before="0" w:after="283"/>
              <w:jc w:val="right"/>
              <w:rPr/>
            </w:pPr>
            <w:r>
              <w:rPr/>
              <w:t>—</w:t>
            </w:r>
          </w:p>
        </w:tc>
        <w:tc>
          <w:tcPr>
            <w:tcW w:w="455" w:type="dxa"/>
            <w:tcBorders/>
            <w:shd w:fill="FFFF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Andrew Ellis</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jc w:val="left"/>
              <w:rPr/>
            </w:pPr>
            <w:r>
              <w:rPr/>
              <w:t> </w:t>
            </w:r>
          </w:p>
        </w:tc>
        <w:tc>
          <w:tcPr>
            <w:tcW w:w="1232" w:type="dxa"/>
            <w:tcBorders/>
            <w:shd w:fill="CCEEFF" w:val="clear"/>
            <w:tcMar>
              <w:bottom w:w="0" w:type="dxa"/>
            </w:tcMar>
            <w:vAlign w:val="center"/>
          </w:tcPr>
          <w:p>
            <w:pPr>
              <w:pStyle w:val="TableContents"/>
              <w:spacing w:before="0" w:after="283"/>
              <w:jc w:val="right"/>
              <w:rPr/>
            </w:pPr>
            <w:r>
              <w:rPr/>
              <w:t>—</w:t>
            </w:r>
          </w:p>
        </w:tc>
        <w:tc>
          <w:tcPr>
            <w:tcW w:w="45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Carole L. Nuechterlein</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1122"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center"/>
          </w:tcPr>
          <w:p>
            <w:pPr>
              <w:pStyle w:val="TableContents"/>
              <w:spacing w:before="0" w:after="283"/>
              <w:jc w:val="left"/>
              <w:rPr/>
            </w:pPr>
            <w:r>
              <w:rPr/>
              <w:t> </w:t>
            </w:r>
          </w:p>
        </w:tc>
        <w:tc>
          <w:tcPr>
            <w:tcW w:w="1232" w:type="dxa"/>
            <w:tcBorders/>
            <w:shd w:fill="FFFFFF" w:val="clear"/>
            <w:tcMar>
              <w:bottom w:w="0" w:type="dxa"/>
            </w:tcMar>
            <w:vAlign w:val="center"/>
          </w:tcPr>
          <w:p>
            <w:pPr>
              <w:pStyle w:val="TableContents"/>
              <w:spacing w:before="0" w:after="283"/>
              <w:jc w:val="right"/>
              <w:rPr/>
            </w:pPr>
            <w:r>
              <w:rPr/>
              <w:t>—</w:t>
            </w:r>
          </w:p>
        </w:tc>
        <w:tc>
          <w:tcPr>
            <w:tcW w:w="455" w:type="dxa"/>
            <w:tcBorders/>
            <w:shd w:fill="FFFF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Richard Heyman</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40,600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jc w:val="left"/>
              <w:rPr/>
            </w:pPr>
            <w:r>
              <w:rPr/>
              <w:t> </w:t>
            </w:r>
          </w:p>
        </w:tc>
        <w:tc>
          <w:tcPr>
            <w:tcW w:w="123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45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Charles M. Baum</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1122"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40,600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center"/>
          </w:tcPr>
          <w:p>
            <w:pPr>
              <w:pStyle w:val="TableContents"/>
              <w:spacing w:before="0" w:after="283"/>
              <w:jc w:val="left"/>
              <w:rPr/>
            </w:pPr>
            <w:r>
              <w:rPr/>
              <w:t> </w:t>
            </w:r>
          </w:p>
        </w:tc>
        <w:tc>
          <w:tcPr>
            <w:tcW w:w="1232"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455" w:type="dxa"/>
            <w:tcBorders/>
            <w:shd w:fill="FFFF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Jamie G. Christensen</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40,600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jc w:val="left"/>
              <w:rPr/>
            </w:pPr>
            <w:r>
              <w:rPr/>
              <w:t> </w:t>
            </w:r>
          </w:p>
        </w:tc>
        <w:tc>
          <w:tcPr>
            <w:tcW w:w="123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45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James B. Avery</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1122"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center"/>
          </w:tcPr>
          <w:p>
            <w:pPr>
              <w:pStyle w:val="TableContents"/>
              <w:spacing w:before="0" w:after="283"/>
              <w:jc w:val="left"/>
              <w:rPr/>
            </w:pPr>
            <w:r>
              <w:rPr/>
              <w:t> </w:t>
            </w:r>
          </w:p>
        </w:tc>
        <w:tc>
          <w:tcPr>
            <w:tcW w:w="1232" w:type="dxa"/>
            <w:tcBorders/>
            <w:shd w:fill="FFFFFF" w:val="clear"/>
            <w:tcMar>
              <w:bottom w:w="0" w:type="dxa"/>
            </w:tcMar>
            <w:vAlign w:val="center"/>
          </w:tcPr>
          <w:p>
            <w:pPr>
              <w:pStyle w:val="TableContents"/>
              <w:spacing w:before="0" w:after="283"/>
              <w:jc w:val="right"/>
              <w:rPr/>
            </w:pPr>
            <w:r>
              <w:rPr/>
              <w:t>—</w:t>
            </w:r>
          </w:p>
        </w:tc>
        <w:tc>
          <w:tcPr>
            <w:tcW w:w="455" w:type="dxa"/>
            <w:tcBorders/>
            <w:shd w:fill="FFFF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All officers and directors as a group (9 individuals)</w:t>
            </w:r>
          </w:p>
        </w:tc>
        <w:tc>
          <w:tcPr>
            <w:tcW w:w="60" w:type="dxa"/>
            <w:tcBorders/>
            <w:shd w:fill="CCEEFF" w:val="clear"/>
            <w:tcMar>
              <w:bottom w:w="0" w:type="dxa"/>
            </w:tcMar>
            <w:vAlign w:val="center"/>
          </w:tcPr>
          <w:p>
            <w:pPr>
              <w:pStyle w:val="TableContents"/>
              <w:spacing w:before="0" w:after="283"/>
              <w:rPr/>
            </w:pPr>
            <w:r>
              <w:rPr/>
              <w:t> </w:t>
            </w:r>
          </w:p>
        </w:tc>
        <w:tc>
          <w:tcPr>
            <w:tcW w:w="6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121,800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center"/>
          </w:tcPr>
          <w:p>
            <w:pPr>
              <w:pStyle w:val="TableContents"/>
              <w:spacing w:before="0" w:after="283"/>
              <w:jc w:val="left"/>
              <w:rPr/>
            </w:pPr>
            <w:r>
              <w:rPr/>
              <w:t> </w:t>
            </w:r>
          </w:p>
        </w:tc>
        <w:tc>
          <w:tcPr>
            <w:tcW w:w="1232"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455" w:type="dxa"/>
            <w:tcBorders/>
            <w:shd w:fill="CCEEFF" w:val="clear"/>
            <w:tcMar>
              <w:bottom w:w="0" w:type="dxa"/>
            </w:tcMar>
            <w:vAlign w:val="center"/>
          </w:tcPr>
          <w:p>
            <w:pPr>
              <w:pStyle w:val="TableContents"/>
              <w:spacing w:before="0" w:after="283"/>
              <w:ind w:left="0" w:right="0" w:hanging="200"/>
              <w:jc w:val="left"/>
              <w:rPr/>
            </w:pPr>
            <w:r>
              <w:rPr/>
              <w:t> </w:t>
            </w:r>
          </w:p>
        </w:tc>
      </w:tr>
      <w:tr>
        <w:trPr/>
        <w:tc>
          <w:tcPr>
            <w:tcW w:w="483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8" w:type="dxa"/>
            <w:tcBorders/>
            <w:shd w:fill="FFFFFF" w:val="clear"/>
            <w:tcMar>
              <w:bottom w:w="0" w:type="dxa"/>
            </w:tcMar>
            <w:vAlign w:val="center"/>
          </w:tcPr>
          <w:p>
            <w:pPr>
              <w:pStyle w:val="TableContents"/>
              <w:spacing w:before="0" w:after="283"/>
              <w:jc w:val="left"/>
              <w:rPr/>
            </w:pPr>
            <w:r>
              <w:rPr/>
              <w:t> </w:t>
            </w:r>
          </w:p>
        </w:tc>
        <w:tc>
          <w:tcPr>
            <w:tcW w:w="1122"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4,610,250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center"/>
          </w:tcPr>
          <w:p>
            <w:pPr>
              <w:pStyle w:val="TableContents"/>
              <w:spacing w:before="0" w:after="283"/>
              <w:jc w:val="left"/>
              <w:rPr/>
            </w:pPr>
            <w:r>
              <w:rPr/>
              <w:t> </w:t>
            </w:r>
          </w:p>
        </w:tc>
        <w:tc>
          <w:tcPr>
            <w:tcW w:w="1232"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21.6</w:t>
            </w:r>
          </w:p>
        </w:tc>
        <w:tc>
          <w:tcPr>
            <w:tcW w:w="45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(3)</w:t>
            </w:r>
          </w:p>
        </w:tc>
      </w:tr>
    </w:tbl>
    <w:p>
      <w:pPr>
        <w:pStyle w:val="TextBody"/>
        <w:spacing w:before="0" w:after="0"/>
        <w:ind w:left="0" w:right="0" w:hanging="0"/>
        <w:rPr>
          <w:caps w:val="false"/>
          <w:smallCaps w:val="false"/>
        </w:rPr>
      </w:pPr>
      <w:r>
        <w:rPr>
          <w:caps w:val="false"/>
          <w:smallCaps w:val="false"/>
        </w:rPr>
        <w:t> </w:t>
      </w:r>
    </w:p>
    <w:tbl>
      <w:tblPr>
        <w:tblW w:w="1728" w:type="dxa"/>
        <w:jc w:val="left"/>
        <w:tblInd w:w="0" w:type="dxa"/>
        <w:tblCellMar>
          <w:top w:w="0" w:type="dxa"/>
          <w:left w:w="0" w:type="dxa"/>
          <w:bottom w:w="0" w:type="dxa"/>
          <w:right w:w="0" w:type="dxa"/>
        </w:tblCellMar>
      </w:tblPr>
      <w:tblGrid>
        <w:gridCol w:w="38"/>
        <w:gridCol w:w="140"/>
        <w:gridCol w:w="155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55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Less than 1.0%.</w:t>
            </w:r>
          </w:p>
        </w:tc>
      </w:tr>
    </w:tbl>
    <w:p>
      <w:pPr>
        <w:pStyle w:val="TextBody"/>
        <w:spacing w:before="0" w:after="0"/>
        <w:ind w:left="36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0"/>
        <w:gridCol w:w="9907"/>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w:t>
            </w:r>
          </w:p>
        </w:tc>
        <w:tc>
          <w:tcPr>
            <w:tcW w:w="990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Unless otherwise indicated, the business address of each of the individuals is c/o BCTG Acquisition Corp., 12860 El Camino Real, Suite 300, San Diego, CA 92130</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w:t>
            </w:r>
          </w:p>
        </w:tc>
        <w:tc>
          <w:tcPr>
            <w:tcW w:w="993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 board consisting of Aaron Davis, Christopher Fuglesang and Andrew Ellis makes voting and dispositive decisions with respect to our securities owned by the sponsor.  Each of Aaron Davis, Christopher Fuglesang and Andrew Ellis disclaims any pecuniary interest in the sponsor except to the extent of his beneficial interest in the securities owned by the sponsor.</w:t>
            </w:r>
          </w:p>
        </w:tc>
      </w:tr>
    </w:tbl>
    <w:p>
      <w:pPr>
        <w:pStyle w:val="TextBody"/>
        <w:rPr/>
      </w:pPr>
      <w:r>
        <w:rPr/>
        <w:t> </w:t>
      </w:r>
    </w:p>
    <w:tbl>
      <w:tblPr>
        <w:tblW w:w="6918" w:type="dxa"/>
        <w:jc w:val="left"/>
        <w:tblInd w:w="0" w:type="dxa"/>
        <w:tblCellMar>
          <w:top w:w="0" w:type="dxa"/>
          <w:left w:w="0" w:type="dxa"/>
          <w:bottom w:w="0" w:type="dxa"/>
          <w:right w:w="0" w:type="dxa"/>
        </w:tblCellMar>
      </w:tblPr>
      <w:tblGrid>
        <w:gridCol w:w="38"/>
        <w:gridCol w:w="290"/>
        <w:gridCol w:w="659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(3)</w:t>
            </w:r>
          </w:p>
        </w:tc>
        <w:tc>
          <w:tcPr>
            <w:tcW w:w="659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Includes 533,500 private placement shares purchased by our sponsor.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29</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insider shares issued and outstanding prior to the date of our Initial Public Offering were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escrow period, the holders of these shares will not be able to sell or transfer their securities except (i) for transfers to our officers, directors or their respective affiliates (including for transfers to an entity’s members upon its liquidation), (ii) to relatives and trusts for estate planning purposes, (iii) by virtue of the laws of descent and distribution upon death, (iv) pursuant to a qualified domestic relations order, (v) by certain pledges to secure obligations incurred in connection with purchases of our securities, (vi) by private sales made at or prior to the consummation of a business combination at prices no greater than the price at which the shares were originally purchased or (vii) to us for no value for cancellation in connection with the consummation of our initial business combination, in each case (except for clause (vii)) where the transferee agrees to the terms of the escrow agreement,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13. CERTAIN RELATIONSHIPS AND RELATED TRANSACTIONS, AND 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2020, our sponsor purchased 3,593,750 shares for an aggregate purchase price of $25,000. In August 2020 and November 2020, respectively, our sponsor transferred an aggregate of 105,000 founder shares to our directors or at their direction, and an aggregate of 80,000 shares to our scientific advisors. On September 2, 2020, we declared a dividend of 0.16 shares for each outstanding share (an aggregate of 575,000 shares), resulting in an aggregate of 4,168,750 shares outstanding, which we refer to herein as “founder shares” or “insider shares.”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meet our working capital needs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 shares if $500,000 of notes were so converted). Such private shares will be identical to the private shares issued at the closing of our initial public offering. Our stockholders have approved the issuance of the private shares upon conversion of such notes, to the extent the holder wishes to so convert them at the time of the consummation of our initial business combination. If we do not complete a business combination, the loans will not be repaid.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30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insider shares, as well as the holders of the private shares, are entitled to registration and stockholder rights pursuant to a registration rights agreement.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and stockholder rights agreement our sponsor will be entitled, upon consummation of our initial business combination, to nominate three individuals for election to our board of directors.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compensation or fees of any kind, including finder’s fees, consulting fees or other similar compensation, will be paid to any of our initial stockholders, officers or directors who owned our shares of common stock prior to our initial public offering, or to any of their respective affiliates, prior to or with respect to the business combination (regardless of the type of transaction that it is).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shares of common stock issuable pursuant to the forward purchase agreement will be identical to the shares of common stock being sold in our initial public offering, except that the holders thereof will have certain registration rights, as described herein. The capital from such transaction may be used as part of the consideration to the sellers in our initial business combination, and any excess capital from such private placement would be used for working capital in the post-transaction company.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31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pursuant to its written charter, will be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procedures are intended to determine whether any such related party transaction impairs the independence of a director or presents a conflict of interest on the part of a director, employee or officer.</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unaffiliated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standards require that a majority of our board of directors be independent. For a description of the director independence, see above Part III, Item 10 - 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14. PRINCIPAL ACCOUNTANT FEES AND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fees paid or to be paid to WithumSmith+Brown, PC, or Withum, for services rendered.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Fees</w:t>
      </w:r>
      <w:r>
        <w:rPr>
          <w:rFonts w:ascii="Times New Roman;Times;Serif" w:hAnsi="Times New Roman;Times;Serif"/>
          <w:b w:val="false"/>
          <w:i w:val="false"/>
          <w:caps w:val="false"/>
          <w:smallCaps w:val="false"/>
          <w:sz w:val="20"/>
        </w:rPr>
        <w:t>. Audit fees consist of fees for professional services rendered for the audit of our year-end financial statements and services that are normally provided by Withum in connection with regulatory filings. The aggregate fees billed by Withum for professional services rendered for the audit of our annual financial statements, review of the financial information included in our Forms 10-Q for the respective periods and other required filings with the SEC for the period from May 21, 2020 (inception) through December 31, 2020 totaled $99,395. The above amounts include interim procedures and audit fees, as well as attendance at audit committee meetings.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Withum for consultations concerning financial accounting and reporting standards for the period from May 21, 2020 (inception) through December 31, 2020.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We did not pay Withum for tax planning and tax advice for the period from May 21, 2020 (inception) through December 31,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 Fees</w:t>
      </w:r>
      <w:r>
        <w:rPr>
          <w:rFonts w:ascii="Times New Roman;Times;Serif" w:hAnsi="Times New Roman;Times;Serif"/>
          <w:b w:val="false"/>
          <w:i w:val="false"/>
          <w:caps w:val="false"/>
          <w:smallCaps w:val="false"/>
          <w:sz w:val="20"/>
        </w:rPr>
        <w:t>. We did not pay Withum for other services for the period from May 21, 2020 (inception) through 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32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bookmarkStart w:id="24" w:name="a_023"/>
      <w:bookmarkEnd w:id="24"/>
      <w:r>
        <w:rPr>
          <w:rFonts w:ascii="Times New Roman;Times;Serif" w:hAnsi="Times New Roman;Times;Serif"/>
          <w:b/>
          <w:i w:val="false"/>
          <w:caps/>
          <w:sz w:val="20"/>
        </w:rPr>
        <w:t>part IV</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15. EXHIBITS AND FINANCIAL STATEMENT SCHEDULES</w:t>
      </w:r>
    </w:p>
    <w:p>
      <w:pPr>
        <w:pStyle w:val="TextBody"/>
        <w:spacing w:before="0" w:after="0"/>
        <w:ind w:left="0" w:right="0" w:hanging="0"/>
        <w:rPr>
          <w:caps w:val="false"/>
          <w:smallCaps w:val="false"/>
        </w:rPr>
      </w:pPr>
      <w:r>
        <w:rPr>
          <w:caps w:val="false"/>
          <w:smallCaps w:val="false"/>
        </w:rPr>
        <w:t> </w:t>
      </w:r>
    </w:p>
    <w:tbl>
      <w:tblPr>
        <w:tblW w:w="4068" w:type="dxa"/>
        <w:jc w:val="left"/>
        <w:tblInd w:w="0" w:type="dxa"/>
        <w:tblCellMar>
          <w:top w:w="0" w:type="dxa"/>
          <w:left w:w="0" w:type="dxa"/>
          <w:bottom w:w="0" w:type="dxa"/>
          <w:right w:w="0" w:type="dxa"/>
        </w:tblCellMar>
      </w:tblPr>
      <w:tblGrid>
        <w:gridCol w:w="38"/>
        <w:gridCol w:w="275"/>
        <w:gridCol w:w="375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w:t>
            </w:r>
          </w:p>
        </w:tc>
        <w:tc>
          <w:tcPr>
            <w:tcW w:w="375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The following are filed with this report:</w:t>
            </w:r>
          </w:p>
        </w:tc>
      </w:tr>
    </w:tbl>
    <w:p>
      <w:pPr>
        <w:pStyle w:val="TextBody"/>
        <w:spacing w:before="0" w:after="0"/>
        <w:ind w:left="0" w:right="0" w:hanging="0"/>
        <w:rPr>
          <w:caps w:val="false"/>
          <w:smallCaps w:val="false"/>
        </w:rPr>
      </w:pPr>
      <w:r>
        <w:rPr>
          <w:caps w:val="false"/>
          <w:smallCaps w:val="false"/>
        </w:rPr>
        <w:t> </w:t>
      </w:r>
    </w:p>
    <w:tbl>
      <w:tblPr>
        <w:tblW w:w="2373" w:type="dxa"/>
        <w:jc w:val="left"/>
        <w:tblInd w:w="0" w:type="dxa"/>
        <w:tblCellMar>
          <w:top w:w="0" w:type="dxa"/>
          <w:left w:w="0" w:type="dxa"/>
          <w:bottom w:w="0" w:type="dxa"/>
          <w:right w:w="0" w:type="dxa"/>
        </w:tblCellMar>
      </w:tblPr>
      <w:tblGrid>
        <w:gridCol w:w="38"/>
        <w:gridCol w:w="290"/>
        <w:gridCol w:w="204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w:t>
            </w:r>
          </w:p>
        </w:tc>
        <w:tc>
          <w:tcPr>
            <w:tcW w:w="204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Financial Statements:</w:t>
            </w:r>
          </w:p>
        </w:tc>
      </w:tr>
    </w:tbl>
    <w:p>
      <w:pPr>
        <w:pStyle w:val="TextBody"/>
        <w:spacing w:before="0" w:after="0"/>
        <w:ind w:left="0" w:right="0" w:hanging="0"/>
        <w:rPr>
          <w:caps w:val="false"/>
          <w:smallCaps w:val="false"/>
        </w:rPr>
      </w:pPr>
      <w:r>
        <w:rPr>
          <w:caps w:val="false"/>
          <w:smallCaps w:val="false"/>
        </w:rPr>
        <w:t> </w:t>
      </w:r>
    </w:p>
    <w:tbl>
      <w:tblPr>
        <w:tblW w:w="538" w:type="dxa"/>
        <w:jc w:val="left"/>
        <w:tblInd w:w="0" w:type="dxa"/>
        <w:tblCellMar>
          <w:top w:w="0" w:type="dxa"/>
          <w:left w:w="0" w:type="dxa"/>
          <w:bottom w:w="0" w:type="dxa"/>
          <w:right w:w="0" w:type="dxa"/>
        </w:tblCellMar>
      </w:tblPr>
      <w:tblGrid>
        <w:gridCol w:w="38"/>
        <w:gridCol w:w="500"/>
      </w:tblGrid>
      <w:tr>
        <w:trPr/>
        <w:tc>
          <w:tcPr>
            <w:tcW w:w="38" w:type="dxa"/>
            <w:tcBorders/>
            <w:shd w:fill="auto" w:val="clear"/>
            <w:vAlign w:val="center"/>
          </w:tcPr>
          <w:p>
            <w:pPr>
              <w:pStyle w:val="TableContents"/>
              <w:spacing w:before="0" w:after="283"/>
              <w:rPr>
                <w:sz w:val="4"/>
                <w:szCs w:val="4"/>
              </w:rPr>
            </w:pPr>
            <w:r>
              <w:rPr>
                <w:sz w:val="4"/>
                <w:szCs w:val="4"/>
              </w:rPr>
            </w:r>
          </w:p>
        </w:tc>
        <w:tc>
          <w:tcPr>
            <w:tcW w:w="50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Page</w:t>
            </w:r>
          </w:p>
        </w:tc>
      </w:tr>
    </w:tbl>
    <w:tbl>
      <w:tblPr>
        <w:tblW w:w="10205" w:type="dxa"/>
        <w:jc w:val="left"/>
        <w:tblInd w:w="0" w:type="dxa"/>
        <w:tblCellMar>
          <w:top w:w="0" w:type="dxa"/>
          <w:left w:w="0" w:type="dxa"/>
          <w:bottom w:w="0" w:type="dxa"/>
          <w:right w:w="0" w:type="dxa"/>
        </w:tblCellMar>
      </w:tblPr>
      <w:tblGrid>
        <w:gridCol w:w="9858"/>
        <w:gridCol w:w="347"/>
      </w:tblGrid>
      <w:tr>
        <w:trPr/>
        <w:tc>
          <w:tcPr>
            <w:tcW w:w="9858" w:type="dxa"/>
            <w:tcBorders/>
            <w:shd w:fill="CCEEFF" w:val="clear"/>
            <w:vAlign w:val="center"/>
          </w:tcPr>
          <w:p>
            <w:pPr>
              <w:pStyle w:val="TableContents"/>
              <w:spacing w:before="0" w:after="283"/>
              <w:rPr/>
            </w:pPr>
            <w:hyperlink w:anchor="fin_001">
              <w:r>
                <w:rPr>
                  <w:rStyle w:val="InternetLink"/>
                  <w:rFonts w:ascii="Times New Roman;Times;Serif" w:hAnsi="Times New Roman;Times;Serif"/>
                </w:rPr>
                <w:t>Report of Independent Registered Public Accounting Firm</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F-2</w:t>
            </w:r>
          </w:p>
        </w:tc>
      </w:tr>
      <w:tr>
        <w:trPr/>
        <w:tc>
          <w:tcPr>
            <w:tcW w:w="9858"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Financial Statements:</w:t>
            </w:r>
          </w:p>
        </w:tc>
        <w:tc>
          <w:tcPr>
            <w:tcW w:w="347" w:type="dxa"/>
            <w:tcBorders/>
            <w:shd w:fill="FFFFFF" w:val="clear"/>
            <w:vAlign w:val="center"/>
          </w:tcPr>
          <w:p>
            <w:pPr>
              <w:pStyle w:val="TableContents"/>
              <w:spacing w:before="0" w:after="283"/>
              <w:jc w:val="center"/>
              <w:rPr/>
            </w:pPr>
            <w:r>
              <w:rPr/>
              <w:t> </w:t>
            </w:r>
          </w:p>
        </w:tc>
      </w:tr>
      <w:tr>
        <w:trPr/>
        <w:tc>
          <w:tcPr>
            <w:tcW w:w="9858" w:type="dxa"/>
            <w:tcBorders/>
            <w:shd w:fill="CCEEFF" w:val="clear"/>
            <w:vAlign w:val="center"/>
          </w:tcPr>
          <w:p>
            <w:pPr>
              <w:pStyle w:val="TableContents"/>
              <w:spacing w:before="0" w:after="283"/>
              <w:rPr/>
            </w:pPr>
            <w:hyperlink w:anchor="fin_002">
              <w:r>
                <w:rPr>
                  <w:rStyle w:val="InternetLink"/>
                  <w:rFonts w:ascii="Times New Roman;Times;Serif" w:hAnsi="Times New Roman;Times;Serif"/>
                </w:rPr>
                <w:t>Balance Sheet as of December 31, 2020</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F-3</w:t>
            </w:r>
          </w:p>
        </w:tc>
      </w:tr>
      <w:tr>
        <w:trPr/>
        <w:tc>
          <w:tcPr>
            <w:tcW w:w="9858" w:type="dxa"/>
            <w:tcBorders/>
            <w:shd w:fill="FFFFFF" w:val="clear"/>
            <w:vAlign w:val="center"/>
          </w:tcPr>
          <w:p>
            <w:pPr>
              <w:pStyle w:val="TableContents"/>
              <w:spacing w:before="0" w:after="283"/>
              <w:rPr/>
            </w:pPr>
            <w:hyperlink w:anchor="fin_003">
              <w:r>
                <w:rPr>
                  <w:rStyle w:val="InternetLink"/>
                  <w:rFonts w:ascii="Times New Roman;Times;Serif" w:hAnsi="Times New Roman;Times;Serif"/>
                </w:rPr>
                <w:t>Statement of Operations for the period from May 21, 2020 (inception) through December 31, 2020</w:t>
              </w:r>
            </w:hyperlink>
          </w:p>
        </w:tc>
        <w:tc>
          <w:tcPr>
            <w:tcW w:w="347" w:type="dxa"/>
            <w:tcBorders/>
            <w:shd w:fill="FFFFFF" w:val="clear"/>
            <w:vAlign w:val="center"/>
          </w:tcPr>
          <w:p>
            <w:pPr>
              <w:pStyle w:val="TableContents"/>
              <w:spacing w:before="0" w:after="283"/>
              <w:ind w:left="0" w:right="0" w:hanging="0"/>
              <w:jc w:val="center"/>
              <w:rPr>
                <w:rFonts w:ascii="Times New Roman;Times;Serif" w:hAnsi="Times New Roman;Times;Serif"/>
              </w:rPr>
            </w:pPr>
            <w:r>
              <w:rPr>
                <w:rFonts w:ascii="Times New Roman;Times;Serif" w:hAnsi="Times New Roman;Times;Serif"/>
              </w:rPr>
              <w:t>F-4</w:t>
            </w:r>
          </w:p>
        </w:tc>
      </w:tr>
      <w:tr>
        <w:trPr/>
        <w:tc>
          <w:tcPr>
            <w:tcW w:w="9858" w:type="dxa"/>
            <w:tcBorders/>
            <w:shd w:fill="CCEEFF" w:val="clear"/>
            <w:vAlign w:val="center"/>
          </w:tcPr>
          <w:p>
            <w:pPr>
              <w:pStyle w:val="TableContents"/>
              <w:spacing w:before="0" w:after="283"/>
              <w:rPr/>
            </w:pPr>
            <w:hyperlink w:anchor="fin_004">
              <w:r>
                <w:rPr>
                  <w:rStyle w:val="InternetLink"/>
                  <w:rFonts w:ascii="Times New Roman;Times;Serif" w:hAnsi="Times New Roman;Times;Serif"/>
                </w:rPr>
                <w:t>Statement of Changes in Shareholders’ Equity for the period from May 21, 2020 (inception) through December 31, 2020</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F-5</w:t>
            </w:r>
          </w:p>
        </w:tc>
      </w:tr>
      <w:tr>
        <w:trPr/>
        <w:tc>
          <w:tcPr>
            <w:tcW w:w="9858" w:type="dxa"/>
            <w:tcBorders/>
            <w:shd w:fill="FFFFFF" w:val="clear"/>
            <w:vAlign w:val="center"/>
          </w:tcPr>
          <w:p>
            <w:pPr>
              <w:pStyle w:val="TableContents"/>
              <w:spacing w:before="0" w:after="283"/>
              <w:rPr/>
            </w:pPr>
            <w:hyperlink w:anchor="fin_005">
              <w:r>
                <w:rPr>
                  <w:rStyle w:val="InternetLink"/>
                  <w:rFonts w:ascii="Times New Roman;Times;Serif" w:hAnsi="Times New Roman;Times;Serif"/>
                </w:rPr>
                <w:t>Statement of Cash Flows for the period from May 21, 2020 (inception) through December 31, 2020</w:t>
              </w:r>
            </w:hyperlink>
          </w:p>
        </w:tc>
        <w:tc>
          <w:tcPr>
            <w:tcW w:w="347" w:type="dxa"/>
            <w:tcBorders/>
            <w:shd w:fill="FFFF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F-6</w:t>
            </w:r>
          </w:p>
        </w:tc>
      </w:tr>
      <w:tr>
        <w:trPr/>
        <w:tc>
          <w:tcPr>
            <w:tcW w:w="9858" w:type="dxa"/>
            <w:tcBorders/>
            <w:shd w:fill="CCEEFF" w:val="clear"/>
            <w:vAlign w:val="center"/>
          </w:tcPr>
          <w:p>
            <w:pPr>
              <w:pStyle w:val="TableContents"/>
              <w:spacing w:before="0" w:after="283"/>
              <w:rPr/>
            </w:pPr>
            <w:hyperlink w:anchor="fin_006">
              <w:r>
                <w:rPr>
                  <w:rStyle w:val="InternetLink"/>
                  <w:rFonts w:ascii="Times New Roman;Times;Serif" w:hAnsi="Times New Roman;Times;Serif"/>
                </w:rPr>
                <w:t>Notes to Financial Statements</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F-7</w:t>
            </w:r>
          </w:p>
        </w:tc>
      </w:tr>
    </w:tbl>
    <w:p>
      <w:pPr>
        <w:pStyle w:val="TextBody"/>
        <w:spacing w:before="0" w:after="0"/>
        <w:ind w:left="0" w:right="0" w:hanging="0"/>
        <w:jc w:val="both"/>
        <w:rPr>
          <w:caps w:val="false"/>
          <w:smallCaps w:val="false"/>
        </w:rPr>
      </w:pPr>
      <w:r>
        <w:rPr>
          <w:caps w:val="false"/>
          <w:smallCaps w:val="false"/>
        </w:rPr>
        <w:t> </w:t>
      </w:r>
    </w:p>
    <w:tbl>
      <w:tblPr>
        <w:tblW w:w="1143" w:type="dxa"/>
        <w:jc w:val="left"/>
        <w:tblInd w:w="0" w:type="dxa"/>
        <w:tblCellMar>
          <w:top w:w="0" w:type="dxa"/>
          <w:left w:w="0" w:type="dxa"/>
          <w:bottom w:w="0" w:type="dxa"/>
          <w:right w:w="0" w:type="dxa"/>
        </w:tblCellMar>
      </w:tblPr>
      <w:tblGrid>
        <w:gridCol w:w="38"/>
        <w:gridCol w:w="290"/>
        <w:gridCol w:w="81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(b)</w:t>
            </w:r>
          </w:p>
        </w:tc>
        <w:tc>
          <w:tcPr>
            <w:tcW w:w="81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Exhibits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report. Exhibits which are incorporated herein by reference can be obtained from the SEC’s website at sec.gov.</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35"/>
        <w:gridCol w:w="60"/>
        <w:gridCol w:w="9410"/>
      </w:tblGrid>
      <w:tr>
        <w:trPr/>
        <w:tc>
          <w:tcPr>
            <w:tcW w:w="735" w:type="dxa"/>
            <w:tcBorders>
              <w:bottom w:val="single" w:sz="12" w:space="0" w:color="000000"/>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410" w:type="dxa"/>
            <w:tcBorders>
              <w:bottom w:val="single" w:sz="12" w:space="0" w:color="000000"/>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Description</w:t>
            </w:r>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1.1</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2">
              <w:r>
                <w:rPr>
                  <w:rStyle w:val="InternetLink"/>
                  <w:rFonts w:ascii="Times New Roman;Times;Serif" w:hAnsi="Times New Roman;Times;Serif"/>
                </w:rPr>
                <w:t>Underwriting Agreement, dated September 2, 2020, by and between the Registrant and SVB Leerink LLC, as representative of the several underwriters (incorporated by reference to Exhibit 1.1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3.1</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3">
              <w:r>
                <w:rPr>
                  <w:rStyle w:val="InternetLink"/>
                  <w:rFonts w:ascii="Times New Roman;Times;Serif" w:hAnsi="Times New Roman;Times;Serif"/>
                </w:rPr>
                <w:t>Amended and Restated Certificate of Incorporation of the Company (incorporated by reference to Exhibit 3.2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10.1</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rPr>
                <w:t>Letter Agreement, dated September 2, 2020, by and among the Registrant and its officers, directors and initial stockholders (incorporated by reference to Exhibit 10.1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10.2</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rPr>
                <w:t>Investment Management Trust Agreement, dated September 2, 2020, by and between the Registrant and Continental Stock Transfer &amp; Trust Company, LLC as trustee (incorporated by reference to Exhibit 10.2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10.3</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6">
              <w:r>
                <w:rPr>
                  <w:rStyle w:val="InternetLink"/>
                  <w:rFonts w:ascii="Times New Roman;Times;Serif" w:hAnsi="Times New Roman;Times;Serif"/>
                </w:rPr>
                <w:t>Escrow Agreement, dated September 2, 2020, by and among the Registrant, Continental Stock Transfer &amp; Trust Company, LLC, as escrow agent, and the Registrant’s initial stockholders.(incorporated by reference to Exhibit 10.3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10.4</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7">
              <w:r>
                <w:rPr>
                  <w:rStyle w:val="InternetLink"/>
                  <w:rFonts w:ascii="Times New Roman;Times;Serif" w:hAnsi="Times New Roman;Times;Serif"/>
                </w:rPr>
                <w:t>Registration Rights Agreement, dated September 2, 2020, by and among the Registrant, Continental Stock Transfer &amp; Trust Company, LLC, and the Registrant’s initial stockholders (incorporated by reference to Exhibit 10.4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10.5</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8">
              <w:r>
                <w:rPr>
                  <w:rStyle w:val="InternetLink"/>
                  <w:rFonts w:ascii="Times New Roman;Times;Serif" w:hAnsi="Times New Roman;Times;Serif"/>
                </w:rPr>
                <w:t>Administrative Support Agreement, dated September 2, 2020, by and between the Registrant and Boxer Capital, LLC, an affiliate of the Sponsor (incorporated by reference to Exhibit 10.6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10.6</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9">
              <w:r>
                <w:rPr>
                  <w:rStyle w:val="InternetLink"/>
                  <w:rFonts w:ascii="Times New Roman;Times;Serif" w:hAnsi="Times New Roman;Times;Serif"/>
                </w:rPr>
                <w:t>Indemnity Agreements, each dated September 2, 2020, by and between the Registrant and each of the Registrant’s officers and directors (incorporated by reference to Exhibit 10.7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10.7</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rPr>
                <w:t>Subscription Agreement, dated September 2, 2020, by and between the Registrant and the Sponsor (incorporated by reference to Exhibit 10.5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11">
              <w:r>
                <w:rPr>
                  <w:rStyle w:val="InternetLink"/>
                  <w:rFonts w:ascii="Times New Roman;Times;Serif" w:hAnsi="Times New Roman;Times;Serif"/>
                  <w:sz w:val="20"/>
                </w:rPr>
                <w:t>Form of Code of Ethics (incorporated by reference to Exhibit 14 to the Registration Statement on Form S-1/A filed with the Securities &amp; Exchange Commission on August 31, 2020)</w:t>
              </w:r>
            </w:hyperlink>
          </w:p>
        </w:tc>
      </w:tr>
      <w:tr>
        <w:trPr/>
        <w:tc>
          <w:tcPr>
            <w:tcW w:w="73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w:anchor="f10k2020ex31-1_bctgacq.htm">
              <w:r>
                <w:rPr>
                  <w:rStyle w:val="InternetLink"/>
                  <w:rFonts w:ascii="Times New Roman;Times;Serif" w:hAnsi="Times New Roman;Times;Serif"/>
                  <w:b w:val="false"/>
                  <w:i w:val="false"/>
                  <w:caps w:val="false"/>
                  <w:smallCaps w:val="false"/>
                  <w:sz w:val="20"/>
                </w:rPr>
                <w:t>Certification of Chief Executive Officer pursuant to Rule 13a-14 and Rule 15d-14(a), promulgated under the Securities and Exchange Act of 1934, as amended.</w:t>
              </w:r>
            </w:hyperlink>
          </w:p>
        </w:tc>
      </w:tr>
      <w:tr>
        <w:trPr/>
        <w:tc>
          <w:tcPr>
            <w:tcW w:w="73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31.2</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rPr/>
            </w:pPr>
            <w:hyperlink w:anchor="f10k2020ex31-2_bctgacq.htm">
              <w:r>
                <w:rPr>
                  <w:rStyle w:val="InternetLink"/>
                  <w:rFonts w:ascii="Times New Roman;Times;Serif" w:hAnsi="Times New Roman;Times;Serif"/>
                </w:rPr>
                <w:t>Certification of Chief Financial Officer pursuant to Rule 13a-14 and Rule 15d-14(a), promulgated under the Securities and Exchange Act of 1934, as amended.</w:t>
              </w:r>
            </w:hyperlink>
          </w:p>
        </w:tc>
      </w:tr>
      <w:tr>
        <w:trPr/>
        <w:tc>
          <w:tcPr>
            <w:tcW w:w="735"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32</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rPr/>
            </w:pPr>
            <w:hyperlink w:anchor="f10k2020ex32_bctgacq.htm">
              <w:r>
                <w:rPr>
                  <w:rStyle w:val="InternetLink"/>
                  <w:rFonts w:ascii="Times New Roman;Times;Serif" w:hAnsi="Times New Roman;Times;Serif"/>
                </w:rPr>
                <w:t>Certification of Chief Executive Officer and Chief Financial Officer pursuant to 18 U.S.C. Section 1350, as adopted pursuant to Section 906 of the Sarbanes-Oxley Act of 2002.</w:t>
              </w:r>
            </w:hyperlink>
          </w:p>
        </w:tc>
      </w:tr>
      <w:tr>
        <w:trPr/>
        <w:tc>
          <w:tcPr>
            <w:tcW w:w="7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sz w:val="20"/>
                </w:rPr>
                <w:t>Form of Audit Committee Charter incorporated by reference to Exhibit 99.1 to the Registration Statement on Form S-1/A filed with the Securities &amp; Exchange Commission on August 31, 2020)</w:t>
              </w:r>
            </w:hyperlink>
          </w:p>
        </w:tc>
      </w:tr>
      <w:tr>
        <w:trPr/>
        <w:tc>
          <w:tcPr>
            <w:tcW w:w="73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13">
              <w:r>
                <w:rPr>
                  <w:rStyle w:val="InternetLink"/>
                  <w:rFonts w:ascii="Times New Roman;Times;Serif" w:hAnsi="Times New Roman;Times;Serif"/>
                  <w:sz w:val="20"/>
                </w:rPr>
                <w:t>Form of Compensation Committee Charter incorporated by reference to Exhibit 99.2 to the Registration Statement on Form S-1/A filed with the Securities &amp; Exchange Commission on August 31,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101.INS</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XBRL Instance Document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33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Exchange Act of 1934, the registrant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5334" w:type="dxa"/>
        <w:jc w:val="left"/>
        <w:tblInd w:w="0" w:type="dxa"/>
        <w:tblCellMar>
          <w:top w:w="0" w:type="dxa"/>
          <w:left w:w="0" w:type="dxa"/>
          <w:bottom w:w="0" w:type="dxa"/>
          <w:right w:w="0" w:type="dxa"/>
        </w:tblCellMar>
      </w:tblPr>
      <w:tblGrid>
        <w:gridCol w:w="2240"/>
        <w:gridCol w:w="681"/>
        <w:gridCol w:w="2413"/>
      </w:tblGrid>
      <w:tr>
        <w:trPr/>
        <w:tc>
          <w:tcPr>
            <w:tcW w:w="2240" w:type="dxa"/>
            <w:tcBorders/>
            <w:shd w:fill="auto" w:val="clear"/>
            <w:vAlign w:val="center"/>
          </w:tcPr>
          <w:p>
            <w:pPr>
              <w:pStyle w:val="TableContents"/>
              <w:spacing w:before="0" w:after="283"/>
              <w:rPr/>
            </w:pPr>
            <w:r>
              <w:rPr/>
              <w:t> </w:t>
            </w:r>
          </w:p>
        </w:tc>
        <w:tc>
          <w:tcPr>
            <w:tcW w:w="3094" w:type="dxa"/>
            <w:gridSpan w:val="2"/>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BCTG ACQUISITION CORP.</w:t>
            </w:r>
          </w:p>
        </w:tc>
      </w:tr>
      <w:tr>
        <w:trPr/>
        <w:tc>
          <w:tcPr>
            <w:tcW w:w="2240" w:type="dxa"/>
            <w:tcBorders/>
            <w:shd w:fill="auto" w:val="clear"/>
            <w:vAlign w:val="center"/>
          </w:tcPr>
          <w:p>
            <w:pPr>
              <w:pStyle w:val="TableContents"/>
              <w:spacing w:before="0" w:after="283"/>
              <w:rPr/>
            </w:pPr>
            <w:r>
              <w:rPr/>
              <w:t> </w:t>
            </w:r>
          </w:p>
        </w:tc>
        <w:tc>
          <w:tcPr>
            <w:tcW w:w="3094" w:type="dxa"/>
            <w:gridSpan w:val="2"/>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Dated: March 31, 2021</w:t>
            </w:r>
          </w:p>
        </w:tc>
        <w:tc>
          <w:tcPr>
            <w:tcW w:w="68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By:</w:t>
            </w:r>
          </w:p>
        </w:tc>
        <w:tc>
          <w:tcPr>
            <w:tcW w:w="2413"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/s/Aaron I. Davis</w:t>
            </w:r>
          </w:p>
        </w:tc>
      </w:tr>
      <w:tr>
        <w:trPr/>
        <w:tc>
          <w:tcPr>
            <w:tcW w:w="2240"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Name:</w:t>
            </w:r>
          </w:p>
        </w:tc>
        <w:tc>
          <w:tcPr>
            <w:tcW w:w="241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Aaron I. Davis</w:t>
            </w:r>
          </w:p>
        </w:tc>
      </w:tr>
      <w:tr>
        <w:trPr/>
        <w:tc>
          <w:tcPr>
            <w:tcW w:w="2240"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Title:</w:t>
            </w:r>
          </w:p>
        </w:tc>
        <w:tc>
          <w:tcPr>
            <w:tcW w:w="241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firstLine="480"/>
        <w:jc w:val="both"/>
        <w:rPr>
          <w:caps w:val="false"/>
          <w:smallCaps w:val="false"/>
        </w:rPr>
      </w:pPr>
      <w:r>
        <w:rPr>
          <w:caps w:val="false"/>
          <w:smallCaps w:val="false"/>
        </w:rPr>
        <w:t> </w:t>
      </w:r>
    </w:p>
    <w:tbl>
      <w:tblPr>
        <w:tblW w:w="7575" w:type="dxa"/>
        <w:jc w:val="left"/>
        <w:tblInd w:w="0" w:type="dxa"/>
        <w:tblCellMar>
          <w:top w:w="0" w:type="dxa"/>
          <w:left w:w="0" w:type="dxa"/>
          <w:bottom w:w="0" w:type="dxa"/>
          <w:right w:w="0" w:type="dxa"/>
        </w:tblCellMar>
      </w:tblPr>
      <w:tblGrid>
        <w:gridCol w:w="2255"/>
        <w:gridCol w:w="60"/>
        <w:gridCol w:w="3740"/>
        <w:gridCol w:w="60"/>
        <w:gridCol w:w="1460"/>
      </w:tblGrid>
      <w:tr>
        <w:trPr/>
        <w:tc>
          <w:tcPr>
            <w:tcW w:w="2255" w:type="dxa"/>
            <w:tcBorders/>
            <w:shd w:fill="auto" w:val="clear"/>
            <w:vAlign w:val="center"/>
          </w:tcPr>
          <w:p>
            <w:pPr>
              <w:pStyle w:val="TableContents"/>
              <w:pBdr>
                <w:bottom w:val="single" w:sz="12"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pBdr>
                <w:bottom w:val="single" w:sz="12"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pBdr>
                <w:bottom w:val="single" w:sz="12"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/s/ Aaron I. Davis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Chief Executive Officer and Chairman</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March 31</w:t>
            </w:r>
            <w:r>
              <w:rPr>
                <w:rFonts w:ascii="Times New Roman;Times;Serif" w:hAnsi="Times New Roman;Times;Serif"/>
                <w:sz w:val="20"/>
              </w:rPr>
              <w:t>, 2021</w:t>
            </w:r>
          </w:p>
        </w:tc>
      </w:tr>
      <w:tr>
        <w:trPr/>
        <w:tc>
          <w:tcPr>
            <w:tcW w:w="225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Aaron I. Davis</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/s/ Michael Beauchamp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Chief Financial Officer and Treasurer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2021</w:t>
            </w:r>
          </w:p>
        </w:tc>
      </w:tr>
      <w:tr>
        <w:trPr/>
        <w:tc>
          <w:tcPr>
            <w:tcW w:w="225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Michael Beauchamp</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i/>
                <w:sz w:val="20"/>
              </w:rPr>
            </w:pPr>
            <w:r>
              <w:rPr>
                <w:rFonts w:ascii="Times New Roman;Times;Serif" w:hAnsi="Times New Roman;Times;Serif"/>
                <w:i/>
                <w:sz w:val="20"/>
              </w:rPr>
              <w:t>(Principal Financial and Accounting Officer)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/s/ Christopher Fuglesang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President and Director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2021</w:t>
            </w:r>
          </w:p>
        </w:tc>
      </w:tr>
      <w:tr>
        <w:trPr/>
        <w:tc>
          <w:tcPr>
            <w:tcW w:w="225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Christopher Fuglesang</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/s/ Carole L. Nuechterlein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2021</w:t>
            </w:r>
          </w:p>
        </w:tc>
      </w:tr>
      <w:tr>
        <w:trPr/>
        <w:tc>
          <w:tcPr>
            <w:tcW w:w="225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Carole L. Nuechterlein</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/s/ Richard Heyman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2021</w:t>
            </w:r>
          </w:p>
        </w:tc>
      </w:tr>
      <w:tr>
        <w:trPr/>
        <w:tc>
          <w:tcPr>
            <w:tcW w:w="225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Richard Heyman</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/s/ Charles M. Baum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2021</w:t>
            </w:r>
          </w:p>
        </w:tc>
      </w:tr>
      <w:tr>
        <w:trPr/>
        <w:tc>
          <w:tcPr>
            <w:tcW w:w="225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Charles M. Baum</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/s/ Jamie G. Christensen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2021</w:t>
            </w:r>
          </w:p>
        </w:tc>
      </w:tr>
      <w:tr>
        <w:trPr/>
        <w:tc>
          <w:tcPr>
            <w:tcW w:w="225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Jamie G. Christensen</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r>
        <w:trPr/>
        <w:tc>
          <w:tcPr>
            <w:tcW w:w="22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James B. Avery</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Director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31, 2021</w:t>
            </w:r>
          </w:p>
        </w:tc>
      </w:tr>
      <w:tr>
        <w:trPr/>
        <w:tc>
          <w:tcPr>
            <w:tcW w:w="2255"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James B. Avery</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34</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35"/>
        <w:gridCol w:w="60"/>
        <w:gridCol w:w="9410"/>
      </w:tblGrid>
      <w:tr>
        <w:trPr/>
        <w:tc>
          <w:tcPr>
            <w:tcW w:w="735" w:type="dxa"/>
            <w:tcBorders>
              <w:bottom w:val="single" w:sz="12" w:space="0" w:color="000000"/>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410" w:type="dxa"/>
            <w:tcBorders>
              <w:bottom w:val="single" w:sz="12" w:space="0" w:color="000000"/>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Description</w:t>
            </w:r>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1.1</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rPr>
                <w:t>Underwriting Agreement, dated September 2, 2020, by and between the Registrant and SVB Leerink LLC, as representative of the several underwriters (incorporated by reference to Exhibit 1.1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3.1</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15">
              <w:r>
                <w:rPr>
                  <w:rStyle w:val="InternetLink"/>
                  <w:rFonts w:ascii="Times New Roman;Times;Serif" w:hAnsi="Times New Roman;Times;Serif"/>
                </w:rPr>
                <w:t>Amended and Restated Certificate of Incorporation of the Company (incorporated by reference to Exhibit 3.2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10.1</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rPr>
                <w:t>Letter Agreement, dated September 2, 2020, by and among the Registrant and its officers, directors and initial stockholders (incorporated by reference to Exhibit 10.1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10.2</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17">
              <w:r>
                <w:rPr>
                  <w:rStyle w:val="InternetLink"/>
                  <w:rFonts w:ascii="Times New Roman;Times;Serif" w:hAnsi="Times New Roman;Times;Serif"/>
                </w:rPr>
                <w:t>Investment Management Trust Agreement, dated September 2, 2020, by and between the Registrant and Continental Stock Transfer &amp; Trust Company, LLC as trustee (incorporated by reference to Exhibit 10.2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10.3</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18">
              <w:r>
                <w:rPr>
                  <w:rStyle w:val="InternetLink"/>
                  <w:rFonts w:ascii="Times New Roman;Times;Serif" w:hAnsi="Times New Roman;Times;Serif"/>
                </w:rPr>
                <w:t>Escrow Agreement, dated September 2, 2020, by and among the Registrant, Continental Stock Transfer &amp; Trust Company, LLC, as escrow agent, and the Registrant’s initial stockholders.(incorporated by reference to Exhibit 10.3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10.4</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19">
              <w:r>
                <w:rPr>
                  <w:rStyle w:val="InternetLink"/>
                  <w:rFonts w:ascii="Times New Roman;Times;Serif" w:hAnsi="Times New Roman;Times;Serif"/>
                </w:rPr>
                <w:t>Registration Rights Agreement, dated September 2, 2020, by and among the Registrant, Continental Stock Transfer &amp; Trust Company, LLC, and the Registrant’s initial stockholders (incorporated by reference to Exhibit 10.4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10.5</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20">
              <w:r>
                <w:rPr>
                  <w:rStyle w:val="InternetLink"/>
                  <w:rFonts w:ascii="Times New Roman;Times;Serif" w:hAnsi="Times New Roman;Times;Serif"/>
                </w:rPr>
                <w:t>Administrative Support Agreement, dated September 2, 2020, by and between the Registrant and Boxer Capital, LLC, an affiliate of the Sponsor (incorporated by reference to Exhibit 10.6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10.6</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21">
              <w:r>
                <w:rPr>
                  <w:rStyle w:val="InternetLink"/>
                  <w:rFonts w:ascii="Times New Roman;Times;Serif" w:hAnsi="Times New Roman;Times;Serif"/>
                </w:rPr>
                <w:t>Indemnity Agreements, each dated September 2, 2020, by and between the Registrant and each of the Registrant’s officers and directors (incorporated by reference to Exhibit 10.7 to the Current Report on Form 8-K filed with the Securities &amp; Exchange Commission on September 9, 2020)</w:t>
              </w:r>
            </w:hyperlink>
          </w:p>
        </w:tc>
      </w:tr>
      <w:tr>
        <w:trPr/>
        <w:tc>
          <w:tcPr>
            <w:tcW w:w="735"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10.7</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22">
              <w:r>
                <w:rPr>
                  <w:rStyle w:val="InternetLink"/>
                  <w:rFonts w:ascii="Times New Roman;Times;Serif" w:hAnsi="Times New Roman;Times;Serif"/>
                </w:rPr>
                <w:t>Subscription Agreement, dated September 2, 2020, by and between the Registrant and the Sponsor (incorporated by reference to Exhibit 10.5 to the Current Report on Form 8-K filed with the Securities &amp; Exchange Commission on September 9, 2020)</w:t>
              </w:r>
            </w:hyperlink>
          </w:p>
        </w:tc>
      </w:tr>
      <w:tr>
        <w:trPr/>
        <w:tc>
          <w:tcPr>
            <w:tcW w:w="7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23">
              <w:r>
                <w:rPr>
                  <w:rStyle w:val="InternetLink"/>
                  <w:rFonts w:ascii="Times New Roman;Times;Serif" w:hAnsi="Times New Roman;Times;Serif"/>
                  <w:sz w:val="20"/>
                </w:rPr>
                <w:t>Form of Code of Ethics (incorporated by reference to Exhibit 14 to the Registration Statement on Form S-1/A filed with the Securities &amp; Exchange Commission on August 31, 2020)</w:t>
              </w:r>
            </w:hyperlink>
          </w:p>
        </w:tc>
      </w:tr>
      <w:tr>
        <w:trPr/>
        <w:tc>
          <w:tcPr>
            <w:tcW w:w="73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w:anchor="f10k2020ex31-1_bctgacq.htm">
              <w:r>
                <w:rPr>
                  <w:rStyle w:val="InternetLink"/>
                  <w:rFonts w:ascii="Times New Roman;Times;Serif" w:hAnsi="Times New Roman;Times;Serif"/>
                  <w:b w:val="false"/>
                  <w:i w:val="false"/>
                  <w:caps w:val="false"/>
                  <w:smallCaps w:val="false"/>
                  <w:sz w:val="20"/>
                </w:rPr>
                <w:t>Certification of Chief Executive Officer pursuant to Rule 13a-14 and Rule 15d-14(a), promulgated under the Securities and Exchange Act of 1934, as amended.</w:t>
              </w:r>
            </w:hyperlink>
          </w:p>
        </w:tc>
      </w:tr>
      <w:tr>
        <w:trPr/>
        <w:tc>
          <w:tcPr>
            <w:tcW w:w="735" w:type="dxa"/>
            <w:tcBorders/>
            <w:shd w:fill="FFFF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31.2</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rPr/>
            </w:pPr>
            <w:hyperlink w:anchor="f10k2020ex31-2_bctgacq.htm">
              <w:r>
                <w:rPr>
                  <w:rStyle w:val="InternetLink"/>
                  <w:rFonts w:ascii="Times New Roman;Times;Serif" w:hAnsi="Times New Roman;Times;Serif"/>
                </w:rPr>
                <w:t>Certification of Chief Financial Officer pursuant to Rule 13a-14 and Rule 15d-14(a), promulgated under the Securities and Exchange Act of 1934, as amended.</w:t>
              </w:r>
            </w:hyperlink>
          </w:p>
        </w:tc>
      </w:tr>
      <w:tr>
        <w:trPr/>
        <w:tc>
          <w:tcPr>
            <w:tcW w:w="735" w:type="dxa"/>
            <w:tcBorders/>
            <w:shd w:fill="CCEEFF"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32</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rPr/>
            </w:pPr>
            <w:hyperlink w:anchor="f10k2020ex32_bctgacq.htm">
              <w:r>
                <w:rPr>
                  <w:rStyle w:val="InternetLink"/>
                  <w:rFonts w:ascii="Times New Roman;Times;Serif" w:hAnsi="Times New Roman;Times;Serif"/>
                </w:rPr>
                <w:t>Certification of Chief Executive Officer and Chief Financial Officer pursuant to 18 U.S.C. Section 1350, as adopted pursuant to Section 906 of the Sarbanes-Oxley Act of 2002.</w:t>
              </w:r>
            </w:hyperlink>
          </w:p>
        </w:tc>
      </w:tr>
      <w:tr>
        <w:trPr/>
        <w:tc>
          <w:tcPr>
            <w:tcW w:w="7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pPr>
            <w:hyperlink r:id="rId24">
              <w:r>
                <w:rPr>
                  <w:rStyle w:val="InternetLink"/>
                  <w:rFonts w:ascii="Times New Roman;Times;Serif" w:hAnsi="Times New Roman;Times;Serif"/>
                  <w:sz w:val="20"/>
                </w:rPr>
                <w:t>Form of Audit Committee Charter incorporated by reference to Exhibit 99.1 to the Registration Statement on Form S-1/A filed with the Securities &amp; Exchange Commission on August 31, 2020)</w:t>
              </w:r>
            </w:hyperlink>
          </w:p>
        </w:tc>
      </w:tr>
      <w:tr>
        <w:trPr/>
        <w:tc>
          <w:tcPr>
            <w:tcW w:w="73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tcMar>
              <w:bottom w:w="0" w:type="dxa"/>
            </w:tcMar>
            <w:vAlign w:val="center"/>
          </w:tcPr>
          <w:p>
            <w:pPr>
              <w:pStyle w:val="TableContents"/>
              <w:spacing w:before="0" w:after="283"/>
              <w:rPr/>
            </w:pPr>
            <w:r>
              <w:rPr/>
              <w:t> </w:t>
            </w:r>
          </w:p>
        </w:tc>
        <w:tc>
          <w:tcPr>
            <w:tcW w:w="9410" w:type="dxa"/>
            <w:tcBorders/>
            <w:shd w:fill="CCEEFF" w:val="clear"/>
            <w:tcMar>
              <w:bottom w:w="0" w:type="dxa"/>
            </w:tcMar>
            <w:vAlign w:val="center"/>
          </w:tcPr>
          <w:p>
            <w:pPr>
              <w:pStyle w:val="TableContents"/>
              <w:spacing w:before="0" w:after="283"/>
              <w:jc w:val="both"/>
              <w:rPr/>
            </w:pPr>
            <w:hyperlink r:id="rId25">
              <w:r>
                <w:rPr>
                  <w:rStyle w:val="InternetLink"/>
                  <w:rFonts w:ascii="Times New Roman;Times;Serif" w:hAnsi="Times New Roman;Times;Serif"/>
                  <w:sz w:val="20"/>
                </w:rPr>
                <w:t>Form of Compensation Committee Charter incorporated by reference to Exhibit 99.2 to the Registration Statement on Form S-1/A filed with the Securities &amp; Exchange Commission on August 31, 2020)</w:t>
              </w:r>
            </w:hyperlink>
          </w:p>
        </w:tc>
      </w:tr>
      <w:tr>
        <w:trPr/>
        <w:tc>
          <w:tcPr>
            <w:tcW w:w="735"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101.INS</w:t>
            </w:r>
          </w:p>
        </w:tc>
        <w:tc>
          <w:tcPr>
            <w:tcW w:w="60" w:type="dxa"/>
            <w:tcBorders/>
            <w:shd w:fill="FFFFFF" w:val="clear"/>
            <w:tcMar>
              <w:bottom w:w="0" w:type="dxa"/>
            </w:tcMar>
            <w:vAlign w:val="center"/>
          </w:tcPr>
          <w:p>
            <w:pPr>
              <w:pStyle w:val="TableContents"/>
              <w:spacing w:before="0" w:after="283"/>
              <w:rPr/>
            </w:pPr>
            <w:r>
              <w:rPr/>
              <w:t> </w:t>
            </w:r>
          </w:p>
        </w:tc>
        <w:tc>
          <w:tcPr>
            <w:tcW w:w="9410" w:type="dxa"/>
            <w:tcBorders/>
            <w:shd w:fill="FFFFFF" w:val="clear"/>
            <w:tcMar>
              <w:bottom w:w="0"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XBRL Instance Document</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35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BCTG ACQUISITION CORP.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INDEX TO FINANCIAL STATEMENTS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858"/>
        <w:gridCol w:w="347"/>
      </w:tblGrid>
      <w:tr>
        <w:trPr/>
        <w:tc>
          <w:tcPr>
            <w:tcW w:w="9858" w:type="dxa"/>
            <w:tcBorders/>
            <w:shd w:fill="CCEEFF" w:val="clear"/>
            <w:vAlign w:val="center"/>
          </w:tcPr>
          <w:p>
            <w:pPr>
              <w:pStyle w:val="TableContents"/>
              <w:spacing w:before="0" w:after="283"/>
              <w:rPr/>
            </w:pPr>
            <w:hyperlink w:anchor="fin_001">
              <w:r>
                <w:rPr>
                  <w:rStyle w:val="InternetLink"/>
                  <w:rFonts w:ascii="Times New Roman;Times;Serif" w:hAnsi="Times New Roman;Times;Serif"/>
                </w:rPr>
                <w:t>Report of Independent Registered Public Accounting Firm</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F-2</w:t>
            </w:r>
          </w:p>
        </w:tc>
      </w:tr>
      <w:tr>
        <w:trPr/>
        <w:tc>
          <w:tcPr>
            <w:tcW w:w="9858"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Financial Statements:</w:t>
            </w:r>
          </w:p>
        </w:tc>
        <w:tc>
          <w:tcPr>
            <w:tcW w:w="347" w:type="dxa"/>
            <w:tcBorders/>
            <w:shd w:fill="FFFFFF" w:val="clear"/>
            <w:vAlign w:val="center"/>
          </w:tcPr>
          <w:p>
            <w:pPr>
              <w:pStyle w:val="TableContents"/>
              <w:spacing w:before="0" w:after="283"/>
              <w:jc w:val="center"/>
              <w:rPr/>
            </w:pPr>
            <w:r>
              <w:rPr/>
              <w:t> </w:t>
            </w:r>
          </w:p>
        </w:tc>
      </w:tr>
      <w:tr>
        <w:trPr/>
        <w:tc>
          <w:tcPr>
            <w:tcW w:w="9858" w:type="dxa"/>
            <w:tcBorders/>
            <w:shd w:fill="CCEEFF" w:val="clear"/>
            <w:vAlign w:val="center"/>
          </w:tcPr>
          <w:p>
            <w:pPr>
              <w:pStyle w:val="TableContents"/>
              <w:spacing w:before="0" w:after="283"/>
              <w:rPr/>
            </w:pPr>
            <w:hyperlink w:anchor="fin_002">
              <w:r>
                <w:rPr>
                  <w:rStyle w:val="InternetLink"/>
                  <w:rFonts w:ascii="Times New Roman;Times;Serif" w:hAnsi="Times New Roman;Times;Serif"/>
                </w:rPr>
                <w:t>Balance Sheet as of December 31, 2020</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F-3</w:t>
            </w:r>
          </w:p>
        </w:tc>
      </w:tr>
      <w:tr>
        <w:trPr/>
        <w:tc>
          <w:tcPr>
            <w:tcW w:w="9858" w:type="dxa"/>
            <w:tcBorders/>
            <w:shd w:fill="FFFFFF" w:val="clear"/>
            <w:vAlign w:val="center"/>
          </w:tcPr>
          <w:p>
            <w:pPr>
              <w:pStyle w:val="TableContents"/>
              <w:spacing w:before="0" w:after="283"/>
              <w:rPr/>
            </w:pPr>
            <w:hyperlink w:anchor="fin_003">
              <w:r>
                <w:rPr>
                  <w:rStyle w:val="InternetLink"/>
                  <w:rFonts w:ascii="Times New Roman;Times;Serif" w:hAnsi="Times New Roman;Times;Serif"/>
                </w:rPr>
                <w:t>Statement of Operations for the period from May 21, 2020 (inception) through December 31, 2020</w:t>
              </w:r>
            </w:hyperlink>
          </w:p>
        </w:tc>
        <w:tc>
          <w:tcPr>
            <w:tcW w:w="347" w:type="dxa"/>
            <w:tcBorders/>
            <w:shd w:fill="FFFFFF" w:val="clear"/>
            <w:vAlign w:val="center"/>
          </w:tcPr>
          <w:p>
            <w:pPr>
              <w:pStyle w:val="TableContents"/>
              <w:spacing w:before="0" w:after="283"/>
              <w:ind w:left="0" w:right="0" w:hanging="0"/>
              <w:jc w:val="center"/>
              <w:rPr>
                <w:rFonts w:ascii="Times New Roman;Times;Serif" w:hAnsi="Times New Roman;Times;Serif"/>
              </w:rPr>
            </w:pPr>
            <w:r>
              <w:rPr>
                <w:rFonts w:ascii="Times New Roman;Times;Serif" w:hAnsi="Times New Roman;Times;Serif"/>
              </w:rPr>
              <w:t>F-4</w:t>
            </w:r>
          </w:p>
        </w:tc>
      </w:tr>
      <w:tr>
        <w:trPr/>
        <w:tc>
          <w:tcPr>
            <w:tcW w:w="9858" w:type="dxa"/>
            <w:tcBorders/>
            <w:shd w:fill="CCEEFF" w:val="clear"/>
            <w:vAlign w:val="center"/>
          </w:tcPr>
          <w:p>
            <w:pPr>
              <w:pStyle w:val="TableContents"/>
              <w:spacing w:before="0" w:after="283"/>
              <w:rPr/>
            </w:pPr>
            <w:hyperlink w:anchor="fin_004">
              <w:r>
                <w:rPr>
                  <w:rStyle w:val="InternetLink"/>
                  <w:rFonts w:ascii="Times New Roman;Times;Serif" w:hAnsi="Times New Roman;Times;Serif"/>
                </w:rPr>
                <w:t>Statement of Changes in Shareholders’ Equity for the period from May 21, 2020 (inception) through December 31, 2020</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F-5</w:t>
            </w:r>
          </w:p>
        </w:tc>
      </w:tr>
      <w:tr>
        <w:trPr/>
        <w:tc>
          <w:tcPr>
            <w:tcW w:w="9858" w:type="dxa"/>
            <w:tcBorders/>
            <w:shd w:fill="FFFFFF" w:val="clear"/>
            <w:vAlign w:val="center"/>
          </w:tcPr>
          <w:p>
            <w:pPr>
              <w:pStyle w:val="TableContents"/>
              <w:spacing w:before="0" w:after="283"/>
              <w:rPr/>
            </w:pPr>
            <w:hyperlink w:anchor="fin_005">
              <w:r>
                <w:rPr>
                  <w:rStyle w:val="InternetLink"/>
                  <w:rFonts w:ascii="Times New Roman;Times;Serif" w:hAnsi="Times New Roman;Times;Serif"/>
                </w:rPr>
                <w:t>Statement of Cash Flows for the period from May 21, 2020 (inception) through December 31, 2020</w:t>
              </w:r>
            </w:hyperlink>
          </w:p>
        </w:tc>
        <w:tc>
          <w:tcPr>
            <w:tcW w:w="347" w:type="dxa"/>
            <w:tcBorders/>
            <w:shd w:fill="FFFF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F-6</w:t>
            </w:r>
          </w:p>
        </w:tc>
      </w:tr>
      <w:tr>
        <w:trPr/>
        <w:tc>
          <w:tcPr>
            <w:tcW w:w="9858" w:type="dxa"/>
            <w:tcBorders/>
            <w:shd w:fill="CCEEFF" w:val="clear"/>
            <w:vAlign w:val="center"/>
          </w:tcPr>
          <w:p>
            <w:pPr>
              <w:pStyle w:val="TableContents"/>
              <w:spacing w:before="0" w:after="283"/>
              <w:rPr/>
            </w:pPr>
            <w:hyperlink w:anchor="fin_006">
              <w:r>
                <w:rPr>
                  <w:rStyle w:val="InternetLink"/>
                  <w:rFonts w:ascii="Times New Roman;Times;Serif" w:hAnsi="Times New Roman;Times;Serif"/>
                </w:rPr>
                <w:t>Notes to Financial Statements</w:t>
              </w:r>
            </w:hyperlink>
          </w:p>
        </w:tc>
        <w:tc>
          <w:tcPr>
            <w:tcW w:w="347" w:type="dxa"/>
            <w:tcBorders/>
            <w:shd w:fill="CCEE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F-7</w:t>
            </w:r>
          </w:p>
        </w:tc>
      </w:tr>
    </w:tbl>
    <w:p>
      <w:pPr>
        <w:pStyle w:val="TextBody"/>
        <w:spacing w:before="0" w:after="0"/>
        <w:ind w:left="0" w:right="0" w:hanging="0"/>
        <w:rPr>
          <w:caps/>
        </w:rPr>
      </w:pPr>
      <w:r>
        <w:rPr>
          <w:caps/>
        </w:rPr>
        <w:t> </w:t>
      </w:r>
    </w:p>
    <w:p>
      <w:pPr>
        <w:pStyle w:val="TextBody"/>
        <w:spacing w:before="0" w:after="0"/>
        <w:jc w:val="center"/>
        <w:rPr>
          <w:bdr w:val="single" w:sz="12" w:space="1" w:color="000000"/>
        </w:rPr>
      </w:pPr>
      <w:r>
        <w:rPr>
          <w:bdr w:val="single" w:sz="12" w:space="1" w:color="000000"/>
        </w:rPr>
        <w:t>F-1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6" w:name="fin_001"/>
      <w:bookmarkEnd w:id="26"/>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BCTG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pacing w:before="0" w:after="0"/>
        <w:ind w:left="605"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BCTG Acquisition Corp. (the “Company”), as of December 31, 2020, the related statements of operations, changes in stockholders’ equity and cash flows for the period from May 21,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May 21, 2020 (inception) through December 31, 2020, in conformity with accounting principles generally accepted in the United States of America.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605"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ind w:left="605"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27" w:name="fin_002"/>
      <w:bookmarkEnd w:id="27"/>
      <w:r>
        <w:rPr>
          <w:rFonts w:ascii="Times New Roman;Times;Serif" w:hAnsi="Times New Roman;Times;Serif"/>
          <w:b/>
          <w:i w:val="false"/>
          <w:caps w:val="false"/>
          <w:smallCaps w:val="false"/>
          <w:sz w:val="20"/>
        </w:rPr>
        <w:t>BCTG ACQUISITION CORP.</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p>
      <w:pPr>
        <w:pStyle w:val="TextBody"/>
        <w:shd w:fill="FFFFFF" w:val="clear"/>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692"/>
        <w:gridCol w:w="60"/>
        <w:gridCol w:w="140"/>
        <w:gridCol w:w="1220"/>
        <w:gridCol w:w="93"/>
      </w:tblGrid>
      <w:tr>
        <w:trPr/>
        <w:tc>
          <w:tcPr>
            <w:tcW w:w="8692"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r>
        <w:trPr/>
        <w:tc>
          <w:tcPr>
            <w:tcW w:w="8692"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ind w:left="0" w:right="0" w:hanging="180"/>
              <w:rPr/>
            </w:pPr>
            <w:r>
              <w:rPr/>
              <w:t> </w:t>
            </w:r>
          </w:p>
        </w:tc>
      </w:tr>
      <w:tr>
        <w:trPr/>
        <w:tc>
          <w:tcPr>
            <w:tcW w:w="8692"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1,314,085</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183,496</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1,497,581</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Investments held in Trust Account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166,815,235</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168,312,816</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74,927</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income taxes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6,864</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Franchise tax payable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32,563</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114,354</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underwriting commissions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5,836,250</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5,950,604</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Common stock; 15,736,221 shares subject to possible redemption at $10.00 per share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157,362,210</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Preferred stock, $0.0001 par value; 1,000,000 shares authorized; none issued and outstanding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Common stock, $0.0001 par value; 30,000,000 shares authorized; 5,641,029 shares issued and outstanding (excluding 15,736,221 shares subject to possible redemption)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564</w:t>
            </w:r>
          </w:p>
        </w:tc>
        <w:tc>
          <w:tcPr>
            <w:tcW w:w="93" w:type="dxa"/>
            <w:tcBorders/>
            <w:shd w:fill="FFFFFF" w:val="clear"/>
            <w:vAlign w:val="center"/>
          </w:tcPr>
          <w:p>
            <w:pPr>
              <w:pStyle w:val="TableContents"/>
              <w:spacing w:before="0" w:after="283"/>
              <w:ind w:left="0" w:right="0" w:hanging="180"/>
              <w:jc w:val="left"/>
              <w:rPr/>
            </w:pPr>
            <w:r>
              <w:rPr/>
              <w:t> </w:t>
            </w:r>
          </w:p>
        </w:tc>
      </w:tr>
      <w:tr>
        <w:trPr/>
        <w:tc>
          <w:tcPr>
            <w:tcW w:w="8692"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5,122,484</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(123,046</w:t>
            </w:r>
          </w:p>
        </w:tc>
        <w:tc>
          <w:tcPr>
            <w:tcW w:w="93" w:type="dxa"/>
            <w:tcBorders/>
            <w:shd w:fill="FFFF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8692"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5,000,002</w:t>
            </w:r>
          </w:p>
        </w:tc>
        <w:tc>
          <w:tcPr>
            <w:tcW w:w="93" w:type="dxa"/>
            <w:tcBorders/>
            <w:shd w:fill="CCEEFF" w:val="clear"/>
            <w:vAlign w:val="center"/>
          </w:tcPr>
          <w:p>
            <w:pPr>
              <w:pStyle w:val="TableContents"/>
              <w:spacing w:before="0" w:after="283"/>
              <w:ind w:left="0" w:right="0" w:hanging="180"/>
              <w:jc w:val="left"/>
              <w:rPr/>
            </w:pPr>
            <w:r>
              <w:rPr/>
              <w:t> </w:t>
            </w:r>
          </w:p>
        </w:tc>
      </w:tr>
      <w:tr>
        <w:trPr/>
        <w:tc>
          <w:tcPr>
            <w:tcW w:w="8692"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168,312,816</w:t>
            </w:r>
          </w:p>
        </w:tc>
        <w:tc>
          <w:tcPr>
            <w:tcW w:w="93" w:type="dxa"/>
            <w:tcBorders/>
            <w:shd w:fill="FFFFFF" w:val="clear"/>
            <w:vAlign w:val="center"/>
          </w:tcPr>
          <w:p>
            <w:pPr>
              <w:pStyle w:val="TableContents"/>
              <w:spacing w:before="0" w:after="283"/>
              <w:jc w:val="left"/>
              <w:rPr/>
            </w:pPr>
            <w:r>
              <w:rPr/>
              <w:t> </w:t>
            </w:r>
          </w:p>
        </w:tc>
      </w:tr>
    </w:tbl>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28" w:name="fin_003"/>
      <w:bookmarkEnd w:id="28"/>
      <w:r>
        <w:rPr>
          <w:rFonts w:ascii="Times New Roman;Times;Serif" w:hAnsi="Times New Roman;Times;Serif"/>
          <w:b/>
          <w:i w:val="false"/>
          <w:caps w:val="false"/>
          <w:smallCaps w:val="false"/>
          <w:sz w:val="20"/>
        </w:rPr>
        <w:t>BCTG ACQUISITION CORP.</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May 21, 2020 (inception) through December 31, 2020</w:t>
      </w:r>
    </w:p>
    <w:p>
      <w:pPr>
        <w:pStyle w:val="TextBody"/>
        <w:shd w:fill="FFFFFF" w:val="clear"/>
        <w:spacing w:before="0" w:after="0"/>
        <w:ind w:left="0" w:right="0" w:hanging="0"/>
        <w:jc w:val="center"/>
        <w:rPr>
          <w:caps w:val="false"/>
          <w:smallCaps w:val="false"/>
        </w:rPr>
      </w:pPr>
      <w:r>
        <w:rPr>
          <w:caps w:val="false"/>
          <w:smallCaps w:val="false"/>
        </w:rPr>
        <w:t> </w:t>
      </w:r>
    </w:p>
    <w:tbl>
      <w:tblPr>
        <w:tblW w:w="7250" w:type="dxa"/>
        <w:jc w:val="left"/>
        <w:tblInd w:w="0" w:type="dxa"/>
        <w:tblCellMar>
          <w:top w:w="0" w:type="dxa"/>
          <w:left w:w="0" w:type="dxa"/>
          <w:bottom w:w="0" w:type="dxa"/>
          <w:right w:w="0" w:type="dxa"/>
        </w:tblCellMar>
      </w:tblPr>
      <w:tblGrid>
        <w:gridCol w:w="5840"/>
        <w:gridCol w:w="60"/>
        <w:gridCol w:w="140"/>
        <w:gridCol w:w="1100"/>
        <w:gridCol w:w="110"/>
      </w:tblGrid>
      <w:tr>
        <w:trPr/>
        <w:tc>
          <w:tcPr>
            <w:tcW w:w="58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108,865</w:t>
            </w:r>
          </w:p>
        </w:tc>
        <w:tc>
          <w:tcPr>
            <w:tcW w:w="110" w:type="dxa"/>
            <w:tcBorders/>
            <w:shd w:fill="CCEEFF" w:val="clear"/>
            <w:vAlign w:val="center"/>
          </w:tcPr>
          <w:p>
            <w:pPr>
              <w:pStyle w:val="TableContents"/>
              <w:spacing w:before="0" w:after="283"/>
              <w:jc w:val="left"/>
              <w:rPr/>
            </w:pPr>
            <w:r>
              <w:rPr/>
              <w:t> </w:t>
            </w:r>
          </w:p>
        </w:tc>
      </w:tr>
      <w:tr>
        <w:trPr/>
        <w:tc>
          <w:tcPr>
            <w:tcW w:w="58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Administrative expenses - related party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40,000</w:t>
            </w:r>
          </w:p>
        </w:tc>
        <w:tc>
          <w:tcPr>
            <w:tcW w:w="110" w:type="dxa"/>
            <w:tcBorders/>
            <w:shd w:fill="FFFFFF" w:val="clear"/>
            <w:vAlign w:val="center"/>
          </w:tcPr>
          <w:p>
            <w:pPr>
              <w:pStyle w:val="TableContents"/>
              <w:spacing w:before="0" w:after="283"/>
              <w:jc w:val="left"/>
              <w:rPr/>
            </w:pPr>
            <w:r>
              <w:rPr/>
              <w:t> </w:t>
            </w:r>
          </w:p>
        </w:tc>
      </w:tr>
      <w:tr>
        <w:trPr/>
        <w:tc>
          <w:tcPr>
            <w:tcW w:w="58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Franchise tax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32,563</w:t>
            </w:r>
          </w:p>
        </w:tc>
        <w:tc>
          <w:tcPr>
            <w:tcW w:w="110" w:type="dxa"/>
            <w:tcBorders/>
            <w:shd w:fill="CCEEFF" w:val="clear"/>
            <w:vAlign w:val="center"/>
          </w:tcPr>
          <w:p>
            <w:pPr>
              <w:pStyle w:val="TableContents"/>
              <w:spacing w:before="0" w:after="283"/>
              <w:jc w:val="left"/>
              <w:rPr/>
            </w:pPr>
            <w:r>
              <w:rPr/>
              <w:t> </w:t>
            </w:r>
          </w:p>
        </w:tc>
      </w:tr>
      <w:tr>
        <w:trPr/>
        <w:tc>
          <w:tcPr>
            <w:tcW w:w="58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(181,428</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8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Interest earned on investments held in Trust Account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65,246</w:t>
            </w:r>
          </w:p>
        </w:tc>
        <w:tc>
          <w:tcPr>
            <w:tcW w:w="110" w:type="dxa"/>
            <w:tcBorders/>
            <w:shd w:fill="CCEEFF" w:val="clear"/>
            <w:vAlign w:val="center"/>
          </w:tcPr>
          <w:p>
            <w:pPr>
              <w:pStyle w:val="TableContents"/>
              <w:spacing w:before="0" w:after="283"/>
              <w:jc w:val="left"/>
              <w:rPr/>
            </w:pPr>
            <w:r>
              <w:rPr/>
              <w:t> </w:t>
            </w:r>
          </w:p>
        </w:tc>
      </w:tr>
      <w:tr>
        <w:trPr/>
        <w:tc>
          <w:tcPr>
            <w:tcW w:w="58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Loss before income tax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(116,182</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8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6,864</w:t>
            </w:r>
          </w:p>
        </w:tc>
        <w:tc>
          <w:tcPr>
            <w:tcW w:w="110" w:type="dxa"/>
            <w:tcBorders/>
            <w:shd w:fill="CCEEFF" w:val="clear"/>
            <w:vAlign w:val="center"/>
          </w:tcPr>
          <w:p>
            <w:pPr>
              <w:pStyle w:val="TableContents"/>
              <w:spacing w:before="0" w:after="283"/>
              <w:jc w:val="left"/>
              <w:rPr/>
            </w:pPr>
            <w:r>
              <w:rPr/>
              <w:t> </w:t>
            </w:r>
          </w:p>
        </w:tc>
      </w:tr>
      <w:tr>
        <w:trPr/>
        <w:tc>
          <w:tcPr>
            <w:tcW w:w="5840"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(123,046</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8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840"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Weighted average shares outstanding, of Public Shares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16,675,000</w:t>
            </w:r>
          </w:p>
        </w:tc>
        <w:tc>
          <w:tcPr>
            <w:tcW w:w="110" w:type="dxa"/>
            <w:tcBorders/>
            <w:shd w:fill="FFFFFF" w:val="clear"/>
            <w:vAlign w:val="center"/>
          </w:tcPr>
          <w:p>
            <w:pPr>
              <w:pStyle w:val="TableContents"/>
              <w:spacing w:before="0" w:after="283"/>
              <w:jc w:val="left"/>
              <w:rPr/>
            </w:pPr>
            <w:r>
              <w:rPr/>
              <w:t> </w:t>
            </w:r>
          </w:p>
        </w:tc>
      </w:tr>
      <w:tr>
        <w:trPr/>
        <w:tc>
          <w:tcPr>
            <w:tcW w:w="58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Basic and diluted net loss per share, Public Shares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(0.00</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5840"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Weighted average shares outstanding, of Founder Shares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4,212,127</w:t>
            </w:r>
          </w:p>
        </w:tc>
        <w:tc>
          <w:tcPr>
            <w:tcW w:w="110" w:type="dxa"/>
            <w:tcBorders/>
            <w:shd w:fill="FFFFFF" w:val="clear"/>
            <w:vAlign w:val="center"/>
          </w:tcPr>
          <w:p>
            <w:pPr>
              <w:pStyle w:val="TableContents"/>
              <w:spacing w:before="0" w:after="283"/>
              <w:jc w:val="left"/>
              <w:rPr/>
            </w:pPr>
            <w:r>
              <w:rPr/>
              <w:t> </w:t>
            </w:r>
          </w:p>
        </w:tc>
      </w:tr>
      <w:tr>
        <w:trPr/>
        <w:tc>
          <w:tcPr>
            <w:tcW w:w="58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Basic and diluted net loss per share, Founder Shares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(0.04</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29" w:name="fin_004"/>
      <w:bookmarkEnd w:id="29"/>
      <w:r>
        <w:rPr>
          <w:rFonts w:ascii="Times New Roman;Times;Serif" w:hAnsi="Times New Roman;Times;Serif"/>
          <w:b/>
          <w:i w:val="false"/>
          <w:caps w:val="false"/>
          <w:smallCaps w:val="false"/>
          <w:sz w:val="20"/>
        </w:rPr>
        <w:t>BCTG ACQUISITION CORP.</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STOCKHOLDERS’ EQUITY</w:t>
      </w:r>
    </w:p>
    <w:p>
      <w:pPr>
        <w:pStyle w:val="TextBody"/>
        <w:shd w:fill="FFFFFF" w:val="clear"/>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080"/>
        <w:gridCol w:w="60"/>
        <w:gridCol w:w="60"/>
        <w:gridCol w:w="1175"/>
        <w:gridCol w:w="95"/>
        <w:gridCol w:w="60"/>
        <w:gridCol w:w="155"/>
        <w:gridCol w:w="705"/>
        <w:gridCol w:w="95"/>
        <w:gridCol w:w="60"/>
        <w:gridCol w:w="140"/>
        <w:gridCol w:w="1295"/>
        <w:gridCol w:w="95"/>
        <w:gridCol w:w="60"/>
        <w:gridCol w:w="188"/>
        <w:gridCol w:w="1182"/>
        <w:gridCol w:w="95"/>
        <w:gridCol w:w="60"/>
        <w:gridCol w:w="140"/>
        <w:gridCol w:w="1295"/>
        <w:gridCol w:w="110"/>
      </w:tblGrid>
      <w:tr>
        <w:trPr/>
        <w:tc>
          <w:tcPr>
            <w:tcW w:w="30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225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Common Stock</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35"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70"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35"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shd w:fill="auto" w:val="clear"/>
            <w:vAlign w:val="center"/>
          </w:tcPr>
          <w:p>
            <w:pPr>
              <w:pStyle w:val="TableContents"/>
              <w:spacing w:before="0" w:after="283"/>
              <w:jc w:val="center"/>
              <w:rPr/>
            </w:pPr>
            <w:r>
              <w:rPr/>
              <w:t> </w:t>
            </w:r>
          </w:p>
        </w:tc>
      </w:tr>
      <w:tr>
        <w:trPr/>
        <w:tc>
          <w:tcPr>
            <w:tcW w:w="30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shd w:fill="auto" w:val="clear"/>
            <w:vAlign w:val="center"/>
          </w:tcPr>
          <w:p>
            <w:pPr>
              <w:pStyle w:val="TableContents"/>
              <w:spacing w:before="0" w:after="283"/>
              <w:ind w:left="0" w:right="0" w:hanging="180"/>
              <w:jc w:val="center"/>
              <w:rPr/>
            </w:pPr>
            <w:r>
              <w:rPr/>
              <w:t> </w:t>
            </w:r>
          </w:p>
        </w:tc>
      </w:tr>
      <w:tr>
        <w:trPr/>
        <w:tc>
          <w:tcPr>
            <w:tcW w:w="3080" w:type="dxa"/>
            <w:tcBorders/>
            <w:shd w:fill="CCEEFF" w:val="clear"/>
            <w:vAlign w:val="center"/>
          </w:tcPr>
          <w:p>
            <w:pPr>
              <w:pStyle w:val="TableContents"/>
              <w:spacing w:before="0" w:after="283"/>
              <w:ind w:left="0" w:right="0" w:hanging="180"/>
              <w:rPr>
                <w:rFonts w:ascii="Times New Roman;Times;Serif" w:hAnsi="Times New Roman;Times;Serif"/>
                <w:b/>
              </w:rPr>
            </w:pPr>
            <w:r>
              <w:rPr>
                <w:rFonts w:ascii="Times New Roman;Times;Serif" w:hAnsi="Times New Roman;Times;Serif"/>
                <w:b/>
              </w:rPr>
              <w:t>Balance - May 21, 2020 (inception)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0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CCEEFF" w:val="clear"/>
            <w:vAlign w:val="center"/>
          </w:tcPr>
          <w:p>
            <w:pPr>
              <w:pStyle w:val="TableContents"/>
              <w:spacing w:before="0" w:after="283"/>
              <w:ind w:left="0" w:right="0" w:hanging="180"/>
              <w:jc w:val="left"/>
              <w:rPr/>
            </w:pPr>
            <w:r>
              <w:rPr/>
              <w:t> </w:t>
            </w:r>
          </w:p>
        </w:tc>
      </w:tr>
      <w:tr>
        <w:trPr/>
        <w:tc>
          <w:tcPr>
            <w:tcW w:w="3080" w:type="dxa"/>
            <w:tcBorders/>
            <w:shd w:fill="FFFF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Issuance of common stock to Sponsor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4,168,750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24,583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18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25,000</w:t>
            </w:r>
          </w:p>
        </w:tc>
        <w:tc>
          <w:tcPr>
            <w:tcW w:w="110" w:type="dxa"/>
            <w:tcBorders/>
            <w:shd w:fill="FFFFFF" w:val="clear"/>
            <w:vAlign w:val="center"/>
          </w:tcPr>
          <w:p>
            <w:pPr>
              <w:pStyle w:val="TableContents"/>
              <w:spacing w:before="0" w:after="283"/>
              <w:jc w:val="left"/>
              <w:rPr/>
            </w:pPr>
            <w:r>
              <w:rPr/>
              <w:t> </w:t>
            </w:r>
          </w:p>
        </w:tc>
      </w:tr>
      <w:tr>
        <w:trPr/>
        <w:tc>
          <w:tcPr>
            <w:tcW w:w="3080" w:type="dxa"/>
            <w:tcBorders/>
            <w:shd w:fill="CCEE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Sale of common stock in initial public offering, gross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16,675,000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166,748,332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18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166,750,000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3080" w:type="dxa"/>
            <w:tcBorders/>
            <w:shd w:fill="FFFF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Offering costs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(9,624,742</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18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(9,624,742</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080" w:type="dxa"/>
            <w:tcBorders/>
            <w:shd w:fill="CCEE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Sale of private placement shares to Sponsor in private placement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533,500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7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5,334,947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1182"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5,335,000</w:t>
            </w:r>
          </w:p>
        </w:tc>
        <w:tc>
          <w:tcPr>
            <w:tcW w:w="110" w:type="dxa"/>
            <w:tcBorders/>
            <w:shd w:fill="CCEEFF" w:val="clear"/>
            <w:vAlign w:val="center"/>
          </w:tcPr>
          <w:p>
            <w:pPr>
              <w:pStyle w:val="TableContents"/>
              <w:spacing w:before="0" w:after="283"/>
              <w:ind w:left="0" w:right="0" w:hanging="180"/>
              <w:jc w:val="left"/>
              <w:rPr/>
            </w:pPr>
            <w:r>
              <w:rPr/>
              <w:t> </w:t>
            </w:r>
          </w:p>
        </w:tc>
      </w:tr>
      <w:tr>
        <w:trPr/>
        <w:tc>
          <w:tcPr>
            <w:tcW w:w="3080" w:type="dxa"/>
            <w:tcBorders/>
            <w:shd w:fill="FFFF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Shares subject to possible redemption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(15,736,221</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70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(1,574</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(157,360,636</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118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(157,362,210</w:t>
            </w:r>
          </w:p>
        </w:tc>
        <w:tc>
          <w:tcPr>
            <w:tcW w:w="110" w:type="dxa"/>
            <w:tcBorders/>
            <w:shd w:fill="FFFF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080" w:type="dxa"/>
            <w:tcBorders/>
            <w:shd w:fill="CCEE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0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(123,046</w:t>
            </w:r>
          </w:p>
        </w:tc>
        <w:tc>
          <w:tcPr>
            <w:tcW w:w="9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(123,046</w:t>
            </w:r>
          </w:p>
        </w:tc>
        <w:tc>
          <w:tcPr>
            <w:tcW w:w="110" w:type="dxa"/>
            <w:tcBorders/>
            <w:shd w:fill="CCEEFF" w:val="clear"/>
            <w:vAlign w:val="center"/>
          </w:tcPr>
          <w:p>
            <w:pPr>
              <w:pStyle w:val="TableContents"/>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080" w:type="dxa"/>
            <w:tcBorders/>
            <w:shd w:fill="FFFFFF" w:val="clear"/>
            <w:vAlign w:val="center"/>
          </w:tcPr>
          <w:p>
            <w:pPr>
              <w:pStyle w:val="TableContents"/>
              <w:spacing w:before="0" w:after="283"/>
              <w:ind w:left="0" w:right="0" w:hanging="180"/>
              <w:rPr>
                <w:rFonts w:ascii="Times New Roman;Times;Serif" w:hAnsi="Times New Roman;Times;Serif"/>
                <w:b/>
              </w:rPr>
            </w:pPr>
            <w:r>
              <w:rPr>
                <w:rFonts w:ascii="Times New Roman;Times;Serif" w:hAnsi="Times New Roman;Times;Serif"/>
                <w:b/>
              </w:rPr>
              <w:t>Balance – December 31, 2020</w:t>
            </w:r>
          </w:p>
        </w:tc>
        <w:tc>
          <w:tcPr>
            <w:tcW w:w="60" w:type="dxa"/>
            <w:tcBorders/>
            <w:shd w:fill="FFFFFF" w:val="clear"/>
            <w:vAlign w:val="center"/>
          </w:tcPr>
          <w:p>
            <w:pPr>
              <w:pStyle w:val="TableContents"/>
              <w:spacing w:before="0" w:after="283"/>
              <w:rPr/>
            </w:pPr>
            <w:r>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5,641,029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5"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705"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564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5,122,484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8"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(123,046</w:t>
            </w:r>
          </w:p>
        </w:tc>
        <w:tc>
          <w:tcPr>
            <w:tcW w:w="9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5,000,002</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30" w:name="fin_005"/>
      <w:bookmarkEnd w:id="30"/>
      <w:r>
        <w:rPr>
          <w:rFonts w:ascii="Times New Roman;Times;Serif" w:hAnsi="Times New Roman;Times;Serif"/>
          <w:b/>
          <w:i w:val="false"/>
          <w:caps w:val="false"/>
          <w:smallCaps w:val="false"/>
          <w:sz w:val="20"/>
        </w:rPr>
        <w:t>BCTG ACQUISITION CORP.</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May 21, 2020 (Inception) Through December 31, 2020</w:t>
      </w:r>
    </w:p>
    <w:p>
      <w:pPr>
        <w:pStyle w:val="TextBody"/>
        <w:spacing w:before="0" w:after="0"/>
        <w:ind w:left="0" w:right="0" w:hanging="0"/>
        <w:rPr>
          <w:caps w:val="false"/>
          <w:smallCaps w:val="false"/>
        </w:rPr>
      </w:pPr>
      <w:r>
        <w:rPr>
          <w:caps w:val="false"/>
          <w:smallCaps w:val="false"/>
        </w:rPr>
        <w:t> </w:t>
      </w:r>
    </w:p>
    <w:tbl>
      <w:tblPr>
        <w:tblW w:w="7790" w:type="dxa"/>
        <w:jc w:val="left"/>
        <w:tblInd w:w="0" w:type="dxa"/>
        <w:tblCellMar>
          <w:top w:w="0" w:type="dxa"/>
          <w:left w:w="0" w:type="dxa"/>
          <w:bottom w:w="0" w:type="dxa"/>
          <w:right w:w="0" w:type="dxa"/>
        </w:tblCellMar>
      </w:tblPr>
      <w:tblGrid>
        <w:gridCol w:w="6185"/>
        <w:gridCol w:w="60"/>
        <w:gridCol w:w="140"/>
        <w:gridCol w:w="1295"/>
        <w:gridCol w:w="110"/>
      </w:tblGrid>
      <w:tr>
        <w:trPr/>
        <w:tc>
          <w:tcPr>
            <w:tcW w:w="6185"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(123,046</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Interest earned on investments held in Trust Account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(65,235</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(183,496</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4,927</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Accrued income taxes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6,864</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Franchise tax payable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32,563</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(327,423</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deposited in Trust Account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(166,750,000</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(166,750,000</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from issuance of common stock to Sponsor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25,000</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from note payable to related party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received from initial public offering, gross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166,750,000</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Proceeds received from private placement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5,335,000</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Repayment of note payable to related party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(127,232</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Payments of offering costs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(3,591,285</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618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168,391,508</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Net change in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1,314,085</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Cash - beginning of the period</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Cash - end of the period</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1,314,085</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Supplemental disclosure of noncash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Offering costs included in note payable - related party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127,207</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Offering costs included in accrued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70,000</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underwriting commissions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5,836,250</w:t>
            </w:r>
          </w:p>
        </w:tc>
        <w:tc>
          <w:tcPr>
            <w:tcW w:w="110" w:type="dxa"/>
            <w:tcBorders/>
            <w:shd w:fill="CCEEFF" w:val="clear"/>
            <w:vAlign w:val="center"/>
          </w:tcPr>
          <w:p>
            <w:pPr>
              <w:pStyle w:val="TableContents"/>
              <w:spacing w:before="0" w:after="283"/>
              <w:jc w:val="left"/>
              <w:rPr/>
            </w:pPr>
            <w:r>
              <w:rPr/>
              <w:t> </w:t>
            </w:r>
          </w:p>
        </w:tc>
      </w:tr>
      <w:tr>
        <w:trPr/>
        <w:tc>
          <w:tcPr>
            <w:tcW w:w="618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Initial value of common stock subject to possible redemption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157,484,340</w:t>
            </w:r>
          </w:p>
        </w:tc>
        <w:tc>
          <w:tcPr>
            <w:tcW w:w="110" w:type="dxa"/>
            <w:tcBorders/>
            <w:shd w:fill="FFFFFF" w:val="clear"/>
            <w:vAlign w:val="center"/>
          </w:tcPr>
          <w:p>
            <w:pPr>
              <w:pStyle w:val="TableContents"/>
              <w:spacing w:before="0" w:after="283"/>
              <w:jc w:val="left"/>
              <w:rPr/>
            </w:pPr>
            <w:r>
              <w:rPr/>
              <w:t> </w:t>
            </w:r>
          </w:p>
        </w:tc>
      </w:tr>
      <w:tr>
        <w:trPr/>
        <w:tc>
          <w:tcPr>
            <w:tcW w:w="618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 in value of common stock subject to possible redemption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(122,130</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1" w:name="fin_006"/>
      <w:bookmarkEnd w:id="31"/>
      <w:r>
        <w:rPr>
          <w:rFonts w:ascii="Times New Roman;Times;Serif" w:hAnsi="Times New Roman;Times;Serif"/>
          <w:b/>
          <w:i w:val="false"/>
          <w:caps w:val="false"/>
          <w:smallCaps w:val="false"/>
          <w:sz w:val="20"/>
        </w:rPr>
        <w:t>NOTE 1. ORGANIZATION, BUSINESS OPERATIONS AND BASIS OF PRESENTATION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BCTG Acquisition Corp. (the “Company”) was incorporated as a Delaware corporation on May 21, 2020. The Company was formed for the purpose of effecting a merger, capital stock exchange, asset acquisition, stock purchase, reorganization or other similar business combination (“Initial Business Combination”) with one or more operating businesses or entities that it has not yet selected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The Company is an “emerging growth company,” as defined in Section 2(a) of the Securities Act of 1933, as amended (the “Securities Act”), as modified by the Jumpstart our Business Startups Act of 2012 (the “JOBS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Company had not commenced any operations, other than searching for a target business. All activity for the period from May 21, 2020 (inception) through December 31, 2020 had been related to the Company’s formation and the initial public offering (“Initial Public Offering”) described below, and since offering, the search for a prospective Initial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6).</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Initial Public Offering and the Private Placement, approximately $166.8 million ($10.00 per share),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stock exchange listing rules,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“Initial Stockholders”)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pStyle w:val="TextBody"/>
        <w:shd w:fill="FFFFFF" w:val="clear"/>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Business Combination has not been consummated within 24 months from the closing of the Initial Public Offering, or September 8, 2022 (the “Combination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Basis of Presentation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 is presented in U.S. dollars in conformity with accounting principles generally accepted in the United States of America (“GAAP”) and pursuant to the rules and regulations of the SEC.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Emerging Growth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Company had $1.3 million of cash in its operating account and approximately $1.4 million of working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2020, the Company’s liquidity needs were satisfied through a payment of $25,000 from the Company’s Sponsor in exchange for the issuance of the Founder Shares (as defined below), the loan under the Note of approximately $127,000 (see Note 5) to the Company to cover for offering costs in connection with the Initial Public Offering, and net proceeds from the consummation of the Private Placement not held in the Trust Account. The Company fully repaid the Note on September 10, 2020. In addition, in order to finance transaction costs in connection with a Business Combination, the Company’s officers, directors and initial stockholders may, but are not obligated to, provide the Company Working Capital Loans (see Note 5). As of December 31, 2020, there were no amounts outstanding under any Working Capital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hd w:fill="FFFFFF" w:val="clear"/>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Use of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Cash and Cash Equivalents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There were no cash equivalents at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Concentration of Credit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 The Company’s investments held in the Trust Account is comprised of investments in U.S. Treasury securities with an original maturity of 185 days or less or investments in a money market funds that comprise only U.S. Treasury securities, or a combination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Investments Held in the Trust Account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Trust Account on the accompanying statement of operations. The estimated fair values of investments held in the Trust Account are determined using available market information.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Fair Value of Financial Instruments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spacing w:before="0" w:after="0"/>
        <w:ind w:left="0" w:right="0" w:firstLine="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Level 1, defined as observable inputs such as quoted prices (unadjusted) for identical instruments in active markets;</w:t>
            </w:r>
          </w:p>
        </w:tc>
      </w:tr>
    </w:tbl>
    <w:p>
      <w:pPr>
        <w:pStyle w:val="TextBody"/>
        <w:spacing w:before="0" w:after="0"/>
        <w:ind w:left="0" w:right="0" w:firstLine="45"/>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carrying values of cash, prepaid expenses, accounts payable, accrued expenses, accrued income taxes and franchise tax payable approximate their fair values due to the short-term nature of the instruments.  The Company’s investments held in Trust Account are comprised of investments in U.S. Treasury securities with an original maturity of 185 days or less or investments in money market funds that comprise only U.S. treasury securities and are recognized at fair value.  The fair value of investments held in Trust Account is determined using quoted prices in active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Offering Costs associated with the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costs consisted of legal, accounting and other costs incurred that were directly related to the Initial Public Offering and that were charged to stockholders’ equity upon the completion of the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Subject to Possible Redemption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December 31, 2020, 15,736,221 shares of common stock subject to possible redemption are presented as temporary equity, outside of the stockholders’ equity section of the Company’s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u w:val="single"/>
        </w:rPr>
        <w:t>Net Loss Per Common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of common stock is computed by dividing net loss applicable to stockholders by the weighted average number of shares of common stock outstanding during the periods. Weighted average shares were reduced for the effect of an aggregate of 543,750 shares of common stock that were subject to forfeiture if the over-allotment option was not exercised by the underwriters. The underwriters exercised their over-allotment option in full on September 8, 2020; thus, these Founder Shares were no longer subject to forfeiture (see Note 6). At December 31,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statement of operations includes a presentation of loss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 Shares is calculated by dividing the net loss of approximately $123,000, less income attributable to Public Shares, by the weighted average number of shares of Founder Shares outstanding for the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yet effective, accounting pronouncements, if currently adopted, would have a material effect on the Company’s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shd w:fill="FFFFFF" w:val="clear"/>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Company consummated the Private Placement of 533,500 Private Placement Shares, at a price of $10.00 per Private Placement Share to the Sponsor, generating gross proceeds of approximately $5.3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proceeds from the Private Placement Shares was added to the proceeds from the Initial Public Offering to be held in the Trust Account.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Founder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Sponsor agreed to forfeit up to an aggregate of 543,750 Founder Shares, so that the Founder Shares would represent 20% of the Company’s issued and outstanding shares after the Initial Public Offering, to the extent the underwriters’ over-allotment option was not exercised in full or in part. The underwriters fully exercised the over-allotment option on September 8, 2020; thus, these Founder Shares were no longer subject to forfeiture.</w:t>
      </w:r>
    </w:p>
    <w:p>
      <w:pPr>
        <w:pStyle w:val="TextBody"/>
        <w:shd w:fill="FFFFFF" w:val="clear"/>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Private Placement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the Company’s officers and directors have agreed, subject to limited exceptions, not to transfer, assign or sell any of their Private Placement Shares until 30 days after the completion of the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Related Party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2020 and June 10, 2020, the Sponsor agreed to loan the Company up to $25,025 and $274,975, respectively, for an aggregate amount of $300,000 to be used for the payment of costs related to the Initial Public Offering pursuant to a promissory note (each, a “Note” and, collectively, the “Notes”). The Notes were non-interest bearing, unsecured and due upon the date the Company consummated the Initial Public Offering. The Company borrowed approximately $127,000 under the Notes. The Company repaid the Notes in full on September 10,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To date, the Company had no borrowings under the Working Capital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Administrative Support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 For the period from May 21, 2020 (inception) through December 31, 2020, the Company incurred $40,000 related to these services. As of December 31, 2020, no amounts were payable related to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Share Purchase Commitment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COMMITMENTS AND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Registration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Underwriting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from the date of the prospectus to purchase up to 2,175,000 additional shares at the Initial Public Offering price less the underwriting discounts and commissions. On September 8, 2020, the underwriters fully exercised the over-allotment option.</w:t>
      </w:r>
    </w:p>
    <w:p>
      <w:pPr>
        <w:pStyle w:val="TextBody"/>
        <w:shd w:fill="FFFFFF" w:val="clear"/>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and Uncertainties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STOCKHOLDERS’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—The Company is authorized to issue 1,000,000 shares of preferred stock with a par value of $0.0001 per share. As of December 31, 2020, there are no shares of preferred stock issued or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—The Company is authorized to issue 30,000,000 shares of common stock, par value of $0.0001 per share. On September 2, 2020, the Company declared a dividend of 0.16 shares for each outstanding share of common stock (an aggregate of 575,000 shares). All shares and associated amounts have been retroactively restated to reflect the share dividend. As of December 31, 2020, there were 21,377,250 shares of common stock outstanding, including 15,736,221 shares of common stock subject to possible redemption that were classified outside of permanent equity in the accompanying balance sheet.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assets that are measured at fair value on a recurring basis as of December 31, 2020 by level within the fair value hierarchy:</w:t>
      </w:r>
    </w:p>
    <w:p>
      <w:pPr>
        <w:pStyle w:val="TextBody"/>
        <w:spacing w:before="0" w:after="0"/>
        <w:ind w:left="0" w:right="0" w:hanging="0"/>
        <w:jc w:val="both"/>
        <w:rPr>
          <w:caps w:val="false"/>
          <w:smallCaps w:val="false"/>
        </w:rPr>
      </w:pPr>
      <w:r>
        <w:rPr>
          <w:caps w:val="false"/>
          <w:smallCaps w:val="false"/>
        </w:rPr>
        <w:t> </w:t>
      </w:r>
    </w:p>
    <w:tbl>
      <w:tblPr>
        <w:tblW w:w="9060" w:type="dxa"/>
        <w:jc w:val="left"/>
        <w:tblInd w:w="0" w:type="dxa"/>
        <w:tblCellMar>
          <w:top w:w="0" w:type="dxa"/>
          <w:left w:w="0" w:type="dxa"/>
          <w:bottom w:w="0" w:type="dxa"/>
          <w:right w:w="0" w:type="dxa"/>
        </w:tblCellMar>
      </w:tblPr>
      <w:tblGrid>
        <w:gridCol w:w="4700"/>
        <w:gridCol w:w="60"/>
        <w:gridCol w:w="140"/>
        <w:gridCol w:w="1220"/>
        <w:gridCol w:w="60"/>
        <w:gridCol w:w="60"/>
        <w:gridCol w:w="140"/>
        <w:gridCol w:w="1055"/>
        <w:gridCol w:w="60"/>
        <w:gridCol w:w="60"/>
        <w:gridCol w:w="159"/>
        <w:gridCol w:w="1271"/>
        <w:gridCol w:w="75"/>
      </w:tblGrid>
      <w:tr>
        <w:trPr/>
        <w:tc>
          <w:tcPr>
            <w:tcW w:w="47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Quoted</w:t>
              <w:br/>
              <w:t>Prices in</w:t>
              <w:br/>
              <w:t>Active</w:t>
              <w:br/>
              <w:t>Markets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Significant</w:t>
              <w:br/>
              <w:t>Other</w:t>
              <w:br/>
              <w:t>Observable</w:t>
              <w:br/>
              <w:t>Inputs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Significant</w:t>
              <w:br/>
              <w:t>Other</w:t>
              <w:br/>
              <w:t>Unobservable</w:t>
              <w:br/>
              <w:t>Inputs</w:t>
            </w:r>
          </w:p>
        </w:tc>
        <w:tc>
          <w:tcPr>
            <w:tcW w:w="75" w:type="dxa"/>
            <w:tcBorders/>
            <w:shd w:fill="auto" w:val="clear"/>
            <w:vAlign w:val="center"/>
          </w:tcPr>
          <w:p>
            <w:pPr>
              <w:pStyle w:val="TableContents"/>
              <w:spacing w:before="0" w:after="283"/>
              <w:rPr/>
            </w:pPr>
            <w:r>
              <w:rPr/>
              <w:t> </w:t>
            </w:r>
          </w:p>
        </w:tc>
      </w:tr>
      <w:tr>
        <w:trPr/>
        <w:tc>
          <w:tcPr>
            <w:tcW w:w="470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rPr>
            </w:pPr>
            <w:r>
              <w:rPr>
                <w:rFonts w:ascii="Times New Roman;Times;Serif" w:hAnsi="Times New Roman;Times;Serif"/>
                <w:b/>
              </w:rPr>
              <w:t>Description</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shd w:fill="auto" w:val="clear"/>
            <w:vAlign w:val="center"/>
          </w:tcPr>
          <w:p>
            <w:pPr>
              <w:pStyle w:val="TableContents"/>
              <w:spacing w:before="0" w:after="283"/>
              <w:rPr/>
            </w:pPr>
            <w:r>
              <w:rPr/>
              <w:t> </w:t>
            </w:r>
          </w:p>
        </w:tc>
      </w:tr>
      <w:tr>
        <w:trPr/>
        <w:tc>
          <w:tcPr>
            <w:tcW w:w="47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Assets held in Trust:</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U.S. Treasury Securities maturing March 4, 2021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166,811,648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271" w:type="dxa"/>
            <w:tcBorders/>
            <w:shd w:fill="CCEEFF" w:val="clear"/>
            <w:vAlign w:val="center"/>
          </w:tcPr>
          <w:p>
            <w:pPr>
              <w:pStyle w:val="TableContents"/>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470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Money Market Fund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3,587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47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166,815,235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9"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w:t>
            </w:r>
          </w:p>
        </w:tc>
        <w:tc>
          <w:tcPr>
            <w:tcW w:w="127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to/from Levels 1, 2 and 3 are recognized at the end of the reporting period. There were no transfers between levels for the three months ended December 31, 2020 and for the period from May 21, 2020 (inception) through December 31, 2020.</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8—INCOME TAXES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taxable income primarily consisting of interest income earned on the Trust Account. The Company’s general and administrative costs are generally considered start-up costs and are not currently deductible.</w:t>
      </w:r>
    </w:p>
    <w:p>
      <w:pPr>
        <w:pStyle w:val="TextBody"/>
        <w:shd w:fill="FFFFFF" w:val="clear"/>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(benefit) for the period from May 21, 2020 (inception) through December 31, 2020 consists of the following:</w:t>
      </w:r>
    </w:p>
    <w:p>
      <w:pPr>
        <w:pStyle w:val="TextBody"/>
        <w:shd w:fill="FFFFFF" w:val="clear"/>
        <w:spacing w:before="0" w:after="0"/>
        <w:ind w:left="0" w:right="0" w:hanging="0"/>
        <w:jc w:val="both"/>
        <w:rPr>
          <w:caps w:val="false"/>
          <w:smallCaps w:val="false"/>
        </w:rPr>
      </w:pPr>
      <w:r>
        <w:rPr>
          <w:caps w:val="false"/>
          <w:smallCaps w:val="false"/>
        </w:rPr>
        <w:t> </w:t>
      </w:r>
    </w:p>
    <w:tbl>
      <w:tblPr>
        <w:tblW w:w="3095" w:type="dxa"/>
        <w:jc w:val="left"/>
        <w:tblInd w:w="0" w:type="dxa"/>
        <w:tblCellMar>
          <w:top w:w="0" w:type="dxa"/>
          <w:left w:w="0" w:type="dxa"/>
          <w:bottom w:w="0" w:type="dxa"/>
          <w:right w:w="0" w:type="dxa"/>
        </w:tblCellMar>
      </w:tblPr>
      <w:tblGrid>
        <w:gridCol w:w="2030"/>
        <w:gridCol w:w="60"/>
        <w:gridCol w:w="140"/>
        <w:gridCol w:w="755"/>
        <w:gridCol w:w="110"/>
      </w:tblGrid>
      <w:tr>
        <w:trPr/>
        <w:tc>
          <w:tcPr>
            <w:tcW w:w="203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Current</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6,864</w:t>
            </w:r>
          </w:p>
        </w:tc>
        <w:tc>
          <w:tcPr>
            <w:tcW w:w="110" w:type="dxa"/>
            <w:tcBorders/>
            <w:shd w:fill="CCEEFF" w:val="clear"/>
            <w:vAlign w:val="center"/>
          </w:tcPr>
          <w:p>
            <w:pPr>
              <w:pStyle w:val="TableContents"/>
              <w:spacing w:before="0" w:after="283"/>
              <w:jc w:val="left"/>
              <w:rPr/>
            </w:pPr>
            <w:r>
              <w:rPr/>
              <w:t> </w:t>
            </w:r>
          </w:p>
        </w:tc>
      </w:tr>
      <w:tr>
        <w:trPr/>
        <w:tc>
          <w:tcPr>
            <w:tcW w:w="203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p>
        </w:tc>
      </w:tr>
      <w:tr>
        <w:trPr/>
        <w:tc>
          <w:tcPr>
            <w:tcW w:w="203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Deferred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2030"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(31,262</w:t>
            </w:r>
          </w:p>
        </w:tc>
        <w:tc>
          <w:tcPr>
            <w:tcW w:w="1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2030"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spacing w:before="0" w:after="283"/>
              <w:jc w:val="left"/>
              <w:rPr/>
            </w:pPr>
            <w:r>
              <w:rPr/>
              <w:t> </w:t>
            </w:r>
          </w:p>
        </w:tc>
      </w:tr>
      <w:tr>
        <w:trPr/>
        <w:tc>
          <w:tcPr>
            <w:tcW w:w="203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31,262</w:t>
            </w:r>
          </w:p>
        </w:tc>
        <w:tc>
          <w:tcPr>
            <w:tcW w:w="110" w:type="dxa"/>
            <w:tcBorders/>
            <w:shd w:fill="FFFFFF" w:val="clear"/>
            <w:vAlign w:val="center"/>
          </w:tcPr>
          <w:p>
            <w:pPr>
              <w:pStyle w:val="TableContents"/>
              <w:spacing w:before="0" w:after="283"/>
              <w:jc w:val="left"/>
              <w:rPr/>
            </w:pPr>
            <w:r>
              <w:rPr/>
              <w:t> </w:t>
            </w:r>
          </w:p>
        </w:tc>
      </w:tr>
      <w:tr>
        <w:trPr/>
        <w:tc>
          <w:tcPr>
            <w:tcW w:w="203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Income tax provision</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6,864</w:t>
            </w:r>
          </w:p>
        </w:tc>
        <w:tc>
          <w:tcPr>
            <w:tcW w:w="110" w:type="dxa"/>
            <w:tcBorders/>
            <w:shd w:fill="CCEEFF" w:val="clear"/>
            <w:vAlign w:val="center"/>
          </w:tcPr>
          <w:p>
            <w:pPr>
              <w:pStyle w:val="TableContents"/>
              <w:spacing w:before="0" w:after="283"/>
              <w:jc w:val="left"/>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F-15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Company’s net deferred tax assets are as follows:</w:t>
      </w:r>
    </w:p>
    <w:p>
      <w:pPr>
        <w:pStyle w:val="TextBody"/>
        <w:spacing w:before="0" w:after="0"/>
        <w:ind w:left="0" w:right="0" w:hanging="0"/>
        <w:rPr>
          <w:caps w:val="false"/>
          <w:smallCaps w:val="false"/>
        </w:rPr>
      </w:pPr>
      <w:r>
        <w:rPr>
          <w:caps w:val="false"/>
          <w:smallCaps w:val="false"/>
        </w:rPr>
        <w:t> </w:t>
      </w:r>
    </w:p>
    <w:tbl>
      <w:tblPr>
        <w:tblW w:w="4475" w:type="dxa"/>
        <w:jc w:val="left"/>
        <w:tblInd w:w="0" w:type="dxa"/>
        <w:tblCellMar>
          <w:top w:w="0" w:type="dxa"/>
          <w:left w:w="0" w:type="dxa"/>
          <w:bottom w:w="0" w:type="dxa"/>
          <w:right w:w="0" w:type="dxa"/>
        </w:tblCellMar>
      </w:tblPr>
      <w:tblGrid>
        <w:gridCol w:w="3410"/>
        <w:gridCol w:w="60"/>
        <w:gridCol w:w="140"/>
        <w:gridCol w:w="755"/>
        <w:gridCol w:w="110"/>
      </w:tblGrid>
      <w:tr>
        <w:trPr/>
        <w:tc>
          <w:tcPr>
            <w:tcW w:w="341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Deferred tax assets:</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4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Start-up/Organization costs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31,262</w:t>
            </w:r>
          </w:p>
        </w:tc>
        <w:tc>
          <w:tcPr>
            <w:tcW w:w="110" w:type="dxa"/>
            <w:tcBorders/>
            <w:shd w:fill="CCEEFF" w:val="clear"/>
            <w:vAlign w:val="center"/>
          </w:tcPr>
          <w:p>
            <w:pPr>
              <w:pStyle w:val="TableContents"/>
              <w:spacing w:before="0" w:after="283"/>
              <w:jc w:val="left"/>
              <w:rPr/>
            </w:pPr>
            <w:r>
              <w:rPr/>
              <w:t> </w:t>
            </w:r>
          </w:p>
        </w:tc>
      </w:tr>
      <w:tr>
        <w:trPr/>
        <w:tc>
          <w:tcPr>
            <w:tcW w:w="34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31,262</w:t>
            </w:r>
          </w:p>
        </w:tc>
        <w:tc>
          <w:tcPr>
            <w:tcW w:w="110" w:type="dxa"/>
            <w:tcBorders/>
            <w:shd w:fill="FFFFFF" w:val="clear"/>
            <w:vAlign w:val="center"/>
          </w:tcPr>
          <w:p>
            <w:pPr>
              <w:pStyle w:val="TableContents"/>
              <w:spacing w:before="0" w:after="283"/>
              <w:jc w:val="left"/>
              <w:rPr/>
            </w:pPr>
            <w:r>
              <w:rPr/>
              <w:t> </w:t>
            </w:r>
          </w:p>
        </w:tc>
      </w:tr>
      <w:tr>
        <w:trPr/>
        <w:tc>
          <w:tcPr>
            <w:tcW w:w="34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(31,262</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410"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Deferred tax asset, net of allowance</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May 21, 2020 (inception) through December 31, 2020, the valuation allowance was $31,362.</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federal income tax rate (benefit) to the Company’s effective tax rate for the period from May 6 (inception) through December 31, 2020 is as follows:</w:t>
      </w:r>
    </w:p>
    <w:p>
      <w:pPr>
        <w:pStyle w:val="TextBody"/>
        <w:spacing w:before="0" w:after="0"/>
        <w:ind w:left="0" w:right="0" w:hanging="0"/>
        <w:jc w:val="both"/>
        <w:rPr>
          <w:caps w:val="false"/>
          <w:smallCaps w:val="false"/>
        </w:rPr>
      </w:pPr>
      <w:r>
        <w:rPr>
          <w:caps w:val="false"/>
          <w:smallCaps w:val="false"/>
        </w:rPr>
        <w:t> </w:t>
      </w:r>
    </w:p>
    <w:tbl>
      <w:tblPr>
        <w:tblW w:w="4215" w:type="dxa"/>
        <w:jc w:val="left"/>
        <w:tblInd w:w="0" w:type="dxa"/>
        <w:tblCellMar>
          <w:top w:w="0" w:type="dxa"/>
          <w:left w:w="0" w:type="dxa"/>
          <w:bottom w:w="0" w:type="dxa"/>
          <w:right w:w="0" w:type="dxa"/>
        </w:tblCellMar>
      </w:tblPr>
      <w:tblGrid>
        <w:gridCol w:w="3155"/>
        <w:gridCol w:w="60"/>
        <w:gridCol w:w="60"/>
        <w:gridCol w:w="635"/>
        <w:gridCol w:w="305"/>
      </w:tblGrid>
      <w:tr>
        <w:trPr/>
        <w:tc>
          <w:tcPr>
            <w:tcW w:w="315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Statutory Federal income tax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21.00</w:t>
            </w:r>
          </w:p>
        </w:tc>
        <w:tc>
          <w:tcPr>
            <w:tcW w:w="3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(26.91</w:t>
            </w:r>
          </w:p>
        </w:tc>
        <w:tc>
          <w:tcPr>
            <w:tcW w:w="3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(5.91</w:t>
            </w:r>
          </w:p>
        </w:tc>
        <w:tc>
          <w:tcPr>
            <w:tcW w:w="30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 The Company’s management does not expect that the total amount of unrecognized tax benefits will materially change over the next twelve months.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SUBSEQUENT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the financial statements were available to be issued. Based upon this review, the Company did not identify any subsequent events that would have required adjustment or disclosure in the financial statements which have not previously been disclosed within the financial statements.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w:t>
      </w:r>
    </w:p>
    <w:p>
      <w:pPr>
        <w:pStyle w:val="TextBody"/>
        <w:ind w:left="0" w:right="0" w:firstLine="720"/>
        <w:rPr>
          <w:bdr w:val="single" w:sz="12" w:space="1" w:color="000000"/>
        </w:rPr>
      </w:pPr>
      <w:r>
        <w:rPr>
          <w:bdr w:val="single" w:sz="12" w:space="1" w:color="000000"/>
        </w:rPr>
        <w:t> </w:t>
      </w:r>
    </w:p>
    <w:p>
      <w:pPr>
        <w:pStyle w:val="TextBody"/>
        <w:spacing w:before="0" w:after="0"/>
        <w:ind w:left="0" w:right="0" w:firstLine="72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2" w:name="f10k2020ex31-1_bctgacq.htm"/>
      <w:bookmarkStart w:id="33" w:name="ksf10k2020ex311_bctgacq"/>
      <w:bookmarkEnd w:id="32"/>
      <w:bookmarkEnd w:id="33"/>
      <w:r>
        <w:rPr>
          <w:rFonts w:ascii="Times New Roman;Times;Serif" w:hAnsi="Times New Roman;Times;Serif"/>
          <w:b/>
          <w:i w:val="false"/>
          <w:caps w:val="false"/>
          <w:smallCaps w:val="false"/>
          <w:sz w:val="20"/>
        </w:rPr>
        <w:t>Exhibit 31.1</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br/>
        <w:t>AS ADOPTED PURSUANT TO SECTION 302 OF THE SARBANES-OXLEY ACT OF 2002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Aaron I. Davis, certify that:</w:t>
      </w:r>
    </w:p>
    <w:p>
      <w:pPr>
        <w:pStyle w:val="TextBody"/>
        <w:spacing w:before="0" w:after="0"/>
        <w:ind w:left="0" w:right="0" w:firstLine="720"/>
        <w:rPr>
          <w:caps w:val="false"/>
          <w:smallCaps w:val="false"/>
        </w:rPr>
      </w:pPr>
      <w:r>
        <w:rPr>
          <w:caps w:val="false"/>
          <w:smallCaps w:val="false"/>
        </w:rPr>
        <w:t> </w:t>
      </w:r>
    </w:p>
    <w:tbl>
      <w:tblPr>
        <w:tblW w:w="6618" w:type="dxa"/>
        <w:jc w:val="left"/>
        <w:tblInd w:w="0" w:type="dxa"/>
        <w:tblCellMar>
          <w:top w:w="0" w:type="dxa"/>
          <w:left w:w="0" w:type="dxa"/>
          <w:bottom w:w="0" w:type="dxa"/>
          <w:right w:w="0" w:type="dxa"/>
        </w:tblCellMar>
      </w:tblPr>
      <w:tblGrid>
        <w:gridCol w:w="38"/>
        <w:gridCol w:w="170"/>
        <w:gridCol w:w="64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1.</w:t>
            </w:r>
          </w:p>
        </w:tc>
        <w:tc>
          <w:tcPr>
            <w:tcW w:w="6410" w:type="dxa"/>
            <w:tcBorders/>
            <w:shd w:fill="auto" w:val="clear"/>
            <w:vAlign w:val="center"/>
          </w:tcPr>
          <w:p>
            <w:pPr>
              <w:pStyle w:val="TableContents"/>
              <w:spacing w:before="0" w:after="283"/>
              <w:jc w:val="both"/>
              <w:rPr>
                <w:sz w:val="20"/>
              </w:rPr>
            </w:pPr>
            <w:r>
              <w:rPr>
                <w:sz w:val="20"/>
              </w:rPr>
              <w:t>I have reviewed this Annual Report on Form 10-K of BCTG Acquisition Corp.;</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2"/>
        <w:gridCol w:w="10025"/>
      </w:tblGrid>
      <w:tr>
        <w:trPr/>
        <w:tc>
          <w:tcPr>
            <w:tcW w:w="3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jc w:val="left"/>
              <w:rPr>
                <w:sz w:val="20"/>
              </w:rPr>
            </w:pPr>
            <w:r>
              <w:rPr>
                <w:sz w:val="20"/>
              </w:rPr>
              <w:t>2.</w:t>
            </w:r>
          </w:p>
        </w:tc>
        <w:tc>
          <w:tcPr>
            <w:tcW w:w="10025" w:type="dxa"/>
            <w:tcBorders/>
            <w:shd w:fill="auto" w:val="clear"/>
            <w:vAlign w:val="center"/>
          </w:tcPr>
          <w:p>
            <w:pPr>
              <w:pStyle w:val="TableContents"/>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sz w:val="20"/>
              </w:rPr>
            </w:pPr>
            <w:r>
              <w:rPr>
                <w:sz w:val="20"/>
              </w:rPr>
              <w:t>3.</w:t>
            </w:r>
          </w:p>
        </w:tc>
        <w:tc>
          <w:tcPr>
            <w:tcW w:w="10023" w:type="dxa"/>
            <w:tcBorders/>
            <w:shd w:fill="auto" w:val="clear"/>
            <w:vAlign w:val="center"/>
          </w:tcPr>
          <w:p>
            <w:pPr>
              <w:pStyle w:val="TableContents"/>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sz w:val="20"/>
              </w:rPr>
            </w:pPr>
            <w:r>
              <w:rPr>
                <w:sz w:val="20"/>
              </w:rPr>
              <w:t>4.</w:t>
            </w:r>
          </w:p>
        </w:tc>
        <w:tc>
          <w:tcPr>
            <w:tcW w:w="10027" w:type="dxa"/>
            <w:tcBorders/>
            <w:shd w:fill="auto" w:val="clear"/>
            <w:vAlign w:val="center"/>
          </w:tcPr>
          <w:p>
            <w:pPr>
              <w:pStyle w:val="TableContents"/>
              <w:spacing w:before="0" w:after="283"/>
              <w:jc w:val="both"/>
              <w:rPr>
                <w:sz w:val="20"/>
              </w:rPr>
            </w:pPr>
            <w:r>
              <w:rPr>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31"/>
        <w:gridCol w:w="10036"/>
      </w:tblGrid>
      <w:tr>
        <w:trPr/>
        <w:tc>
          <w:tcPr>
            <w:tcW w:w="3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jc w:val="left"/>
              <w:rPr>
                <w:sz w:val="20"/>
              </w:rPr>
            </w:pPr>
            <w:r>
              <w:rPr>
                <w:sz w:val="20"/>
              </w:rPr>
              <w:t>a)</w:t>
            </w:r>
          </w:p>
        </w:tc>
        <w:tc>
          <w:tcPr>
            <w:tcW w:w="10036" w:type="dxa"/>
            <w:tcBorders/>
            <w:shd w:fill="auto" w:val="clear"/>
            <w:vAlign w:val="center"/>
          </w:tcPr>
          <w:p>
            <w:pPr>
              <w:pStyle w:val="TableContents"/>
              <w:spacing w:before="0" w:after="283"/>
              <w:jc w:val="both"/>
              <w:rPr>
                <w:sz w:val="20"/>
              </w:rPr>
            </w:pPr>
            <w:r>
              <w:rPr>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sz w:val="20"/>
              </w:rPr>
            </w:pPr>
            <w:r>
              <w:rPr>
                <w:sz w:val="20"/>
              </w:rPr>
              <w:t>b)</w:t>
            </w:r>
          </w:p>
        </w:tc>
        <w:tc>
          <w:tcPr>
            <w:tcW w:w="10023" w:type="dxa"/>
            <w:tcBorders/>
            <w:shd w:fill="auto" w:val="clear"/>
            <w:vAlign w:val="center"/>
          </w:tcPr>
          <w:p>
            <w:pPr>
              <w:pStyle w:val="TableContents"/>
              <w:spacing w:before="0" w:after="283"/>
              <w:jc w:val="both"/>
              <w:rPr>
                <w:sz w:val="20"/>
              </w:rPr>
            </w:pPr>
            <w:r>
              <w:rPr>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35"/>
        <w:gridCol w:w="10032"/>
      </w:tblGrid>
      <w:tr>
        <w:trPr/>
        <w:tc>
          <w:tcPr>
            <w:tcW w:w="3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jc w:val="left"/>
              <w:rPr>
                <w:sz w:val="20"/>
              </w:rPr>
            </w:pPr>
            <w:r>
              <w:rPr>
                <w:sz w:val="20"/>
              </w:rPr>
              <w:t>c)</w:t>
            </w:r>
          </w:p>
        </w:tc>
        <w:tc>
          <w:tcPr>
            <w:tcW w:w="10032" w:type="dxa"/>
            <w:tcBorders/>
            <w:shd w:fill="auto" w:val="clear"/>
            <w:vAlign w:val="center"/>
          </w:tcPr>
          <w:p>
            <w:pPr>
              <w:pStyle w:val="TableContents"/>
              <w:spacing w:before="0" w:after="283"/>
              <w:jc w:val="both"/>
              <w:rPr>
                <w:sz w:val="20"/>
              </w:rPr>
            </w:pPr>
            <w:r>
              <w:rPr>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9"/>
        <w:gridCol w:w="10018"/>
      </w:tblGrid>
      <w:tr>
        <w:trPr/>
        <w:tc>
          <w:tcPr>
            <w:tcW w:w="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jc w:val="left"/>
              <w:rPr>
                <w:sz w:val="20"/>
              </w:rPr>
            </w:pPr>
            <w:r>
              <w:rPr>
                <w:sz w:val="20"/>
              </w:rPr>
              <w:t>d)</w:t>
            </w:r>
          </w:p>
        </w:tc>
        <w:tc>
          <w:tcPr>
            <w:tcW w:w="10018" w:type="dxa"/>
            <w:tcBorders/>
            <w:shd w:fill="auto" w:val="clear"/>
            <w:vAlign w:val="center"/>
          </w:tcPr>
          <w:p>
            <w:pPr>
              <w:pStyle w:val="TableContents"/>
              <w:spacing w:before="0" w:after="283"/>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3"/>
        <w:gridCol w:w="10024"/>
      </w:tblGrid>
      <w:tr>
        <w:trPr/>
        <w:tc>
          <w:tcPr>
            <w:tcW w:w="3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jc w:val="left"/>
              <w:rPr>
                <w:sz w:val="20"/>
              </w:rPr>
            </w:pPr>
            <w:r>
              <w:rPr>
                <w:sz w:val="20"/>
              </w:rPr>
              <w:t>5.</w:t>
            </w:r>
          </w:p>
        </w:tc>
        <w:tc>
          <w:tcPr>
            <w:tcW w:w="10024" w:type="dxa"/>
            <w:tcBorders/>
            <w:shd w:fill="auto" w:val="clear"/>
            <w:vAlign w:val="center"/>
          </w:tcPr>
          <w:p>
            <w:pPr>
              <w:pStyle w:val="TableContents"/>
              <w:spacing w:before="0" w:after="283"/>
              <w:jc w:val="both"/>
              <w:rPr>
                <w:sz w:val="20"/>
              </w:rPr>
            </w:pPr>
            <w:r>
              <w:rPr>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37"/>
        <w:gridCol w:w="10030"/>
      </w:tblGrid>
      <w:tr>
        <w:trPr/>
        <w:tc>
          <w:tcPr>
            <w:tcW w:w="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jc w:val="left"/>
              <w:rPr>
                <w:sz w:val="20"/>
              </w:rPr>
            </w:pPr>
            <w:r>
              <w:rPr>
                <w:sz w:val="20"/>
              </w:rPr>
              <w:t>a)</w:t>
            </w:r>
          </w:p>
        </w:tc>
        <w:tc>
          <w:tcPr>
            <w:tcW w:w="10030" w:type="dxa"/>
            <w:tcBorders/>
            <w:shd w:fill="auto" w:val="clear"/>
            <w:vAlign w:val="center"/>
          </w:tcPr>
          <w:p>
            <w:pPr>
              <w:pStyle w:val="TableContents"/>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7"/>
        <w:gridCol w:w="10000"/>
      </w:tblGrid>
      <w:tr>
        <w:trPr/>
        <w:tc>
          <w:tcPr>
            <w:tcW w:w="3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jc w:val="left"/>
              <w:rPr>
                <w:sz w:val="20"/>
              </w:rPr>
            </w:pPr>
            <w:r>
              <w:rPr>
                <w:sz w:val="20"/>
              </w:rPr>
              <w:t>b)</w:t>
            </w:r>
          </w:p>
        </w:tc>
        <w:tc>
          <w:tcPr>
            <w:tcW w:w="10000" w:type="dxa"/>
            <w:tcBorders/>
            <w:shd w:fill="auto" w:val="clear"/>
            <w:vAlign w:val="center"/>
          </w:tcPr>
          <w:p>
            <w:pPr>
              <w:pStyle w:val="TableContents"/>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p>
      <w:pPr>
        <w:pStyle w:val="TextBody"/>
        <w:spacing w:before="0" w:after="0"/>
        <w:ind w:left="0" w:right="0" w:hanging="0"/>
        <w:rPr>
          <w:caps w:val="false"/>
          <w:smallCaps w:val="false"/>
        </w:rPr>
      </w:pPr>
      <w:r>
        <w:rPr>
          <w:caps w:val="false"/>
          <w:smallCaps w:val="false"/>
        </w:rPr>
        <w:t> </w:t>
      </w:r>
    </w:p>
    <w:tbl>
      <w:tblPr>
        <w:tblW w:w="2375" w:type="dxa"/>
        <w:jc w:val="left"/>
        <w:tblInd w:w="0" w:type="dxa"/>
        <w:tblCellMar>
          <w:top w:w="0" w:type="dxa"/>
          <w:left w:w="0" w:type="dxa"/>
          <w:bottom w:w="0" w:type="dxa"/>
          <w:right w:w="0" w:type="dxa"/>
        </w:tblCellMar>
      </w:tblPr>
      <w:tblGrid>
        <w:gridCol w:w="75"/>
        <w:gridCol w:w="2300"/>
      </w:tblGrid>
      <w:tr>
        <w:trPr/>
        <w:tc>
          <w:tcPr>
            <w:tcW w:w="75" w:type="dxa"/>
            <w:tcBorders/>
            <w:shd w:fill="auto" w:val="clear"/>
            <w:vAlign w:val="center"/>
          </w:tcPr>
          <w:p>
            <w:pPr>
              <w:pStyle w:val="TableContents"/>
              <w:spacing w:before="0" w:after="283"/>
              <w:rPr/>
            </w:pPr>
            <w:r>
              <w:rPr/>
              <w:t> </w:t>
            </w:r>
          </w:p>
        </w:tc>
        <w:tc>
          <w:tcPr>
            <w:tcW w:w="230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Aaron I. Davis</w:t>
            </w:r>
          </w:p>
        </w:tc>
      </w:tr>
      <w:tr>
        <w:trPr/>
        <w:tc>
          <w:tcPr>
            <w:tcW w:w="7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sz w:val="20"/>
              </w:rPr>
            </w:pPr>
            <w:r>
              <w:rPr>
                <w:sz w:val="20"/>
              </w:rPr>
              <w:t>Aaron I. Davis</w:t>
            </w:r>
          </w:p>
        </w:tc>
      </w:tr>
      <w:tr>
        <w:trPr/>
        <w:tc>
          <w:tcPr>
            <w:tcW w:w="7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sz w:val="20"/>
              </w:rPr>
            </w:pPr>
            <w:r>
              <w:rPr>
                <w:sz w:val="20"/>
              </w:rPr>
              <w:t>Chief Executive Officer</w:t>
            </w:r>
          </w:p>
        </w:tc>
      </w:tr>
      <w:tr>
        <w:trPr/>
        <w:tc>
          <w:tcPr>
            <w:tcW w:w="7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sz w:val="20"/>
              </w:rPr>
            </w:pPr>
            <w:r>
              <w:rPr>
                <w:sz w:val="20"/>
              </w:rPr>
              <w:t>(Principal executive officer)</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4" w:name="f10k2020ex31-2_bctgacq.htm"/>
      <w:bookmarkStart w:id="35" w:name="ksf10k2020ex312_bctgacq"/>
      <w:bookmarkEnd w:id="34"/>
      <w:bookmarkEnd w:id="35"/>
      <w:r>
        <w:rPr>
          <w:rFonts w:ascii="Times New Roman;Times;Serif" w:hAnsi="Times New Roman;Times;Serif"/>
          <w:b/>
          <w:i w:val="false"/>
          <w:caps w:val="false"/>
          <w:smallCaps w:val="false"/>
          <w:sz w:val="20"/>
        </w:rPr>
        <w:t>Exhibit 31.2</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br/>
        <w:t>AS ADOPTED PURSUANT TO SECTION 302 OF THE SARBANES-OXLEY ACT OF 2002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Beauchamp, certify that:</w:t>
      </w:r>
    </w:p>
    <w:p>
      <w:pPr>
        <w:pStyle w:val="TextBody"/>
        <w:spacing w:before="0" w:after="0"/>
        <w:ind w:left="0" w:right="0" w:firstLine="720"/>
        <w:rPr>
          <w:caps w:val="false"/>
          <w:smallCaps w:val="false"/>
        </w:rPr>
      </w:pPr>
      <w:r>
        <w:rPr>
          <w:caps w:val="false"/>
          <w:smallCaps w:val="false"/>
        </w:rPr>
        <w:t> </w:t>
      </w:r>
    </w:p>
    <w:tbl>
      <w:tblPr>
        <w:tblW w:w="6618" w:type="dxa"/>
        <w:jc w:val="left"/>
        <w:tblInd w:w="0" w:type="dxa"/>
        <w:tblCellMar>
          <w:top w:w="0" w:type="dxa"/>
          <w:left w:w="0" w:type="dxa"/>
          <w:bottom w:w="0" w:type="dxa"/>
          <w:right w:w="0" w:type="dxa"/>
        </w:tblCellMar>
      </w:tblPr>
      <w:tblGrid>
        <w:gridCol w:w="38"/>
        <w:gridCol w:w="170"/>
        <w:gridCol w:w="64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1.</w:t>
            </w:r>
          </w:p>
        </w:tc>
        <w:tc>
          <w:tcPr>
            <w:tcW w:w="6410" w:type="dxa"/>
            <w:tcBorders/>
            <w:shd w:fill="auto" w:val="clear"/>
            <w:vAlign w:val="center"/>
          </w:tcPr>
          <w:p>
            <w:pPr>
              <w:pStyle w:val="TableContents"/>
              <w:spacing w:before="0" w:after="283"/>
              <w:jc w:val="both"/>
              <w:rPr>
                <w:sz w:val="20"/>
              </w:rPr>
            </w:pPr>
            <w:r>
              <w:rPr>
                <w:sz w:val="20"/>
              </w:rPr>
              <w:t>I have reviewed this Annual Report on Form 10-K of BCTG Acquisition Corp.;</w:t>
            </w:r>
          </w:p>
        </w:tc>
      </w:tr>
    </w:tbl>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2"/>
        <w:gridCol w:w="10025"/>
      </w:tblGrid>
      <w:tr>
        <w:trPr/>
        <w:tc>
          <w:tcPr>
            <w:tcW w:w="3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jc w:val="left"/>
              <w:rPr>
                <w:sz w:val="20"/>
              </w:rPr>
            </w:pPr>
            <w:r>
              <w:rPr>
                <w:sz w:val="20"/>
              </w:rPr>
              <w:t>2.</w:t>
            </w:r>
          </w:p>
        </w:tc>
        <w:tc>
          <w:tcPr>
            <w:tcW w:w="10025" w:type="dxa"/>
            <w:tcBorders/>
            <w:shd w:fill="auto" w:val="clear"/>
            <w:vAlign w:val="center"/>
          </w:tcPr>
          <w:p>
            <w:pPr>
              <w:pStyle w:val="TableContents"/>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sz w:val="20"/>
              </w:rPr>
            </w:pPr>
            <w:r>
              <w:rPr>
                <w:sz w:val="20"/>
              </w:rPr>
              <w:t>3.</w:t>
            </w:r>
          </w:p>
        </w:tc>
        <w:tc>
          <w:tcPr>
            <w:tcW w:w="10023" w:type="dxa"/>
            <w:tcBorders/>
            <w:shd w:fill="auto" w:val="clear"/>
            <w:vAlign w:val="center"/>
          </w:tcPr>
          <w:p>
            <w:pPr>
              <w:pStyle w:val="TableContents"/>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sz w:val="20"/>
              </w:rPr>
            </w:pPr>
            <w:r>
              <w:rPr>
                <w:sz w:val="20"/>
              </w:rPr>
              <w:t>4.</w:t>
            </w:r>
          </w:p>
        </w:tc>
        <w:tc>
          <w:tcPr>
            <w:tcW w:w="10027" w:type="dxa"/>
            <w:tcBorders/>
            <w:shd w:fill="auto" w:val="clear"/>
            <w:vAlign w:val="center"/>
          </w:tcPr>
          <w:p>
            <w:pPr>
              <w:pStyle w:val="TableContents"/>
              <w:spacing w:before="0" w:after="283"/>
              <w:jc w:val="both"/>
              <w:rPr>
                <w:sz w:val="20"/>
              </w:rPr>
            </w:pPr>
            <w:r>
              <w:rPr>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31"/>
        <w:gridCol w:w="10036"/>
      </w:tblGrid>
      <w:tr>
        <w:trPr/>
        <w:tc>
          <w:tcPr>
            <w:tcW w:w="3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jc w:val="left"/>
              <w:rPr>
                <w:sz w:val="20"/>
              </w:rPr>
            </w:pPr>
            <w:r>
              <w:rPr>
                <w:sz w:val="20"/>
              </w:rPr>
              <w:t>a)</w:t>
            </w:r>
          </w:p>
        </w:tc>
        <w:tc>
          <w:tcPr>
            <w:tcW w:w="10036" w:type="dxa"/>
            <w:tcBorders/>
            <w:shd w:fill="auto" w:val="clear"/>
            <w:vAlign w:val="center"/>
          </w:tcPr>
          <w:p>
            <w:pPr>
              <w:pStyle w:val="TableContents"/>
              <w:spacing w:before="0" w:after="283"/>
              <w:jc w:val="both"/>
              <w:rPr>
                <w:sz w:val="20"/>
              </w:rPr>
            </w:pPr>
            <w:r>
              <w:rPr>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sz w:val="20"/>
              </w:rPr>
            </w:pPr>
            <w:r>
              <w:rPr>
                <w:sz w:val="20"/>
              </w:rPr>
              <w:t>b)</w:t>
            </w:r>
          </w:p>
        </w:tc>
        <w:tc>
          <w:tcPr>
            <w:tcW w:w="10023" w:type="dxa"/>
            <w:tcBorders/>
            <w:shd w:fill="auto" w:val="clear"/>
            <w:vAlign w:val="center"/>
          </w:tcPr>
          <w:p>
            <w:pPr>
              <w:pStyle w:val="TableContents"/>
              <w:spacing w:before="0" w:after="283"/>
              <w:jc w:val="both"/>
              <w:rPr>
                <w:sz w:val="20"/>
              </w:rPr>
            </w:pPr>
            <w:r>
              <w:rPr>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35"/>
        <w:gridCol w:w="10032"/>
      </w:tblGrid>
      <w:tr>
        <w:trPr/>
        <w:tc>
          <w:tcPr>
            <w:tcW w:w="3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jc w:val="left"/>
              <w:rPr>
                <w:sz w:val="20"/>
              </w:rPr>
            </w:pPr>
            <w:r>
              <w:rPr>
                <w:sz w:val="20"/>
              </w:rPr>
              <w:t>c)</w:t>
            </w:r>
          </w:p>
        </w:tc>
        <w:tc>
          <w:tcPr>
            <w:tcW w:w="10032" w:type="dxa"/>
            <w:tcBorders/>
            <w:shd w:fill="auto" w:val="clear"/>
            <w:vAlign w:val="center"/>
          </w:tcPr>
          <w:p>
            <w:pPr>
              <w:pStyle w:val="TableContents"/>
              <w:spacing w:before="0" w:after="283"/>
              <w:jc w:val="both"/>
              <w:rPr>
                <w:sz w:val="20"/>
              </w:rPr>
            </w:pPr>
            <w:r>
              <w:rPr>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9"/>
        <w:gridCol w:w="10018"/>
      </w:tblGrid>
      <w:tr>
        <w:trPr/>
        <w:tc>
          <w:tcPr>
            <w:tcW w:w="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jc w:val="left"/>
              <w:rPr>
                <w:sz w:val="20"/>
              </w:rPr>
            </w:pPr>
            <w:r>
              <w:rPr>
                <w:sz w:val="20"/>
              </w:rPr>
              <w:t>d)</w:t>
            </w:r>
          </w:p>
        </w:tc>
        <w:tc>
          <w:tcPr>
            <w:tcW w:w="10018" w:type="dxa"/>
            <w:tcBorders/>
            <w:shd w:fill="auto" w:val="clear"/>
            <w:vAlign w:val="center"/>
          </w:tcPr>
          <w:p>
            <w:pPr>
              <w:pStyle w:val="TableContents"/>
              <w:spacing w:before="0" w:after="283"/>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3"/>
        <w:gridCol w:w="10024"/>
      </w:tblGrid>
      <w:tr>
        <w:trPr/>
        <w:tc>
          <w:tcPr>
            <w:tcW w:w="3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jc w:val="left"/>
              <w:rPr>
                <w:sz w:val="20"/>
              </w:rPr>
            </w:pPr>
            <w:r>
              <w:rPr>
                <w:sz w:val="20"/>
              </w:rPr>
              <w:t>5.</w:t>
            </w:r>
          </w:p>
        </w:tc>
        <w:tc>
          <w:tcPr>
            <w:tcW w:w="10024" w:type="dxa"/>
            <w:tcBorders/>
            <w:shd w:fill="auto" w:val="clear"/>
            <w:vAlign w:val="center"/>
          </w:tcPr>
          <w:p>
            <w:pPr>
              <w:pStyle w:val="TableContents"/>
              <w:spacing w:before="0" w:after="283"/>
              <w:jc w:val="both"/>
              <w:rPr>
                <w:sz w:val="20"/>
              </w:rPr>
            </w:pPr>
            <w:r>
              <w:rPr>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37"/>
        <w:gridCol w:w="10030"/>
      </w:tblGrid>
      <w:tr>
        <w:trPr/>
        <w:tc>
          <w:tcPr>
            <w:tcW w:w="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jc w:val="left"/>
              <w:rPr>
                <w:sz w:val="20"/>
              </w:rPr>
            </w:pPr>
            <w:r>
              <w:rPr>
                <w:sz w:val="20"/>
              </w:rPr>
              <w:t>a)</w:t>
            </w:r>
          </w:p>
        </w:tc>
        <w:tc>
          <w:tcPr>
            <w:tcW w:w="10030" w:type="dxa"/>
            <w:tcBorders/>
            <w:shd w:fill="auto" w:val="clear"/>
            <w:vAlign w:val="center"/>
          </w:tcPr>
          <w:p>
            <w:pPr>
              <w:pStyle w:val="TableContents"/>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7"/>
        <w:gridCol w:w="10000"/>
      </w:tblGrid>
      <w:tr>
        <w:trPr/>
        <w:tc>
          <w:tcPr>
            <w:tcW w:w="3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jc w:val="left"/>
              <w:rPr>
                <w:sz w:val="20"/>
              </w:rPr>
            </w:pPr>
            <w:r>
              <w:rPr>
                <w:sz w:val="20"/>
              </w:rPr>
              <w:t>b)</w:t>
            </w:r>
          </w:p>
        </w:tc>
        <w:tc>
          <w:tcPr>
            <w:tcW w:w="10000" w:type="dxa"/>
            <w:tcBorders/>
            <w:shd w:fill="auto" w:val="clear"/>
            <w:vAlign w:val="center"/>
          </w:tcPr>
          <w:p>
            <w:pPr>
              <w:pStyle w:val="TableContents"/>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p>
      <w:pPr>
        <w:pStyle w:val="TextBody"/>
        <w:spacing w:before="0" w:after="0"/>
        <w:ind w:left="0" w:right="0" w:hanging="288"/>
        <w:jc w:val="both"/>
        <w:rPr>
          <w:caps w:val="false"/>
          <w:smallCaps w:val="false"/>
        </w:rPr>
      </w:pPr>
      <w:r>
        <w:rPr>
          <w:caps w:val="false"/>
          <w:smallCaps w:val="false"/>
        </w:rPr>
        <w:t> </w:t>
      </w:r>
    </w:p>
    <w:tbl>
      <w:tblPr>
        <w:tblW w:w="3605" w:type="dxa"/>
        <w:jc w:val="left"/>
        <w:tblInd w:w="0" w:type="dxa"/>
        <w:tblCellMar>
          <w:top w:w="0" w:type="dxa"/>
          <w:left w:w="0" w:type="dxa"/>
          <w:bottom w:w="0" w:type="dxa"/>
          <w:right w:w="0" w:type="dxa"/>
        </w:tblCellMar>
      </w:tblPr>
      <w:tblGrid>
        <w:gridCol w:w="75"/>
        <w:gridCol w:w="3530"/>
      </w:tblGrid>
      <w:tr>
        <w:trPr/>
        <w:tc>
          <w:tcPr>
            <w:tcW w:w="75" w:type="dxa"/>
            <w:tcBorders/>
            <w:shd w:fill="auto" w:val="clear"/>
            <w:vAlign w:val="center"/>
          </w:tcPr>
          <w:p>
            <w:pPr>
              <w:pStyle w:val="TableContents"/>
              <w:spacing w:before="0" w:after="283"/>
              <w:rPr/>
            </w:pPr>
            <w:r>
              <w:rPr/>
              <w:t> </w:t>
            </w:r>
          </w:p>
        </w:tc>
        <w:tc>
          <w:tcPr>
            <w:tcW w:w="353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Michael Beauchamp</w:t>
            </w:r>
          </w:p>
        </w:tc>
      </w:tr>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sz w:val="20"/>
              </w:rPr>
            </w:pPr>
            <w:r>
              <w:rPr>
                <w:sz w:val="20"/>
              </w:rPr>
              <w:t>Michael Beauchamp</w:t>
            </w:r>
          </w:p>
        </w:tc>
      </w:tr>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sz w:val="20"/>
              </w:rPr>
            </w:pPr>
            <w:r>
              <w:rPr>
                <w:sz w:val="20"/>
              </w:rPr>
              <w:t>Chief Financial Officer</w:t>
            </w:r>
          </w:p>
        </w:tc>
      </w:tr>
      <w:tr>
        <w:trPr/>
        <w:tc>
          <w:tcPr>
            <w:tcW w:w="7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sz w:val="20"/>
              </w:rPr>
            </w:pPr>
            <w:r>
              <w:rPr>
                <w:sz w:val="20"/>
              </w:rPr>
              <w:t>(Principal financial and accounting officer)</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6" w:name="f10k2020ex32_bctgacq.htm"/>
      <w:bookmarkStart w:id="37" w:name="ksf10k2020ex32_bctgacq"/>
      <w:bookmarkEnd w:id="36"/>
      <w:bookmarkEnd w:id="37"/>
      <w:r>
        <w:rPr>
          <w:rFonts w:ascii="Times New Roman;Times;Serif" w:hAnsi="Times New Roman;Times;Serif"/>
          <w:b/>
          <w:i w:val="false"/>
          <w:caps w:val="false"/>
          <w:smallCaps w:val="false"/>
          <w:sz w:val="20"/>
        </w:rPr>
        <w:t>Exhibit 32</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BCTG Acquisition Corp. (the “Company”) on Form 10-K for the year ended December 31, 2020 as filed with the Securities and Exchange Commission (the “Report”), each of the undersigned, in the capacities and on the dates indicated below, hereby certifies pursuant to 18 U.S.C. Section 1350, as adopted pursuant to Section 906 of the Sarbanes-Oxley Act of 2002, that:</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92"/>
        <w:gridCol w:w="9975"/>
      </w:tblGrid>
      <w:tr>
        <w:trPr/>
        <w:tc>
          <w:tcPr>
            <w:tcW w:w="3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jc w:val="left"/>
              <w:rPr/>
            </w:pPr>
            <w:r>
              <w:rPr/>
              <w:t>1.</w:t>
            </w:r>
          </w:p>
        </w:tc>
        <w:tc>
          <w:tcPr>
            <w:tcW w:w="9975" w:type="dxa"/>
            <w:tcBorders/>
            <w:shd w:fill="auto" w:val="clear"/>
            <w:vAlign w:val="center"/>
          </w:tcPr>
          <w:p>
            <w:pPr>
              <w:pStyle w:val="TableContents"/>
              <w:spacing w:before="0" w:after="283"/>
              <w:jc w:val="both"/>
              <w:rPr/>
            </w:pPr>
            <w:r>
              <w:rPr/>
              <w:t>The Report fully complies with the requirements of Section 13(a) or 15(d) of the Securities Exchange Act of 1934; and</w:t>
            </w:r>
          </w:p>
        </w:tc>
      </w:tr>
    </w:tbl>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2"/>
        <w:gridCol w:w="9985"/>
      </w:tblGrid>
      <w:tr>
        <w:trPr/>
        <w:tc>
          <w:tcPr>
            <w:tcW w:w="3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jc w:val="left"/>
              <w:rPr/>
            </w:pPr>
            <w:r>
              <w:rPr/>
              <w:t>2.</w:t>
            </w:r>
          </w:p>
        </w:tc>
        <w:tc>
          <w:tcPr>
            <w:tcW w:w="9985" w:type="dxa"/>
            <w:tcBorders/>
            <w:shd w:fill="auto" w:val="clear"/>
            <w:vAlign w:val="center"/>
          </w:tcPr>
          <w:p>
            <w:pPr>
              <w:pStyle w:val="TableContents"/>
              <w:spacing w:before="0" w:after="283"/>
              <w:jc w:val="both"/>
              <w:rPr/>
            </w:pPr>
            <w:r>
              <w:rPr/>
              <w:t>The information contained in the Report fairly presents, in all material respects, the financial condition and results of operation of the Company.</w:t>
            </w:r>
          </w:p>
        </w:tc>
      </w:tr>
    </w:tbl>
    <w:p>
      <w:pPr>
        <w:pStyle w:val="TextBody"/>
        <w:rPr/>
      </w:pPr>
      <w:r>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p>
      <w:pPr>
        <w:pStyle w:val="TextBody"/>
        <w:spacing w:before="0" w:after="0"/>
        <w:ind w:left="0" w:right="0" w:firstLine="720"/>
        <w:rPr>
          <w:caps w:val="false"/>
          <w:smallCaps w:val="false"/>
        </w:rPr>
      </w:pPr>
      <w:r>
        <w:rPr>
          <w:caps w:val="false"/>
          <w:smallCaps w:val="false"/>
        </w:rPr>
        <w:t> </w:t>
      </w:r>
    </w:p>
    <w:tbl>
      <w:tblPr>
        <w:tblW w:w="2735" w:type="dxa"/>
        <w:jc w:val="left"/>
        <w:tblInd w:w="0" w:type="dxa"/>
        <w:tblCellMar>
          <w:top w:w="0" w:type="dxa"/>
          <w:left w:w="0" w:type="dxa"/>
          <w:bottom w:w="0" w:type="dxa"/>
          <w:right w:w="0" w:type="dxa"/>
        </w:tblCellMar>
      </w:tblPr>
      <w:tblGrid>
        <w:gridCol w:w="75"/>
        <w:gridCol w:w="2660"/>
      </w:tblGrid>
      <w:tr>
        <w:trPr/>
        <w:tc>
          <w:tcPr>
            <w:tcW w:w="75" w:type="dxa"/>
            <w:tcBorders/>
            <w:shd w:fill="auto" w:val="clear"/>
            <w:vAlign w:val="center"/>
          </w:tcPr>
          <w:p>
            <w:pPr>
              <w:pStyle w:val="TableContents"/>
              <w:spacing w:before="0" w:after="283"/>
              <w:jc w:val="both"/>
              <w:rPr/>
            </w:pPr>
            <w:r>
              <w:rPr/>
              <w:t> </w:t>
            </w:r>
          </w:p>
        </w:tc>
        <w:tc>
          <w:tcPr>
            <w:tcW w:w="2660" w:type="dxa"/>
            <w:tcBorders>
              <w:bottom w:val="single" w:sz="12" w:space="0" w:color="000000"/>
            </w:tcBorders>
            <w:shd w:fill="auto" w:val="clear"/>
            <w:tcMar>
              <w:bottom w:w="28" w:type="dxa"/>
            </w:tcMar>
            <w:vAlign w:val="center"/>
          </w:tcPr>
          <w:p>
            <w:pPr>
              <w:pStyle w:val="TableContents"/>
              <w:spacing w:before="0" w:after="283"/>
              <w:jc w:val="both"/>
              <w:rPr/>
            </w:pPr>
            <w:r>
              <w:rPr/>
              <w:t>/s/ Aaron I. Davis</w:t>
            </w:r>
          </w:p>
        </w:tc>
      </w:tr>
      <w:tr>
        <w:trPr/>
        <w:tc>
          <w:tcPr>
            <w:tcW w:w="75" w:type="dxa"/>
            <w:tcBorders/>
            <w:shd w:fill="auto" w:val="clear"/>
            <w:vAlign w:val="center"/>
          </w:tcPr>
          <w:p>
            <w:pPr>
              <w:pStyle w:val="TableContents"/>
              <w:spacing w:before="0" w:after="283"/>
              <w:jc w:val="both"/>
              <w:rPr/>
            </w:pPr>
            <w:r>
              <w:rPr/>
              <w:t> </w:t>
            </w:r>
          </w:p>
        </w:tc>
        <w:tc>
          <w:tcPr>
            <w:tcW w:w="2660" w:type="dxa"/>
            <w:tcBorders/>
            <w:shd w:fill="auto" w:val="clear"/>
            <w:vAlign w:val="center"/>
          </w:tcPr>
          <w:p>
            <w:pPr>
              <w:pStyle w:val="TableContents"/>
              <w:spacing w:before="0" w:after="283"/>
              <w:jc w:val="both"/>
              <w:rPr/>
            </w:pPr>
            <w:r>
              <w:rPr/>
              <w:t>Aaron I. Davis</w:t>
            </w:r>
          </w:p>
        </w:tc>
      </w:tr>
      <w:tr>
        <w:trPr/>
        <w:tc>
          <w:tcPr>
            <w:tcW w:w="75" w:type="dxa"/>
            <w:tcBorders/>
            <w:shd w:fill="auto" w:val="clear"/>
            <w:vAlign w:val="center"/>
          </w:tcPr>
          <w:p>
            <w:pPr>
              <w:pStyle w:val="TableContents"/>
              <w:spacing w:before="0" w:after="283"/>
              <w:jc w:val="both"/>
              <w:rPr/>
            </w:pPr>
            <w:r>
              <w:rPr/>
              <w:t> </w:t>
            </w:r>
          </w:p>
        </w:tc>
        <w:tc>
          <w:tcPr>
            <w:tcW w:w="2660" w:type="dxa"/>
            <w:tcBorders/>
            <w:shd w:fill="auto" w:val="clear"/>
            <w:vAlign w:val="center"/>
          </w:tcPr>
          <w:p>
            <w:pPr>
              <w:pStyle w:val="TableContents"/>
              <w:spacing w:before="0" w:after="283"/>
              <w:jc w:val="both"/>
              <w:rPr/>
            </w:pPr>
            <w:r>
              <w:rPr/>
              <w:t>Chief Executive Officer</w:t>
            </w:r>
          </w:p>
        </w:tc>
      </w:tr>
      <w:tr>
        <w:trPr/>
        <w:tc>
          <w:tcPr>
            <w:tcW w:w="75" w:type="dxa"/>
            <w:tcBorders/>
            <w:shd w:fill="auto" w:val="clear"/>
            <w:vAlign w:val="center"/>
          </w:tcPr>
          <w:p>
            <w:pPr>
              <w:pStyle w:val="TableContents"/>
              <w:spacing w:before="0" w:after="283"/>
              <w:jc w:val="both"/>
              <w:rPr/>
            </w:pPr>
            <w:r>
              <w:rPr/>
              <w:t> </w:t>
            </w:r>
          </w:p>
        </w:tc>
        <w:tc>
          <w:tcPr>
            <w:tcW w:w="2660" w:type="dxa"/>
            <w:tcBorders/>
            <w:shd w:fill="auto" w:val="clear"/>
            <w:vAlign w:val="center"/>
          </w:tcPr>
          <w:p>
            <w:pPr>
              <w:pStyle w:val="TableContents"/>
              <w:spacing w:before="0" w:after="283"/>
              <w:jc w:val="both"/>
              <w:rPr/>
            </w:pPr>
            <w:r>
              <w:rPr/>
              <w:t>(Principal executive officer)</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p>
      <w:pPr>
        <w:pStyle w:val="TextBody"/>
        <w:spacing w:before="0" w:after="0"/>
        <w:ind w:left="0" w:right="0" w:firstLine="720"/>
        <w:jc w:val="both"/>
        <w:rPr>
          <w:caps w:val="false"/>
          <w:smallCaps w:val="false"/>
        </w:rPr>
      </w:pPr>
      <w:r>
        <w:rPr>
          <w:caps w:val="false"/>
          <w:smallCaps w:val="false"/>
        </w:rPr>
        <w:t> </w:t>
      </w:r>
    </w:p>
    <w:tbl>
      <w:tblPr>
        <w:tblW w:w="4145" w:type="dxa"/>
        <w:jc w:val="left"/>
        <w:tblInd w:w="0" w:type="dxa"/>
        <w:tblCellMar>
          <w:top w:w="0" w:type="dxa"/>
          <w:left w:w="0" w:type="dxa"/>
          <w:bottom w:w="0" w:type="dxa"/>
          <w:right w:w="0" w:type="dxa"/>
        </w:tblCellMar>
      </w:tblPr>
      <w:tblGrid>
        <w:gridCol w:w="75"/>
        <w:gridCol w:w="4070"/>
      </w:tblGrid>
      <w:tr>
        <w:trPr/>
        <w:tc>
          <w:tcPr>
            <w:tcW w:w="75" w:type="dxa"/>
            <w:tcBorders/>
            <w:shd w:fill="auto" w:val="clear"/>
            <w:vAlign w:val="center"/>
          </w:tcPr>
          <w:p>
            <w:pPr>
              <w:pStyle w:val="TableContents"/>
              <w:spacing w:before="0" w:after="283"/>
              <w:jc w:val="both"/>
              <w:rPr/>
            </w:pPr>
            <w:r>
              <w:rPr/>
              <w:t> </w:t>
            </w:r>
          </w:p>
        </w:tc>
        <w:tc>
          <w:tcPr>
            <w:tcW w:w="4070" w:type="dxa"/>
            <w:tcBorders>
              <w:bottom w:val="single" w:sz="12" w:space="0" w:color="000000"/>
            </w:tcBorders>
            <w:shd w:fill="auto" w:val="clear"/>
            <w:tcMar>
              <w:bottom w:w="28" w:type="dxa"/>
            </w:tcMar>
            <w:vAlign w:val="center"/>
          </w:tcPr>
          <w:p>
            <w:pPr>
              <w:pStyle w:val="TableContents"/>
              <w:spacing w:before="0" w:after="283"/>
              <w:jc w:val="both"/>
              <w:rPr/>
            </w:pPr>
            <w:r>
              <w:rPr/>
              <w:t>/s/ Michael Beauchamp</w:t>
            </w:r>
          </w:p>
        </w:tc>
      </w:tr>
      <w:tr>
        <w:trPr/>
        <w:tc>
          <w:tcPr>
            <w:tcW w:w="75" w:type="dxa"/>
            <w:tcBorders/>
            <w:shd w:fill="auto" w:val="clear"/>
            <w:vAlign w:val="center"/>
          </w:tcPr>
          <w:p>
            <w:pPr>
              <w:pStyle w:val="TableContents"/>
              <w:spacing w:before="0" w:after="283"/>
              <w:jc w:val="both"/>
              <w:rPr/>
            </w:pPr>
            <w:r>
              <w:rPr/>
              <w:t> </w:t>
            </w:r>
          </w:p>
        </w:tc>
        <w:tc>
          <w:tcPr>
            <w:tcW w:w="4070" w:type="dxa"/>
            <w:tcBorders/>
            <w:shd w:fill="auto" w:val="clear"/>
            <w:vAlign w:val="center"/>
          </w:tcPr>
          <w:p>
            <w:pPr>
              <w:pStyle w:val="TableContents"/>
              <w:spacing w:before="0" w:after="283"/>
              <w:jc w:val="both"/>
              <w:rPr/>
            </w:pPr>
            <w:r>
              <w:rPr/>
              <w:t>Michael Beauchamp</w:t>
            </w:r>
          </w:p>
        </w:tc>
      </w:tr>
      <w:tr>
        <w:trPr/>
        <w:tc>
          <w:tcPr>
            <w:tcW w:w="75" w:type="dxa"/>
            <w:tcBorders/>
            <w:shd w:fill="auto" w:val="clear"/>
            <w:vAlign w:val="center"/>
          </w:tcPr>
          <w:p>
            <w:pPr>
              <w:pStyle w:val="TableContents"/>
              <w:spacing w:before="0" w:after="283"/>
              <w:jc w:val="both"/>
              <w:rPr/>
            </w:pPr>
            <w:r>
              <w:rPr/>
              <w:t> </w:t>
            </w:r>
          </w:p>
        </w:tc>
        <w:tc>
          <w:tcPr>
            <w:tcW w:w="4070" w:type="dxa"/>
            <w:tcBorders/>
            <w:shd w:fill="auto" w:val="clear"/>
            <w:vAlign w:val="center"/>
          </w:tcPr>
          <w:p>
            <w:pPr>
              <w:pStyle w:val="TableContents"/>
              <w:spacing w:before="0" w:after="283"/>
              <w:jc w:val="both"/>
              <w:rPr/>
            </w:pPr>
            <w:r>
              <w:rPr/>
              <w:t>Chief Financial Officer</w:t>
            </w:r>
          </w:p>
        </w:tc>
      </w:tr>
      <w:tr>
        <w:trPr/>
        <w:tc>
          <w:tcPr>
            <w:tcW w:w="75" w:type="dxa"/>
            <w:tcBorders/>
            <w:shd w:fill="auto" w:val="clear"/>
            <w:vAlign w:val="center"/>
          </w:tcPr>
          <w:p>
            <w:pPr>
              <w:pStyle w:val="TableContents"/>
              <w:spacing w:before="0" w:after="283"/>
              <w:jc w:val="both"/>
              <w:rPr/>
            </w:pPr>
            <w:r>
              <w:rPr/>
              <w:t> </w:t>
            </w:r>
          </w:p>
        </w:tc>
        <w:tc>
          <w:tcPr>
            <w:tcW w:w="4070" w:type="dxa"/>
            <w:tcBorders/>
            <w:shd w:fill="auto" w:val="clear"/>
            <w:vAlign w:val="center"/>
          </w:tcPr>
          <w:p>
            <w:pPr>
              <w:pStyle w:val="TableContents"/>
              <w:spacing w:before="0" w:after="283"/>
              <w:jc w:val="both"/>
              <w:rPr/>
            </w:pPr>
            <w:r>
              <w:rPr/>
              <w:t>(Principal financial and accounting officer)</w:t>
            </w:r>
          </w:p>
        </w:tc>
      </w:tr>
    </w:tbl>
    <w:p>
      <w:pPr>
        <w:pStyle w:val="TextBody"/>
        <w:spacing w:before="0" w:after="0"/>
        <w:ind w:left="0" w:right="0" w:firstLine="72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9133/000121390020025909/ea126613ex1-1_bctgacq.htm" TargetMode="External"/><Relationship Id="rId3" Type="http://schemas.openxmlformats.org/officeDocument/2006/relationships/hyperlink" Target="http://www.sec.gov/Archives/edgar/data/1819133/000121390020025909/ea126613ex3-2_bctgacq.htm" TargetMode="External"/><Relationship Id="rId4" Type="http://schemas.openxmlformats.org/officeDocument/2006/relationships/hyperlink" Target="http://www.sec.gov/Archives/edgar/data/1819133/000121390020025909/ea126613ex10-1_bctgacq.htm" TargetMode="External"/><Relationship Id="rId5" Type="http://schemas.openxmlformats.org/officeDocument/2006/relationships/hyperlink" Target="http://www.sec.gov/Archives/edgar/data/1819133/000121390020025909/ea126613ex10-2_bctgacq.htm" TargetMode="External"/><Relationship Id="rId6" Type="http://schemas.openxmlformats.org/officeDocument/2006/relationships/hyperlink" Target="http://www.sec.gov/Archives/edgar/data/1819133/000121390020025909/ea126613ex10-3_bctgacq.htm" TargetMode="External"/><Relationship Id="rId7" Type="http://schemas.openxmlformats.org/officeDocument/2006/relationships/hyperlink" Target="http://www.sec.gov/Archives/edgar/data/1819133/000121390020025909/ea126613ex10-4_bctgacq.htm" TargetMode="External"/><Relationship Id="rId8" Type="http://schemas.openxmlformats.org/officeDocument/2006/relationships/hyperlink" Target="http://www.sec.gov/Archives/edgar/data/1819133/000121390020025909/ea126613ex10-6_bctgacq.htm" TargetMode="External"/><Relationship Id="rId9" Type="http://schemas.openxmlformats.org/officeDocument/2006/relationships/hyperlink" Target="http://www.sec.gov/Archives/edgar/data/1819133/000121390020025909/ea126613ex10-7_bctgacq.htm" TargetMode="External"/><Relationship Id="rId10" Type="http://schemas.openxmlformats.org/officeDocument/2006/relationships/hyperlink" Target="http://www.sec.gov/Archives/edgar/data/1819133/000121390020025909/ea126613ex10-5_bctgacq.htm" TargetMode="External"/><Relationship Id="rId11" Type="http://schemas.openxmlformats.org/officeDocument/2006/relationships/hyperlink" Target="https://www.sec.gov/Archives/edgar/data/1819133/000121390020024458/ea126196ex14_bctgacq.htm" TargetMode="External"/><Relationship Id="rId12" Type="http://schemas.openxmlformats.org/officeDocument/2006/relationships/hyperlink" Target="https://www.sec.gov/Archives/edgar/data/1819133/000121390020024458/ea126196ex99-1_bctgacq.htm" TargetMode="External"/><Relationship Id="rId13" Type="http://schemas.openxmlformats.org/officeDocument/2006/relationships/hyperlink" Target="https://www.sec.gov/Archives/edgar/data/1819133/000121390020024458/ea126196ex99-2_bctgacq.htm" TargetMode="External"/><Relationship Id="rId14" Type="http://schemas.openxmlformats.org/officeDocument/2006/relationships/hyperlink" Target="http://www.sec.gov/Archives/edgar/data/1819133/000121390020025909/ea126613ex1-1_bctgacq.htm" TargetMode="External"/><Relationship Id="rId15" Type="http://schemas.openxmlformats.org/officeDocument/2006/relationships/hyperlink" Target="http://www.sec.gov/Archives/edgar/data/1819133/000121390020025909/ea126613ex3-2_bctgacq.htm" TargetMode="External"/><Relationship Id="rId16" Type="http://schemas.openxmlformats.org/officeDocument/2006/relationships/hyperlink" Target="http://www.sec.gov/Archives/edgar/data/1819133/000121390020025909/ea126613ex10-1_bctgacq.htm" TargetMode="External"/><Relationship Id="rId17" Type="http://schemas.openxmlformats.org/officeDocument/2006/relationships/hyperlink" Target="http://www.sec.gov/Archives/edgar/data/1819133/000121390020025909/ea126613ex10-2_bctgacq.htm" TargetMode="External"/><Relationship Id="rId18" Type="http://schemas.openxmlformats.org/officeDocument/2006/relationships/hyperlink" Target="http://www.sec.gov/Archives/edgar/data/1819133/000121390020025909/ea126613ex10-3_bctgacq.htm" TargetMode="External"/><Relationship Id="rId19" Type="http://schemas.openxmlformats.org/officeDocument/2006/relationships/hyperlink" Target="http://www.sec.gov/Archives/edgar/data/1819133/000121390020025909/ea126613ex10-4_bctgacq.htm" TargetMode="External"/><Relationship Id="rId20" Type="http://schemas.openxmlformats.org/officeDocument/2006/relationships/hyperlink" Target="http://www.sec.gov/Archives/edgar/data/1819133/000121390020025909/ea126613ex10-6_bctgacq.htm" TargetMode="External"/><Relationship Id="rId21" Type="http://schemas.openxmlformats.org/officeDocument/2006/relationships/hyperlink" Target="http://www.sec.gov/Archives/edgar/data/1819133/000121390020025909/ea126613ex10-7_bctgacq.htm" TargetMode="External"/><Relationship Id="rId22" Type="http://schemas.openxmlformats.org/officeDocument/2006/relationships/hyperlink" Target="http://www.sec.gov/Archives/edgar/data/1819133/000121390020025909/ea126613ex10-5_bctgacq.htm" TargetMode="External"/><Relationship Id="rId23" Type="http://schemas.openxmlformats.org/officeDocument/2006/relationships/hyperlink" Target="https://www.sec.gov/Archives/edgar/data/1819133/000121390020024458/ea126196ex14_bctgacq.htm" TargetMode="External"/><Relationship Id="rId24" Type="http://schemas.openxmlformats.org/officeDocument/2006/relationships/hyperlink" Target="https://www.sec.gov/Archives/edgar/data/1819133/000121390020024458/ea126196ex99-1_bctgacq.htm" TargetMode="External"/><Relationship Id="rId25" Type="http://schemas.openxmlformats.org/officeDocument/2006/relationships/hyperlink" Target="https://www.sec.gov/Archives/edgar/data/1819133/000121390020024458/ea126196ex99-2_bctgacq.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33041</Words>
  <CharactersWithSpaces>212559</CharactersWithSpaces>
  <Paragraphs>3173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