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ind w:left="860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333-287202</w:t>
      </w:r>
    </w:p>
    <w:p>
      <w:pPr>
        <w:spacing w:after="0" w:line="9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May 21, 2025)</w:t>
      </w:r>
    </w:p>
    <w:p>
      <w:pPr>
        <w:spacing w:after="0" w:line="1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21,023,337 Shares of Common Stock</w:t>
      </w:r>
    </w:p>
    <w:p>
      <w:pPr>
        <w:spacing w:after="0" w:line="9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Pre-Funded Warrants to Purchase 3,226,458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1024890</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167640</wp:posOffset>
            </wp:positionV>
            <wp:extent cx="2297430" cy="7118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97430" cy="7118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We are offering 21,023,337 shares of our common stock, par value $0.001 per share (the “common stock”) and, in lieu of common stock to certain purchasers that so choose, pre-funded warrants (the “pre-funded warrants”) to purchase up to 3,226,458 shares of our common stock, in an underwritten offering to a limited number of purchasers pursuant to this prospectus supplement and the accompanying prospectus. The purchase price of each pre-funded warrant equals the price per share at which shares of common stock are being sold in this offering, minus $0.001, and the exercise price of each pre-funded warrant equals $0.001 per share. This prospectus supplement also relates to the offering of the shares of common stock issuable upon exercise of such pre-funded warrants (the “warrant shares”).</w:t>
      </w:r>
    </w:p>
    <w:p>
      <w:pPr>
        <w:spacing w:after="0" w:line="79" w:lineRule="exact"/>
        <w:rPr>
          <w:sz w:val="24"/>
          <w:szCs w:val="24"/>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a concurrent private placement (the “PIPE”), we entered into a securities purchase agreement pursuant to which we are also offering 1,732,101 shares of our common stock to an investor. The PIPE is being conducted pursuant to the exemption provided under Section 4(a)(2) of the Securities Act of 1933, as amended (the “Securities Act”), and, as such, the securities offering thereby are not being registered pursuant to this prospectus supplement and accompanying prospectus. See “Use of Proceeds.” This offering is not conditioned on the closing of the PIPE.</w:t>
      </w:r>
    </w:p>
    <w:p>
      <w:pPr>
        <w:spacing w:after="0" w:line="72" w:lineRule="exact"/>
        <w:rPr>
          <w:sz w:val="24"/>
          <w:szCs w:val="24"/>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Global Market (“Nasdaq”) under the symbol “TNGX”. The last sale price as reported on The Nasdaq Global Market on October 22, 2025, was $8.66 per share. There is no established public trading market for the pre-funded warrants, and we do not expect a market to develop. In addition, we do not intend to apply for a listing of the pre-funded warrants on Nasdaq or any other national securities exchange or any other nationally recognized trading system.</w:t>
      </w:r>
    </w:p>
    <w:p>
      <w:pPr>
        <w:spacing w:after="0" w:line="59" w:lineRule="exact"/>
        <w:rPr>
          <w:sz w:val="24"/>
          <w:szCs w:val="24"/>
          <w:color w:val="auto"/>
        </w:rPr>
      </w:pPr>
    </w:p>
    <w:p>
      <w:pPr>
        <w:ind w:left="120" w:right="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common stock involves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S-8 of this prospectus supplement, and under similar headings in other documents filed after the date hereof and incorporated by reference into this prospectus supplement and the accompanying prospectus.</w:t>
      </w:r>
    </w:p>
    <w:p>
      <w:pPr>
        <w:spacing w:after="0" w:line="68" w:lineRule="exact"/>
        <w:rPr>
          <w:sz w:val="24"/>
          <w:szCs w:val="24"/>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74" w:lineRule="exact"/>
        <w:rPr>
          <w:sz w:val="24"/>
          <w:szCs w:val="24"/>
          <w:color w:val="auto"/>
        </w:rPr>
      </w:pPr>
    </w:p>
    <w:tbl>
      <w:tblPr>
        <w:tblLayout w:type="fixed"/>
        <w:tblInd w:w="56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Pre-Funded Warrant</w:t>
            </w:r>
          </w:p>
        </w:tc>
        <w:tc>
          <w:tcPr>
            <w:tcW w:w="8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Offering Price</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8.6600</w:t>
            </w:r>
          </w:p>
        </w:tc>
        <w:tc>
          <w:tcPr>
            <w:tcW w:w="7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8.6590</w:t>
            </w:r>
          </w:p>
        </w:tc>
        <w:tc>
          <w:tcPr>
            <w:tcW w:w="7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209,999,998</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Underwriting discount</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0.5196</w:t>
            </w:r>
          </w:p>
        </w:tc>
        <w:tc>
          <w:tcPr>
            <w:tcW w:w="70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0.5196</w:t>
            </w:r>
          </w:p>
        </w:tc>
        <w:tc>
          <w:tcPr>
            <w:tcW w:w="7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12,600,193</w:t>
            </w:r>
          </w:p>
        </w:tc>
      </w:tr>
      <w:tr>
        <w:trPr>
          <w:trHeight w:val="203"/>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before expenses, to us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8.1404</w:t>
            </w: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8.1394</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7"/>
              </w:rPr>
              <w:t>197,399,805</w:t>
            </w:r>
          </w:p>
        </w:tc>
      </w:tr>
    </w:tbl>
    <w:p>
      <w:pPr>
        <w:spacing w:after="0" w:line="103" w:lineRule="exact"/>
        <w:rPr>
          <w:sz w:val="24"/>
          <w:szCs w:val="24"/>
          <w:color w:val="auto"/>
        </w:rPr>
      </w:pPr>
    </w:p>
    <w:p>
      <w:pPr>
        <w:ind w:left="540" w:right="720" w:hanging="424"/>
        <w:spacing w:after="0" w:line="208" w:lineRule="auto"/>
        <w:tabs>
          <w:tab w:leader="none" w:pos="540" w:val="left"/>
        </w:tabs>
        <w:numPr>
          <w:ilvl w:val="0"/>
          <w:numId w:val="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We refer you to “Underwriting” beginning on page S-28 of this prospectus supplement for additional information regarding underwriting compensation.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155575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8" w:lineRule="exact"/>
        <w:rPr>
          <w:sz w:val="24"/>
          <w:szCs w:val="24"/>
          <w:color w:val="auto"/>
        </w:rPr>
      </w:pPr>
    </w:p>
    <w:p>
      <w:pPr>
        <w:ind w:left="120" w:right="980"/>
        <w:spacing w:after="0" w:line="282" w:lineRule="auto"/>
        <w:rPr>
          <w:sz w:val="20"/>
          <w:szCs w:val="20"/>
          <w:color w:val="auto"/>
        </w:rPr>
      </w:pPr>
      <w:r>
        <w:rPr>
          <w:rFonts w:ascii="Times New Roman" w:cs="Times New Roman" w:eastAsia="Times New Roman" w:hAnsi="Times New Roman"/>
          <w:sz w:val="18"/>
          <w:szCs w:val="18"/>
          <w:color w:val="auto"/>
        </w:rPr>
        <w:t>The underwriter expects to deliver the shares of common stock and pre-funded warrants offered pursuant to this prospectus supplement and accompanying prospectus on or about October 24, 2025.</w:t>
      </w:r>
    </w:p>
    <w:p>
      <w:pPr>
        <w:spacing w:after="0" w:line="56" w:lineRule="exact"/>
        <w:rPr>
          <w:sz w:val="24"/>
          <w:szCs w:val="24"/>
          <w:color w:val="auto"/>
        </w:rPr>
      </w:pPr>
    </w:p>
    <w:p>
      <w:pPr>
        <w:ind w:left="120"/>
        <w:spacing w:after="0"/>
        <w:tabs>
          <w:tab w:leader="none" w:pos="10340" w:val="left"/>
        </w:tabs>
        <w:rPr>
          <w:sz w:val="20"/>
          <w:szCs w:val="20"/>
          <w:color w:val="auto"/>
        </w:rPr>
      </w:pPr>
      <w:r>
        <w:rPr>
          <w:rFonts w:ascii="Times New Roman" w:cs="Times New Roman" w:eastAsia="Times New Roman" w:hAnsi="Times New Roman"/>
          <w:sz w:val="25"/>
          <w:szCs w:val="25"/>
          <w:b w:val="1"/>
          <w:bCs w:val="1"/>
          <w:color w:val="auto"/>
        </w:rPr>
        <w:t>Leerink Partners</w:t>
      </w:r>
      <w:r>
        <w:rPr>
          <w:sz w:val="20"/>
          <w:szCs w:val="20"/>
          <w:color w:val="auto"/>
        </w:rPr>
        <w:tab/>
      </w:r>
      <w:r>
        <w:rPr>
          <w:rFonts w:ascii="Times New Roman" w:cs="Times New Roman" w:eastAsia="Times New Roman" w:hAnsi="Times New Roman"/>
          <w:sz w:val="25"/>
          <w:szCs w:val="25"/>
          <w:b w:val="1"/>
          <w:bCs w:val="1"/>
          <w:color w:val="auto"/>
        </w:rPr>
        <w:t>Cantor</w:t>
      </w:r>
    </w:p>
    <w:p>
      <w:pPr>
        <w:spacing w:after="0" w:line="12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Prospectus Supplement dated October 23, 2025</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760" w:type="dxa"/>
            <w:vAlign w:val="bottom"/>
            <w:gridSpan w:val="4"/>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760" w:type="dxa"/>
            <w:vAlign w:val="bottom"/>
            <w:gridSpan w:val="4"/>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4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120" w:type="dxa"/>
            <w:vAlign w:val="bottom"/>
            <w:gridSpan w:val="5"/>
            <w:vMerge w:val="restart"/>
          </w:tcPr>
          <w:p>
            <w:pPr>
              <w:spacing w:after="0"/>
              <w:rPr>
                <w:sz w:val="24"/>
                <w:szCs w:val="24"/>
                <w:color w:val="auto"/>
              </w:rPr>
            </w:pP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3440" w:type="dxa"/>
            <w:vAlign w:val="bottom"/>
            <w:tcBorders>
              <w:bottom w:val="single" w:sz="8" w:color="0000EE"/>
            </w:tcBorders>
            <w:gridSpan w:val="17"/>
            <w:vMerge w:val="continue"/>
          </w:tcPr>
          <w:p>
            <w:pPr>
              <w:spacing w:after="0"/>
              <w:rPr>
                <w:sz w:val="13"/>
                <w:szCs w:val="13"/>
                <w:color w:val="auto"/>
              </w:rPr>
            </w:pPr>
          </w:p>
        </w:tc>
        <w:tc>
          <w:tcPr>
            <w:tcW w:w="7120" w:type="dxa"/>
            <w:vAlign w:val="bottom"/>
            <w:gridSpan w:val="5"/>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5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PROSPECTUS SUPPLEMENT SUMMARY</w:t>
            </w: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304"/>
        </w:trPr>
        <w:tc>
          <w:tcPr>
            <w:tcW w:w="128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THE OFFERING</w:t>
            </w:r>
          </w:p>
        </w:tc>
        <w:tc>
          <w:tcPr>
            <w:tcW w:w="2000" w:type="dxa"/>
            <w:vAlign w:val="bottom"/>
            <w:tcBorders>
              <w:top w:val="single" w:sz="8" w:color="0000EE"/>
            </w:tcBorders>
            <w:gridSpan w:val="12"/>
          </w:tcPr>
          <w:p>
            <w:pPr>
              <w:spacing w:after="0"/>
              <w:rPr>
                <w:sz w:val="24"/>
                <w:szCs w:val="24"/>
                <w:color w:val="auto"/>
              </w:rPr>
            </w:pPr>
          </w:p>
        </w:tc>
        <w:tc>
          <w:tcPr>
            <w:tcW w:w="7280" w:type="dxa"/>
            <w:vAlign w:val="bottom"/>
            <w:gridSpan w:val="6"/>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304"/>
        </w:trPr>
        <w:tc>
          <w:tcPr>
            <w:tcW w:w="105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3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7"/>
              </w:rPr>
              <w:t>CAUTIONARY STATEMENT REGARDING FORWARD-LOOKING STATEMENTS</w:t>
            </w:r>
          </w:p>
        </w:tc>
        <w:tc>
          <w:tcPr>
            <w:tcW w:w="4220" w:type="dxa"/>
            <w:vAlign w:val="bottom"/>
            <w:gridSpan w:val="2"/>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304"/>
        </w:trPr>
        <w:tc>
          <w:tcPr>
            <w:tcW w:w="15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4"/>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304"/>
        </w:trPr>
        <w:tc>
          <w:tcPr>
            <w:tcW w:w="15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DIVIDEND POLICY</w:t>
            </w:r>
          </w:p>
        </w:tc>
        <w:tc>
          <w:tcPr>
            <w:tcW w:w="8980" w:type="dxa"/>
            <w:vAlign w:val="bottom"/>
            <w:gridSpan w:val="14"/>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304"/>
        </w:trPr>
        <w:tc>
          <w:tcPr>
            <w:tcW w:w="8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DILUTION</w:t>
            </w:r>
          </w:p>
        </w:tc>
        <w:tc>
          <w:tcPr>
            <w:tcW w:w="9700" w:type="dxa"/>
            <w:vAlign w:val="bottom"/>
            <w:gridSpan w:val="20"/>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304"/>
        </w:trPr>
        <w:tc>
          <w:tcPr>
            <w:tcW w:w="105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S-18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5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CERTAIN MATERIAL U.S. FEDERAL INCOME TAX CONSIDERATIONS FOR NON-U.S. HOLDERS OF COMMON STOCK</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S-22</w:t>
            </w:r>
          </w:p>
        </w:tc>
        <w:tc>
          <w:tcPr>
            <w:tcW w:w="0" w:type="dxa"/>
            <w:vAlign w:val="bottom"/>
          </w:tcPr>
          <w:p>
            <w:pPr>
              <w:spacing w:after="0"/>
              <w:rPr>
                <w:sz w:val="1"/>
                <w:szCs w:val="1"/>
                <w:color w:val="auto"/>
              </w:rPr>
            </w:pPr>
          </w:p>
        </w:tc>
      </w:tr>
      <w:tr>
        <w:trPr>
          <w:trHeight w:val="304"/>
        </w:trPr>
        <w:tc>
          <w:tcPr>
            <w:tcW w:w="952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UNDERWRITING</w:t>
            </w:r>
          </w:p>
        </w:tc>
        <w:tc>
          <w:tcPr>
            <w:tcW w:w="104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S-31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9100" w:type="dxa"/>
            <w:vAlign w:val="bottom"/>
            <w:gridSpan w:val="15"/>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S-35</w:t>
            </w:r>
          </w:p>
        </w:tc>
        <w:tc>
          <w:tcPr>
            <w:tcW w:w="0" w:type="dxa"/>
            <w:vAlign w:val="bottom"/>
          </w:tcPr>
          <w:p>
            <w:pPr>
              <w:spacing w:after="0"/>
              <w:rPr>
                <w:sz w:val="1"/>
                <w:szCs w:val="1"/>
                <w:color w:val="auto"/>
              </w:rPr>
            </w:pPr>
          </w:p>
        </w:tc>
      </w:tr>
      <w:tr>
        <w:trPr>
          <w:trHeight w:val="304"/>
        </w:trPr>
        <w:tc>
          <w:tcPr>
            <w:tcW w:w="105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S-35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5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S-35</w:t>
            </w:r>
          </w:p>
        </w:tc>
        <w:tc>
          <w:tcPr>
            <w:tcW w:w="0" w:type="dxa"/>
            <w:vAlign w:val="bottom"/>
          </w:tcPr>
          <w:p>
            <w:pPr>
              <w:spacing w:after="0"/>
              <w:rPr>
                <w:sz w:val="1"/>
                <w:szCs w:val="1"/>
                <w:color w:val="auto"/>
              </w:rPr>
            </w:pPr>
          </w:p>
        </w:tc>
      </w:tr>
      <w:tr>
        <w:trPr>
          <w:trHeight w:val="304"/>
        </w:trPr>
        <w:tc>
          <w:tcPr>
            <w:tcW w:w="380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INCORPORATION BY REFERENCE</w:t>
            </w:r>
          </w:p>
        </w:tc>
        <w:tc>
          <w:tcPr>
            <w:tcW w:w="6760" w:type="dxa"/>
            <w:vAlign w:val="bottom"/>
            <w:gridSpan w:val="4"/>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S-36</w:t>
            </w:r>
          </w:p>
        </w:tc>
        <w:tc>
          <w:tcPr>
            <w:tcW w:w="0" w:type="dxa"/>
            <w:vAlign w:val="bottom"/>
          </w:tcPr>
          <w:p>
            <w:pPr>
              <w:spacing w:after="0"/>
              <w:rPr>
                <w:sz w:val="1"/>
                <w:szCs w:val="1"/>
                <w:color w:val="auto"/>
              </w:rPr>
            </w:pPr>
          </w:p>
        </w:tc>
      </w:tr>
      <w:tr>
        <w:trPr>
          <w:trHeight w:val="669"/>
        </w:trPr>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760" w:type="dxa"/>
            <w:vAlign w:val="bottom"/>
            <w:gridSpan w:val="4"/>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56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0560" w:type="dxa"/>
            <w:vAlign w:val="bottom"/>
            <w:gridSpan w:val="22"/>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222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8340" w:type="dxa"/>
            <w:vAlign w:val="bottom"/>
            <w:gridSpan w:val="11"/>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5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532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OUR COMPANY</w:t>
            </w:r>
          </w:p>
        </w:tc>
        <w:tc>
          <w:tcPr>
            <w:tcW w:w="5240" w:type="dxa"/>
            <w:vAlign w:val="bottom"/>
            <w:gridSpan w:val="3"/>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300" w:type="dxa"/>
            <w:vAlign w:val="bottom"/>
            <w:gridSpan w:val="5"/>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80" w:type="dxa"/>
            <w:vAlign w:val="bottom"/>
            <w:gridSpan w:val="7"/>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4"/>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04"/>
        </w:trPr>
        <w:tc>
          <w:tcPr>
            <w:tcW w:w="105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SECURITIES THAT MAY BE OFFERED</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04"/>
        </w:trPr>
        <w:tc>
          <w:tcPr>
            <w:tcW w:w="308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7480" w:type="dxa"/>
            <w:vAlign w:val="bottom"/>
            <w:gridSpan w:val="7"/>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2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540" w:type="dxa"/>
            <w:vAlign w:val="bottom"/>
            <w:gridSpan w:val="8"/>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0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540" w:type="dxa"/>
            <w:vAlign w:val="bottom"/>
            <w:gridSpan w:val="8"/>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04"/>
        </w:trPr>
        <w:tc>
          <w:tcPr>
            <w:tcW w:w="24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DESCRIPTION OF WARRANTS</w:t>
            </w:r>
          </w:p>
        </w:tc>
        <w:tc>
          <w:tcPr>
            <w:tcW w:w="8080" w:type="dxa"/>
            <w:vAlign w:val="bottom"/>
            <w:gridSpan w:val="10"/>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04"/>
        </w:trPr>
        <w:tc>
          <w:tcPr>
            <w:tcW w:w="20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DESCRIPTION OF UNITS</w:t>
            </w:r>
          </w:p>
        </w:tc>
        <w:tc>
          <w:tcPr>
            <w:tcW w:w="8540" w:type="dxa"/>
            <w:vAlign w:val="bottom"/>
            <w:gridSpan w:val="13"/>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04"/>
        </w:trPr>
        <w:tc>
          <w:tcPr>
            <w:tcW w:w="105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304"/>
        </w:trPr>
        <w:tc>
          <w:tcPr>
            <w:tcW w:w="146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24"/>
                <w:szCs w:val="24"/>
                <w:color w:val="auto"/>
              </w:rPr>
            </w:pPr>
          </w:p>
        </w:tc>
        <w:tc>
          <w:tcPr>
            <w:tcW w:w="8520" w:type="dxa"/>
            <w:vAlign w:val="bottom"/>
            <w:gridSpan w:val="12"/>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04"/>
        </w:trPr>
        <w:tc>
          <w:tcPr>
            <w:tcW w:w="105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100" w:type="dxa"/>
            <w:vAlign w:val="bottom"/>
            <w:gridSpan w:val="12"/>
          </w:tcPr>
          <w:p>
            <w:pPr>
              <w:spacing w:after="0" w:line="20" w:lineRule="exact"/>
              <w:rPr>
                <w:sz w:val="1"/>
                <w:szCs w:val="1"/>
                <w:color w:val="auto"/>
              </w:rPr>
            </w:pPr>
          </w:p>
        </w:tc>
        <w:tc>
          <w:tcPr>
            <w:tcW w:w="7700" w:type="dxa"/>
            <w:vAlign w:val="bottom"/>
            <w:gridSpan w:val="9"/>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5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04"/>
        </w:trPr>
        <w:tc>
          <w:tcPr>
            <w:tcW w:w="286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INCORPORATION BY REFERENCE</w:t>
            </w:r>
          </w:p>
        </w:tc>
        <w:tc>
          <w:tcPr>
            <w:tcW w:w="940" w:type="dxa"/>
            <w:vAlign w:val="bottom"/>
            <w:tcBorders>
              <w:top w:val="single" w:sz="8" w:color="0000EE"/>
            </w:tcBorders>
            <w:gridSpan w:val="5"/>
          </w:tcPr>
          <w:p>
            <w:pPr>
              <w:spacing w:after="0"/>
              <w:rPr>
                <w:sz w:val="24"/>
                <w:szCs w:val="24"/>
                <w:color w:val="auto"/>
              </w:rPr>
            </w:pPr>
          </w:p>
        </w:tc>
        <w:tc>
          <w:tcPr>
            <w:tcW w:w="6760" w:type="dxa"/>
            <w:vAlign w:val="bottom"/>
            <w:gridSpan w:val="4"/>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This document contains two parts. The first part is this prospectus supplement, which describes the specific terms of this offering of our common stock and pre-funded warrants and also supplements and updates information contained in the accompanying prospectus and the documents incorporated by reference into this prospectus supplement and the accompanying prospectus. The second part is the accompanying prospectus dated May 21, 2025, included in our registration statement on Form S-3 (File No. 333-287202), along with the documents incorporated by reference, which provides more general information, some of which may not apply to this offering. Generally, when we refer to this prospectus, we are referring to both parts of this document combined.</w:t>
      </w:r>
    </w:p>
    <w:p>
      <w:pPr>
        <w:spacing w:after="0" w:line="18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the accompanying prospectus or in any document incorporated by reference that was filed with the Securities and Exchange Commission, or the SEC, before the date of this prospectus supplement, on the other hand, you should rely on the information contained in this prospectus supplement.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spacing w:after="0" w:line="183"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“shelf” registration statement that we filed with the SEC. Under the shelf registration process, we may offer from time to time various securities, including our common stock. Such registration statement also includes exhibits that provide more detail on the matters discussed in this prospectus supplement and the accompanying prospectus. You should read this prospectus supplement, the accompanying prospectus, including the information incorporated by reference, the exhibits filed with the SEC, and any free writing prospectus that we have authorized for use in connection with this offering, in their entirety before making an investment decision.</w:t>
      </w:r>
    </w:p>
    <w:p>
      <w:pPr>
        <w:spacing w:after="0" w:line="18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are offering to sell, and seeking offers to buy, shares of our common stock and pre-funded warrants only in jurisdictions where offers and sales are permitted. For investors outside the United States, we have not done anything that would permit this offering or possession or distribution of this prospectus supplement, the accompanying prospectus and in any free writing prospectus that we have authorized for use in connection with this offering in any jurisdiction where action for that purpose is required, other than in the United States. Persons outside the United States who come into possession of this prospectus supplement, the accompanying prospectus and any free writing prospectus that we have authorized for use in connection with this offering must inform themselves about, and observe any restrictions relating to, the offering of the shares of common stock and pre-funded warrants and the distribution of this prospectus supplement, the accompanying prospectus and any free writing prospectus that we have authorized for use in connection with this offering outside the United States.</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supplement and the accompanying prospectus, along with the information contained in any free writing prospectus that we have authorized for use in connection with this offering. We have not, and the underwriter has not, authorized anyone to provide you with different or additional information. If anyone provides you with different or inconsistent information, you should not rely on it. We and the underwriter take no responsibility for, and can provide no assurance as to the reliability of, any other information that others may give you. You should assume that the information appearing in this prospectus supplement, the accompanying prospectus, the documents incorporated by reference in this prospectus supplement and the accompanying prospectus, and in any free writing prospectus that we have authorized for use in connection with this offering is accurate only as of the respective dates of those documents, unless we indicate otherwise. Our business, financial condition, results of operations and prospects may have changed since those dates.</w:t>
      </w:r>
    </w:p>
    <w:p>
      <w:pPr>
        <w:spacing w:after="0" w:line="192" w:lineRule="exact"/>
        <w:rPr>
          <w:sz w:val="20"/>
          <w:szCs w:val="20"/>
          <w:color w:val="auto"/>
        </w:rPr>
      </w:pPr>
    </w:p>
    <w:p>
      <w:pPr>
        <w:ind w:left="120" w:right="560"/>
        <w:spacing w:after="0" w:line="266"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purpose of allocating risk among the parties to such agreements, and should not be deemed to be a representation, warranty or covenant to you. Moreover, such representations, warranties and covenants were accurate only as of the date when made; therefore, such representations, warranties and covenants should not be relied on as accurate representations of the current state of our affairs.</w:t>
      </w:r>
    </w:p>
    <w:p>
      <w:pPr>
        <w:spacing w:after="0" w:line="176" w:lineRule="exact"/>
        <w:rPr>
          <w:sz w:val="20"/>
          <w:szCs w:val="20"/>
          <w:color w:val="auto"/>
        </w:rPr>
      </w:pPr>
    </w:p>
    <w:p>
      <w:pPr>
        <w:ind w:left="120" w:right="100"/>
        <w:spacing w:after="0" w:line="289" w:lineRule="auto"/>
        <w:rPr>
          <w:sz w:val="20"/>
          <w:szCs w:val="20"/>
          <w:color w:val="auto"/>
        </w:rPr>
      </w:pPr>
      <w:r>
        <w:rPr>
          <w:rFonts w:ascii="Times New Roman" w:cs="Times New Roman" w:eastAsia="Times New Roman" w:hAnsi="Times New Roman"/>
          <w:sz w:val="17"/>
          <w:szCs w:val="17"/>
          <w:color w:val="auto"/>
        </w:rPr>
        <w:t>Unless otherwise indicated or the context suggests otherwise, references in this prospectus supplement and the accompanying prospectus to “Tango Therapeutics,” “Tango,” the “company,” “we,” “us,” and “our,” and similar designations refer to Tango Therapeutics, Inc. and, where appropriate, our consolidated subsidiaries. When we refer to “you,” we mean the potential purchasers of our common stock and pre-funded warrants in this offering.</w:t>
      </w:r>
    </w:p>
    <w:p>
      <w:pPr>
        <w:spacing w:after="0" w:line="9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000"/>
          </w:cols>
          <w:pgMar w:left="320" w:top="455" w:right="5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20"/>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and this offering contained elsewhere in, or incorporated by reference into, this prospectus supplement and the accompanying prospectus.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supplement and the accompanying prospectus, including our financial statements and related notes and the other information incorporated by reference into this prospectus supplement and the accompanying prospectus, and the information included in any free writing prospectus that we have authorized for use in connection with this offering, including the information referred to under the heading “Risk Factors” in this prospectus supplement beginning on page S-7 and in the documents incorporated herein by reference.</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120"/>
        <w:spacing w:after="0" w:line="254" w:lineRule="auto"/>
        <w:rPr>
          <w:sz w:val="20"/>
          <w:szCs w:val="20"/>
          <w:color w:val="auto"/>
        </w:rPr>
      </w:pPr>
      <w:r>
        <w:rPr>
          <w:rFonts w:ascii="Times New Roman" w:cs="Times New Roman" w:eastAsia="Times New Roman" w:hAnsi="Times New Roman"/>
          <w:sz w:val="18"/>
          <w:szCs w:val="18"/>
          <w:color w:val="auto"/>
        </w:rPr>
        <w:t>Tango Therapeutics was founded with a clear mission: to discover the next wave of targeted therapies in oncology by addressing the specific genetic alterations that drive cancer. We develop new drugs directed at tumor suppressor gene loss in defined patient populations with high unmet medical need. Tumor suppressor gene loss remains a largely unaddressed target space specifically because these genetic events cannot be directly targeted. Our novel small molecules are designed to be selectively active in cancer cells with specific genetic alterations, killing those cancer cells while sparing normal cells. We also are extending this target space beyond the classic, cell-autonomous effects of tumor suppressor gene loss to include the discovery of novel targets that reverse tumor suppressor gene mediated immune evasion which prevents the immune system from recognizing and killing cancer cells. We believe our approach will provide the ability to deliver deep, durable target inhibition with favorable tolerability and safety profiles, thus potentially maximizing clinical benefit.</w:t>
      </w:r>
    </w:p>
    <w:p>
      <w:pPr>
        <w:spacing w:after="0" w:line="192"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We are currently developing two MTA-cooperative protein arginine methyltransferase 5 (“PRMT5”) inhibitors: vopimetostat (TNG462) for non-central nervous system (“non-CNS”) cancers, including pancreatic and lung cancer, and TNG456, our next-generation, brain-penetrant PRMT5 inhibitor, for central nervous system (“CNS”) cancers, including glioblastoma (“GBM”).</w:t>
      </w:r>
    </w:p>
    <w:p>
      <w:pPr>
        <w:spacing w:after="0" w:line="176" w:lineRule="exact"/>
        <w:rPr>
          <w:sz w:val="20"/>
          <w:szCs w:val="20"/>
          <w:color w:val="auto"/>
        </w:rPr>
      </w:pPr>
    </w:p>
    <w:p>
      <w:pPr>
        <w:ind w:left="300" w:right="240"/>
        <w:spacing w:after="0" w:line="261" w:lineRule="auto"/>
        <w:rPr>
          <w:sz w:val="20"/>
          <w:szCs w:val="20"/>
          <w:color w:val="auto"/>
        </w:rPr>
      </w:pPr>
      <w:r>
        <w:rPr>
          <w:rFonts w:ascii="Times New Roman" w:cs="Times New Roman" w:eastAsia="Times New Roman" w:hAnsi="Times New Roman"/>
          <w:sz w:val="18"/>
          <w:szCs w:val="18"/>
          <w:color w:val="auto"/>
        </w:rPr>
        <w:t>In May 2025, the first patient was treated with TNG456 in the dose escalation portion of the Phase 1/2 clinical trial to evaluate the safety, pharmacokinetics, pharmacodynamics and antitumor activity of TNG456 as a monotherapy. The trial is currently enrolling patients with MTAP-deleted solid tumors, with a focus on GBM. Preclinical data for TNG456 showed favorable potency and MTAP selectivity and sufficient brain penetrance to potentially have meaningful efficacy in GBM.</w:t>
      </w:r>
    </w:p>
    <w:p>
      <w:pPr>
        <w:spacing w:after="0" w:line="180"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TNG260 is a first-in-class CoREST inhibitor, which in preclinical studies reversed the immune evasion effect of STK11 loss-of-function mutations. TNG260 had a favorable safety, tolerability and pharmacokinetic profile in dose escalation, and clinical proof-of-mechanism has now been established based on pharmacodynamic data from on-treatment patient biopsies. We are enrolling patients in the dose expansion portion of the Phase 1/2 clinical trial in STK11-mut/RAS WT lung cancer (~10% of lung adenocarcinoma). We plan to provide clinical data for TNG260 in the second half of 2025.</w:t>
      </w:r>
    </w:p>
    <w:p>
      <w:pPr>
        <w:spacing w:after="0" w:line="183" w:lineRule="exact"/>
        <w:rPr>
          <w:sz w:val="20"/>
          <w:szCs w:val="20"/>
          <w:color w:val="auto"/>
        </w:rPr>
      </w:pPr>
    </w:p>
    <w:p>
      <w:pPr>
        <w:ind w:left="300" w:right="40"/>
        <w:spacing w:after="0" w:line="258" w:lineRule="auto"/>
        <w:rPr>
          <w:sz w:val="20"/>
          <w:szCs w:val="20"/>
          <w:color w:val="auto"/>
        </w:rPr>
      </w:pPr>
      <w:r>
        <w:rPr>
          <w:rFonts w:ascii="Times New Roman" w:cs="Times New Roman" w:eastAsia="Times New Roman" w:hAnsi="Times New Roman"/>
          <w:sz w:val="18"/>
          <w:szCs w:val="18"/>
          <w:color w:val="auto"/>
        </w:rPr>
        <w:t>TNG961 is a development candidate targeting HBS1L in FOCAD-deleted solid tumors. FOCAD deletion occurs in 20-40% of all MTAP-deleted cancers. FOCAD deletion is common in NSCLC, occurring in ~5% of these patients. 20-40% of cancers with MTAP deletion have a coincident FOCAD deletion on chromosome 9, and cancers with FOCAD deletion are dependent on HBS1L for mRNA processing, thus protein synthesis. By degrading HBS1L and disrupting the HBS1L/PELO complex, TNG961 causes tumor regression in FOCAD-deleted preclinical models of multiple histologies.</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07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Vopimetostat (TNG462) Clinical Update</w:t>
      </w:r>
    </w:p>
    <w:p>
      <w:pPr>
        <w:spacing w:after="0" w:line="119" w:lineRule="exact"/>
        <w:rPr>
          <w:sz w:val="20"/>
          <w:szCs w:val="20"/>
          <w:color w:val="auto"/>
        </w:rPr>
      </w:pPr>
    </w:p>
    <w:p>
      <w:pPr>
        <w:jc w:val="both"/>
        <w:ind w:left="300" w:right="260"/>
        <w:spacing w:after="0" w:line="266" w:lineRule="auto"/>
        <w:rPr>
          <w:sz w:val="20"/>
          <w:szCs w:val="20"/>
          <w:color w:val="auto"/>
        </w:rPr>
      </w:pPr>
      <w:r>
        <w:rPr>
          <w:rFonts w:ascii="Times New Roman" w:cs="Times New Roman" w:eastAsia="Times New Roman" w:hAnsi="Times New Roman"/>
          <w:sz w:val="18"/>
          <w:szCs w:val="18"/>
          <w:color w:val="auto"/>
        </w:rPr>
        <w:t>In October 2025, we reported positive early data from the ongoing Phase 1/2 clinical trial of vopimetostat, demonstrating strong clinical activity across multiple cancer types with a favorable safety and tolerability profile to date. The cut off date for the analysis was September 1, 2025 and included all evaluable patients at active doses (200 mg QD and above) that were enrolled more than 6 months prior to the efficacy analysis.</w:t>
      </w:r>
    </w:p>
    <w:p>
      <w:pPr>
        <w:spacing w:after="0" w:line="176"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Across all MTAP-del tumor types, there were 94 tumor evaluable patients. We observed an ORR (objective response rate) of 27% and mPFS (median progression free survival) of 6.4 months. In the 29 patients with 2L (second line) MTAP-deleted pancreatic cancer, mPFS was 7.2 months. In patients with 2L pancreatic cancer that were enrolled more than 6 months prior to the data cutoff and were tumor evaluable (n=8) the ORR was 25%, more than double that observed in historical chemotherapy studies (~10%), supporting the planned initiation of a pivotal trial in this patient population in 2026. In the histology agnostic cohort with 47 evaluable late line patients, we observed a 49% ORR and mPFS of 9.1 months. The histology agnostic cohort excludes pancreatic and lung cancer patients, as those indications were enrolled in separate cohorts and are being developed independently. Sarcoma patients are also excluded from this analysis, as no activity was observed in this indication (ORR 0%), which will not be pursued in future development. As of September 1, 2025, 41 patients with 2L+ lung cancer patients were enrolled in the Phase 1/2 clinical trial at active doses, 12 of whom were enrolled more than 6 months prior to the analysis. Emerging data from the lung cohort are consistent with expectations, and we anticipate providing a safety and efficacy update in 2026. Additionally, vopimetostat demonstrated a favorable safety and tolerability profile with no drug-related dose discontinuations and ~8% dose reduction in patients dosed at 250 mg QD as of the data cut off date. We have FDA agreement on 250 mg QD as the go-forward dose.</w:t>
      </w:r>
    </w:p>
    <w:p>
      <w:pPr>
        <w:spacing w:after="0" w:line="190" w:lineRule="exact"/>
        <w:rPr>
          <w:sz w:val="20"/>
          <w:szCs w:val="20"/>
          <w:color w:val="auto"/>
        </w:rPr>
      </w:pPr>
    </w:p>
    <w:p>
      <w:pPr>
        <w:ind w:left="300" w:right="240"/>
        <w:spacing w:after="0" w:line="261" w:lineRule="auto"/>
        <w:rPr>
          <w:sz w:val="20"/>
          <w:szCs w:val="20"/>
          <w:color w:val="auto"/>
        </w:rPr>
      </w:pPr>
      <w:r>
        <w:rPr>
          <w:rFonts w:ascii="Times New Roman" w:cs="Times New Roman" w:eastAsia="Times New Roman" w:hAnsi="Times New Roman"/>
          <w:sz w:val="18"/>
          <w:szCs w:val="18"/>
          <w:color w:val="auto"/>
        </w:rPr>
        <w:t>In June 2025, the first patient was treated in the combination clinical trial that is evaluating vopimetostat with the of RAS(ON) multi-selective inhibitor, daraxonrasib, and RAS(ON) G12D-selective inhibitor, zoldonrasib (Revolution Medicines). In the first cohort in the trial (n=7), both combinations have been well-tolerated to date and have early signs of activity. We believe the ongoing clinical trial has the potential to support a 1L pancreatic cancer pivotal study in MTAP-del/RAS mut patients.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Concurrent Private Placement</w:t>
      </w:r>
    </w:p>
    <w:p>
      <w:pPr>
        <w:spacing w:after="0" w:line="121" w:lineRule="exact"/>
        <w:rPr>
          <w:sz w:val="20"/>
          <w:szCs w:val="20"/>
          <w:color w:val="auto"/>
        </w:rPr>
      </w:pPr>
    </w:p>
    <w:p>
      <w:pPr>
        <w:ind w:left="300" w:right="280"/>
        <w:spacing w:after="0" w:line="282" w:lineRule="auto"/>
        <w:rPr>
          <w:sz w:val="20"/>
          <w:szCs w:val="20"/>
          <w:color w:val="auto"/>
        </w:rPr>
      </w:pPr>
      <w:r>
        <w:rPr>
          <w:rFonts w:ascii="Times New Roman" w:cs="Times New Roman" w:eastAsia="Times New Roman" w:hAnsi="Times New Roman"/>
          <w:sz w:val="18"/>
          <w:szCs w:val="18"/>
          <w:color w:val="auto"/>
        </w:rPr>
        <w:t>In October 2025, we entered into a securities purchase agreement with an investor for the purchase and sale of 1,732,101 shares of our common stock at $8.66 per share.</w:t>
      </w:r>
    </w:p>
    <w:p>
      <w:pPr>
        <w:spacing w:after="0" w:line="162"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The securities purchase agreement contains customary registration rights in respect of the securities to be issued in connection with the PIPE, which provide that, among other things, within thirty calendar days of the closing of the PIPE, we are required to file a registration statement to register for resale the shares purchased in the PIPE. We have also agreed to use our commercially reasonable efforts to have such registration statement declared effective under the Securities Act as soon as practicable after the filing thereof, but no later than the earlier of (i) the five business days after the date on which the Securities and Exchange Commission (the “SEC”) notifies us that it will not review the registration statement or has no further comments and (ii) the sixtieth day after the closing of the PIPE (or the ninetieth day if the SEC reviews such registration statement).</w:t>
      </w:r>
    </w:p>
    <w:p>
      <w:pPr>
        <w:spacing w:after="0" w:line="189" w:lineRule="exact"/>
        <w:rPr>
          <w:sz w:val="20"/>
          <w:szCs w:val="20"/>
          <w:color w:val="auto"/>
        </w:rPr>
      </w:pPr>
    </w:p>
    <w:p>
      <w:pPr>
        <w:ind w:left="300" w:right="20"/>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not an offer to sell or a solicitation of an offer to buy any securities in connection with the PIPE.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Unaudited Preliminary Financial Results</w:t>
      </w:r>
    </w:p>
    <w:p>
      <w:pPr>
        <w:spacing w:after="0" w:line="121" w:lineRule="exact"/>
        <w:rPr>
          <w:sz w:val="20"/>
          <w:szCs w:val="20"/>
          <w:color w:val="auto"/>
        </w:rPr>
      </w:pPr>
    </w:p>
    <w:p>
      <w:pPr>
        <w:ind w:left="300" w:right="80"/>
        <w:spacing w:after="0" w:line="282" w:lineRule="auto"/>
        <w:rPr>
          <w:sz w:val="20"/>
          <w:szCs w:val="20"/>
          <w:color w:val="auto"/>
        </w:rPr>
      </w:pPr>
      <w:r>
        <w:rPr>
          <w:rFonts w:ascii="Times New Roman" w:cs="Times New Roman" w:eastAsia="Times New Roman" w:hAnsi="Times New Roman"/>
          <w:sz w:val="18"/>
          <w:szCs w:val="18"/>
          <w:color w:val="auto"/>
        </w:rPr>
        <w:t>We estimate that our cash, cash equivalents and marketable securities were approximately $152.8 million as of September 30, 2025. The foregoing information is based on preliminary unaudited information and management</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5274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35274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estimates as of and for the quarter ended September 30, 2025, is not a comprehensive statement of our financial results, and is subject to completion of our financial closing procedures. During our financial closing process our estimates can differ materially from our initial estimates presented herein based on our receipt of updated information. See the sections entitled “Risk Factors” and “Cautionary Statement Regarding Forward-Looking Statements” in this prospectus supplement and the documents incorporated by reference herein, for a discussion of certain factors that could result in differences between these preliminary unaudited estimates and the actual results. The preliminary financial data included in this prospectus supplement has been prepared by, and is the responsibility of, our management. PricewaterhouseCoopers LLP has not audited, reviewed, examined, compiled, nor applied agreed-upon procedures with respect to the preliminary financial data. Accordingly, PricewaterhouseCoopers LLP does not express an opinion or any other form of assurance with respect thereto.</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121" w:lineRule="exact"/>
        <w:rPr>
          <w:sz w:val="20"/>
          <w:szCs w:val="20"/>
          <w:color w:val="auto"/>
        </w:rPr>
      </w:pPr>
    </w:p>
    <w:p>
      <w:pPr>
        <w:ind w:left="300" w:right="160"/>
        <w:spacing w:after="0" w:line="254" w:lineRule="auto"/>
        <w:rPr>
          <w:sz w:val="20"/>
          <w:szCs w:val="20"/>
          <w:color w:val="auto"/>
        </w:rPr>
      </w:pPr>
      <w:r>
        <w:rPr>
          <w:rFonts w:ascii="Times New Roman" w:cs="Times New Roman" w:eastAsia="Times New Roman" w:hAnsi="Times New Roman"/>
          <w:sz w:val="18"/>
          <w:szCs w:val="18"/>
          <w:color w:val="auto"/>
        </w:rPr>
        <w:t xml:space="preserve">We were incorporated under the laws of the State of Delaware on May 21, 2020 under the name BCTG Acquisition Corp., or BCTG, and were incorporated in Delaware in May 2020 as a special purpose acquisition company, formed for the purpose of effecting a merger, capital stock exchange, asset acquisition, stock purchase, reorganization or other similar business combination. On August 10, 2021, we consummated the merger pursuant to the Agreement and Plan of Merger, dated as of April 13, 2021, by and among BCTG, BCTG Merger Sub Inc. and Tango Therapeutics Sub, Inc. Upon the consummation of the merger, we changed our name to Tango Therapeutics, Inc. Our principal corporate office is located at 201 Brookline Avenue, Suite 901, Boston, MA 02215, and our telephone number is (857) 320-4900. Our website address is </w:t>
      </w:r>
      <w:r>
        <w:rPr>
          <w:rFonts w:ascii="Times New Roman" w:cs="Times New Roman" w:eastAsia="Times New Roman" w:hAnsi="Times New Roman"/>
          <w:sz w:val="18"/>
          <w:szCs w:val="18"/>
          <w:i w:val="1"/>
          <w:iCs w:val="1"/>
          <w:color w:val="auto"/>
        </w:rPr>
        <w:t>https://tangotx.com</w:t>
      </w:r>
      <w:r>
        <w:rPr>
          <w:rFonts w:ascii="Times New Roman" w:cs="Times New Roman" w:eastAsia="Times New Roman" w:hAnsi="Times New Roman"/>
          <w:sz w:val="18"/>
          <w:szCs w:val="18"/>
          <w:color w:val="auto"/>
        </w:rPr>
        <w:t>. We do not incorporate the information on or accessible through our website into this prospectus supplement, and you should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consider any information on, or that can be accessed through, our website as part of this prospectus supplement.</w:t>
      </w:r>
    </w:p>
    <w:p>
      <w:pPr>
        <w:spacing w:after="0" w:line="192" w:lineRule="exact"/>
        <w:rPr>
          <w:sz w:val="20"/>
          <w:szCs w:val="20"/>
          <w:color w:val="auto"/>
        </w:rPr>
      </w:pPr>
    </w:p>
    <w:p>
      <w:pPr>
        <w:ind w:left="300"/>
        <w:spacing w:after="0" w:line="230" w:lineRule="auto"/>
        <w:rPr>
          <w:sz w:val="20"/>
          <w:szCs w:val="20"/>
          <w:color w:val="auto"/>
        </w:rPr>
      </w:pPr>
      <w:r>
        <w:rPr>
          <w:rFonts w:ascii="Times New Roman" w:cs="Times New Roman" w:eastAsia="Times New Roman" w:hAnsi="Times New Roman"/>
          <w:sz w:val="18"/>
          <w:szCs w:val="18"/>
          <w:color w:val="auto"/>
        </w:rPr>
        <w:t xml:space="preserve">We own various U.S. federal trademark applications and unregistered trademarks, including our company name. All other trademarks or trade names referred to in this prospectus supplement are the property of their respective owners. Solely for convenience, the trademarks and trade names in this prospectus supplement are referred to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should not be construed as any indicator that their respective owners will not assert, to the fullest extent under applicable law, their rights thereto.</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78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62788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2"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Common stock offered by us</w:t>
      </w:r>
      <w:r>
        <w:rPr>
          <w:sz w:val="20"/>
          <w:szCs w:val="20"/>
          <w:color w:val="auto"/>
        </w:rPr>
        <w:tab/>
      </w:r>
      <w:r>
        <w:rPr>
          <w:rFonts w:ascii="Times New Roman" w:cs="Times New Roman" w:eastAsia="Times New Roman" w:hAnsi="Times New Roman"/>
          <w:sz w:val="17"/>
          <w:szCs w:val="17"/>
          <w:color w:val="auto"/>
        </w:rPr>
        <w:t>21,023,337 shares.</w:t>
      </w:r>
    </w:p>
    <w:p>
      <w:pPr>
        <w:spacing w:after="0" w:line="266"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Pre-funded Warrants Offered</w:t>
      </w:r>
      <w:r>
        <w:rPr>
          <w:sz w:val="20"/>
          <w:szCs w:val="20"/>
          <w:color w:val="auto"/>
        </w:rPr>
        <w:tab/>
      </w:r>
      <w:r>
        <w:rPr>
          <w:rFonts w:ascii="Times New Roman" w:cs="Times New Roman" w:eastAsia="Times New Roman" w:hAnsi="Times New Roman"/>
          <w:sz w:val="17"/>
          <w:szCs w:val="17"/>
          <w:color w:val="auto"/>
        </w:rPr>
        <w:t>We are also offering, in lieu of common stock to certain purchasers who so choose,</w:t>
      </w:r>
    </w:p>
    <w:p>
      <w:pPr>
        <w:spacing w:after="0" w:line="31" w:lineRule="exact"/>
        <w:rPr>
          <w:sz w:val="20"/>
          <w:szCs w:val="20"/>
          <w:color w:val="auto"/>
        </w:rPr>
      </w:pPr>
    </w:p>
    <w:p>
      <w:pPr>
        <w:ind w:left="4340" w:right="300"/>
        <w:spacing w:after="0" w:line="251" w:lineRule="auto"/>
        <w:rPr>
          <w:sz w:val="20"/>
          <w:szCs w:val="20"/>
          <w:color w:val="auto"/>
        </w:rPr>
      </w:pPr>
      <w:r>
        <w:rPr>
          <w:rFonts w:ascii="Times New Roman" w:cs="Times New Roman" w:eastAsia="Times New Roman" w:hAnsi="Times New Roman"/>
          <w:sz w:val="18"/>
          <w:szCs w:val="18"/>
          <w:color w:val="auto"/>
        </w:rPr>
        <w:t>pre-funded warrants to purchase 3,226,458 shares of our common stock. The purchase price of each pre-funded warrant equals the price per share at which the shares of our common stock are being sold in this offering, minus $0.001, and the exercise price of each pre-funded warrant is $0.001 per share. The pre-funded warrants do not expire, and each pre-funded warrant will be exercisable at any time after the date of issuance of such pre-funded warrant, subject to an ownership limitation. See “Description of Pre-Funded Warrants.” This prospectus supplement also relates to the offering of the shares of our common stock issuable upon exercise of the pre-funded warrants.</w:t>
      </w:r>
    </w:p>
    <w:p>
      <w:pPr>
        <w:spacing w:after="0" w:line="217"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Concurrent PIPE</w:t>
      </w:r>
      <w:r>
        <w:rPr>
          <w:sz w:val="20"/>
          <w:szCs w:val="20"/>
          <w:color w:val="auto"/>
        </w:rPr>
        <w:tab/>
      </w:r>
      <w:r>
        <w:rPr>
          <w:rFonts w:ascii="Times New Roman" w:cs="Times New Roman" w:eastAsia="Times New Roman" w:hAnsi="Times New Roman"/>
          <w:sz w:val="17"/>
          <w:szCs w:val="17"/>
          <w:color w:val="auto"/>
        </w:rPr>
        <w:t>In a concurrent PIPE, we have entered into a securities purchase agreement pursuant to</w:t>
      </w:r>
    </w:p>
    <w:p>
      <w:pPr>
        <w:spacing w:after="0" w:line="31" w:lineRule="exact"/>
        <w:rPr>
          <w:sz w:val="20"/>
          <w:szCs w:val="20"/>
          <w:color w:val="auto"/>
        </w:rPr>
      </w:pPr>
    </w:p>
    <w:p>
      <w:pPr>
        <w:ind w:left="4340" w:right="320"/>
        <w:spacing w:after="0" w:line="253" w:lineRule="auto"/>
        <w:rPr>
          <w:sz w:val="20"/>
          <w:szCs w:val="20"/>
          <w:color w:val="auto"/>
        </w:rPr>
      </w:pPr>
      <w:r>
        <w:rPr>
          <w:rFonts w:ascii="Times New Roman" w:cs="Times New Roman" w:eastAsia="Times New Roman" w:hAnsi="Times New Roman"/>
          <w:sz w:val="18"/>
          <w:szCs w:val="18"/>
          <w:color w:val="auto"/>
        </w:rPr>
        <w:t>which we are offering 1,732,101 shares of our common stock to an investor. The PIPE is being conducted pursuant to the exemption provided by Section 4(a)(2) of the Securities Act and, as such, the securities offered thereby are not being registered pursuant to this prospectus supplement and the accompanying prospectus. The gross proceeds of the PIPE are expected to be approximately $15.0 million.</w:t>
      </w:r>
    </w:p>
    <w:p>
      <w:pPr>
        <w:sectPr>
          <w:pgSz w:w="11900" w:h="16838" w:orient="portrait"/>
          <w:cols w:equalWidth="0" w:num="1">
            <w:col w:w="11140"/>
          </w:cols>
          <w:pgMar w:left="320" w:top="455" w:right="439" w:bottom="1440" w:gutter="0" w:footer="0" w:header="0"/>
        </w:sectPr>
      </w:pPr>
    </w:p>
    <w:p>
      <w:pPr>
        <w:spacing w:after="0" w:line="210" w:lineRule="exact"/>
        <w:rPr>
          <w:sz w:val="20"/>
          <w:szCs w:val="20"/>
          <w:color w:val="auto"/>
        </w:rPr>
      </w:pPr>
    </w:p>
    <w:p>
      <w:pPr>
        <w:ind w:left="380" w:hanging="78"/>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to be outstanding immediately after this offering and the concurrent PIPE</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133,626,687 shares, assuming no exercise of the pre-funded warrants included in this offering.</w:t>
      </w:r>
    </w:p>
    <w:p>
      <w:pPr>
        <w:spacing w:after="0" w:line="202"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We estimate that the net proceeds to us from this offering, after deducting the underwriting discounts and commissions and estimated offering expenses payable by us, will be approximately $197.0 million. This estimate excludes the proceeds, if any, from the exercise of the pre-funded warrants sold in this offering. We also estimate that the net proceeds from the PIPE will be approximately $15.0 million, after deducting estimated PIPE expenses payable to us. We intend to use the net proceeds from this offering to advance our pipeline and for working capital and other general corporate purposes. Based upon our current operating plan, we believe that the net proceeds from this offering and the PIPE, together with our existing cash, cash equivalents and marketable securities, will enable us to fund our operating expenses and capital expenditure requirements into 2028. See “Use of Proceeds” on page S-13 of this prospectus supplement.</w:t>
      </w:r>
    </w:p>
    <w:p>
      <w:pPr>
        <w:spacing w:after="0" w:line="200" w:lineRule="exact"/>
        <w:rPr>
          <w:sz w:val="20"/>
          <w:szCs w:val="20"/>
          <w:color w:val="auto"/>
        </w:rPr>
      </w:pPr>
    </w:p>
    <w:p>
      <w:pPr>
        <w:sectPr>
          <w:pgSz w:w="11900" w:h="16838" w:orient="portrait"/>
          <w:cols w:equalWidth="0" w:num="2">
            <w:col w:w="4240" w:space="100"/>
            <w:col w:w="6800"/>
          </w:cols>
          <w:pgMar w:left="320" w:top="455" w:right="439" w:bottom="1440" w:gutter="0" w:footer="0" w:header="0"/>
          <w:type w:val="continuous"/>
        </w:sectPr>
      </w:pPr>
    </w:p>
    <w:p>
      <w:pPr>
        <w:spacing w:after="0" w:line="15"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76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Investing in our common stock involves a high degree of risk. See “Risk Factors”</w:t>
            </w:r>
          </w:p>
        </w:tc>
      </w:tr>
      <w:tr>
        <w:trPr>
          <w:trHeight w:val="216"/>
        </w:trPr>
        <w:tc>
          <w:tcPr>
            <w:tcW w:w="3380" w:type="dxa"/>
            <w:vAlign w:val="bottom"/>
          </w:tcPr>
          <w:p>
            <w:pPr>
              <w:spacing w:after="0"/>
              <w:rPr>
                <w:sz w:val="18"/>
                <w:szCs w:val="18"/>
                <w:color w:val="auto"/>
              </w:rPr>
            </w:pPr>
          </w:p>
        </w:tc>
        <w:tc>
          <w:tcPr>
            <w:tcW w:w="76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beginning on page S-7 of this prospectus supplement, as well as “Risk Factors” in the</w:t>
            </w:r>
          </w:p>
        </w:tc>
      </w:tr>
      <w:tr>
        <w:trPr>
          <w:trHeight w:val="216"/>
        </w:trPr>
        <w:tc>
          <w:tcPr>
            <w:tcW w:w="3380" w:type="dxa"/>
            <w:vAlign w:val="bottom"/>
          </w:tcPr>
          <w:p>
            <w:pPr>
              <w:spacing w:after="0"/>
              <w:rPr>
                <w:sz w:val="18"/>
                <w:szCs w:val="18"/>
                <w:color w:val="auto"/>
              </w:rPr>
            </w:pPr>
          </w:p>
        </w:tc>
        <w:tc>
          <w:tcPr>
            <w:tcW w:w="76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documents incorporated by reference into this prospectus supplement and the</w:t>
            </w:r>
          </w:p>
        </w:tc>
      </w:tr>
      <w:tr>
        <w:trPr>
          <w:trHeight w:val="216"/>
        </w:trPr>
        <w:tc>
          <w:tcPr>
            <w:tcW w:w="3380" w:type="dxa"/>
            <w:vAlign w:val="bottom"/>
          </w:tcPr>
          <w:p>
            <w:pPr>
              <w:spacing w:after="0"/>
              <w:rPr>
                <w:sz w:val="18"/>
                <w:szCs w:val="18"/>
                <w:color w:val="auto"/>
              </w:rPr>
            </w:pPr>
          </w:p>
        </w:tc>
        <w:tc>
          <w:tcPr>
            <w:tcW w:w="76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accompanying prospectus, for a discussion of factors you should consider carefully before</w:t>
            </w:r>
          </w:p>
        </w:tc>
      </w:tr>
      <w:tr>
        <w:trPr>
          <w:trHeight w:val="234"/>
        </w:trPr>
        <w:tc>
          <w:tcPr>
            <w:tcW w:w="3380" w:type="dxa"/>
            <w:vAlign w:val="bottom"/>
          </w:tcPr>
          <w:p>
            <w:pPr>
              <w:spacing w:after="0"/>
              <w:rPr>
                <w:sz w:val="20"/>
                <w:szCs w:val="20"/>
                <w:color w:val="auto"/>
              </w:rPr>
            </w:pPr>
          </w:p>
        </w:tc>
        <w:tc>
          <w:tcPr>
            <w:tcW w:w="76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deciding to purchase any shares of our common stock.</w:t>
            </w:r>
          </w:p>
        </w:tc>
      </w:tr>
      <w:tr>
        <w:trPr>
          <w:trHeight w:val="459"/>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Nasdaq Global Market symbol</w:t>
            </w:r>
          </w:p>
        </w:tc>
        <w:tc>
          <w:tcPr>
            <w:tcW w:w="76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TNGX.</w:t>
            </w:r>
          </w:p>
        </w:tc>
      </w:tr>
      <w:tr>
        <w:trPr>
          <w:trHeight w:val="186"/>
        </w:trPr>
        <w:tc>
          <w:tcPr>
            <w:tcW w:w="3380" w:type="dxa"/>
            <w:vAlign w:val="bottom"/>
            <w:tcBorders>
              <w:bottom w:val="single" w:sz="8" w:color="auto"/>
            </w:tcBorders>
          </w:tcPr>
          <w:p>
            <w:pPr>
              <w:spacing w:after="0"/>
              <w:rPr>
                <w:sz w:val="16"/>
                <w:szCs w:val="16"/>
                <w:color w:val="auto"/>
              </w:rPr>
            </w:pPr>
          </w:p>
        </w:tc>
        <w:tc>
          <w:tcPr>
            <w:tcW w:w="7640" w:type="dxa"/>
            <w:vAlign w:val="bottom"/>
            <w:tcBorders>
              <w:bottom w:val="single" w:sz="8" w:color="auto"/>
            </w:tcBorders>
          </w:tcPr>
          <w:p>
            <w:pPr>
              <w:spacing w:after="0"/>
              <w:rPr>
                <w:sz w:val="16"/>
                <w:szCs w:val="16"/>
                <w:color w:val="auto"/>
              </w:rPr>
            </w:pPr>
          </w:p>
        </w:tc>
      </w:tr>
      <w:tr>
        <w:trPr>
          <w:trHeight w:val="361"/>
        </w:trPr>
        <w:tc>
          <w:tcPr>
            <w:tcW w:w="3380" w:type="dxa"/>
            <w:vAlign w:val="bottom"/>
          </w:tcPr>
          <w:p>
            <w:pPr>
              <w:spacing w:after="0"/>
              <w:rPr>
                <w:sz w:val="24"/>
                <w:szCs w:val="24"/>
                <w:color w:val="auto"/>
              </w:rPr>
            </w:pPr>
          </w:p>
        </w:tc>
        <w:tc>
          <w:tcPr>
            <w:tcW w:w="7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S-6</w:t>
            </w:r>
          </w:p>
        </w:tc>
      </w:tr>
    </w:tbl>
    <w:p>
      <w:pPr>
        <w:sectPr>
          <w:pgSz w:w="11900" w:h="16838" w:orient="portrait"/>
          <w:cols w:equalWidth="0" w:num="1">
            <w:col w:w="11140"/>
          </w:cols>
          <w:pgMar w:left="320" w:top="455" w:right="4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8703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38703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560"/>
        <w:spacing w:after="0" w:line="266" w:lineRule="auto"/>
        <w:rPr>
          <w:sz w:val="20"/>
          <w:szCs w:val="20"/>
          <w:color w:val="auto"/>
        </w:rPr>
      </w:pPr>
      <w:r>
        <w:rPr>
          <w:rFonts w:ascii="Times New Roman" w:cs="Times New Roman" w:eastAsia="Times New Roman" w:hAnsi="Times New Roman"/>
          <w:sz w:val="18"/>
          <w:szCs w:val="18"/>
          <w:color w:val="auto"/>
        </w:rPr>
        <w:t>All information in this prospectus supplement related to the number of shares of our common stock to be outstanding immediately after this offering is based on 110,871,249 shares of our common stock outstanding as of June 30, 2025. The number of shares outstanding as used throughout this prospectus supplement, unless otherwise indicated, excludes:</w:t>
      </w:r>
    </w:p>
    <w:p>
      <w:pPr>
        <w:spacing w:after="0" w:line="81" w:lineRule="exact"/>
        <w:rPr>
          <w:sz w:val="20"/>
          <w:szCs w:val="20"/>
          <w:color w:val="auto"/>
        </w:rPr>
      </w:pPr>
    </w:p>
    <w:p>
      <w:pPr>
        <w:ind w:left="124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23,729,595 shares of common stock issuable upon the exercise of stock options outstanding as of June 30, 2025, at a weighted average exercise price of $6.52 per share;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1,413,613 shares of common stock issuable upon the vesting of restricted stock units as of June 30, 2025;</w:t>
      </w:r>
    </w:p>
    <w:p>
      <w:pPr>
        <w:spacing w:after="0" w:line="130" w:lineRule="exact"/>
        <w:rPr>
          <w:rFonts w:ascii="Times New Roman" w:cs="Times New Roman" w:eastAsia="Times New Roman" w:hAnsi="Times New Roman"/>
          <w:sz w:val="18"/>
          <w:szCs w:val="18"/>
          <w:color w:val="auto"/>
        </w:rPr>
      </w:pPr>
    </w:p>
    <w:p>
      <w:pPr>
        <w:ind w:left="1240" w:right="6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7,480,243 shares of common stock available for future issuance under our 2021 Stock Option and Incentive Plan (the “2021 Plan”) as of June 30, 2025, as well as any automatic increases in the number of shares of common stock reserved for issuance under the 2021 Plan;</w:t>
      </w:r>
    </w:p>
    <w:p>
      <w:pPr>
        <w:spacing w:after="0" w:line="81" w:lineRule="exact"/>
        <w:rPr>
          <w:rFonts w:ascii="Times New Roman" w:cs="Times New Roman" w:eastAsia="Times New Roman" w:hAnsi="Times New Roman"/>
          <w:sz w:val="18"/>
          <w:szCs w:val="18"/>
          <w:color w:val="auto"/>
        </w:rPr>
      </w:pPr>
    </w:p>
    <w:p>
      <w:pPr>
        <w:jc w:val="both"/>
        <w:ind w:left="1240" w:right="280" w:hanging="415"/>
        <w:spacing w:after="0" w:line="312" w:lineRule="auto"/>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3,694,805 shares of common stock available for future issuance under our 2021 Employee Stock Purchase Plan (the “ESPP”) as of June 30, 2025, as well as any automatic increases in the number of shares of common stock reserved for issuance under the ESPP;</w:t>
      </w:r>
    </w:p>
    <w:p>
      <w:pPr>
        <w:spacing w:after="0" w:line="45" w:lineRule="exact"/>
        <w:rPr>
          <w:rFonts w:ascii="Times New Roman" w:cs="Times New Roman" w:eastAsia="Times New Roman" w:hAnsi="Times New Roman"/>
          <w:sz w:val="17"/>
          <w:szCs w:val="17"/>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2,041,015 shares of common stock available for future issuance under the 2023 Inducement Plan as of June 30, 2025;</w:t>
      </w:r>
    </w:p>
    <w:p>
      <w:pPr>
        <w:spacing w:after="0" w:line="130" w:lineRule="exact"/>
        <w:rPr>
          <w:rFonts w:ascii="Times New Roman" w:cs="Times New Roman" w:eastAsia="Times New Roman" w:hAnsi="Times New Roman"/>
          <w:sz w:val="18"/>
          <w:szCs w:val="18"/>
          <w:color w:val="auto"/>
        </w:rPr>
      </w:pPr>
    </w:p>
    <w:p>
      <w:pPr>
        <w:ind w:left="1240" w:right="60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256,100 shares of our common stock issuable upon the exercise of stock options granted subsequent to June 30, 2025, through October 22, 2025 at a weighted-average exercise price of $6.63 per share;</w:t>
      </w:r>
    </w:p>
    <w:p>
      <w:pPr>
        <w:spacing w:after="0" w:line="67" w:lineRule="exact"/>
        <w:rPr>
          <w:rFonts w:ascii="Times New Roman" w:cs="Times New Roman" w:eastAsia="Times New Roman" w:hAnsi="Times New Roman"/>
          <w:sz w:val="18"/>
          <w:szCs w:val="18"/>
          <w:color w:val="auto"/>
        </w:rPr>
      </w:pPr>
    </w:p>
    <w:p>
      <w:pPr>
        <w:ind w:left="1240" w:right="42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42,430 shares of our common stock issuable upon the vesting and settlement of restricted stock units granted subsequent to June, 2025, through October 22, 2025;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3,226,458 shares of common stock issuable upon exercise of the pre-funded warrants issued in this offering.</w:t>
      </w:r>
    </w:p>
    <w:p>
      <w:pPr>
        <w:spacing w:after="0" w:line="225" w:lineRule="exact"/>
        <w:rPr>
          <w:sz w:val="20"/>
          <w:szCs w:val="20"/>
          <w:color w:val="auto"/>
        </w:rPr>
      </w:pPr>
    </w:p>
    <w:p>
      <w:pPr>
        <w:ind w:left="300"/>
        <w:spacing w:after="0" w:line="230" w:lineRule="auto"/>
        <w:rPr>
          <w:sz w:val="20"/>
          <w:szCs w:val="20"/>
          <w:color w:val="auto"/>
        </w:rPr>
      </w:pPr>
      <w:r>
        <w:rPr>
          <w:rFonts w:ascii="Times New Roman" w:cs="Times New Roman" w:eastAsia="Times New Roman" w:hAnsi="Times New Roman"/>
          <w:sz w:val="18"/>
          <w:szCs w:val="18"/>
          <w:color w:val="auto"/>
        </w:rPr>
        <w:t>In addition, the number of shares outstanding immediately after this offering does not include shares of common stock that we may offer and sell in the future pursuant to our Open Market Sales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with Jefferies LLC. After the expiration or waiver of the lock-up period applicable to us and described under the section of this prospectus supplement titled “Plan of Distribution,” we may offer and sell shares of our common stock having an aggregate offering price of up to $100.0 million from time to time in “at-the-market” offerings.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920"/>
          </w:cols>
          <w:pgMar w:left="320" w:top="455"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Before making an investment decision, you should carefully consider the risks described in our most recent Annual Report on Form 10-K and subsequent Quarterly Reports on Form 10-Q and Current Reports on Form 8-K, as well as any amendments thereto reflected in subsequent filings with the SEC, each of which are incorporated by reference in this prospectus supplement, and all of the other information in this prospectus supplement, including our financial statements and related notes incorporated by reference herein, and in any free writing prospectus that we have authorized for use in connection with this offering before acquiring any of our common stock. These risks could result in material and adverse impact on our business, financial condition, results of operations and prospects, which could cause the trading price of our common stock to decline, and you could lose part or all of your investment. Additional risks and uncertainties that are not yet identified or that we currently believe to be immaterial may also materially harm our business, financial condition, results of operations and prospects and could result in a complete loss of your investment. The risks discussed below also include forward-looking statements, and our actual results may differ substantially from those discussed in these forward-looking statements. See “Cautionary Statement Regarding Forward-Looking Statements.”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this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Historically, our share price has been volatile, and this is likely to continue; purchasers of our securities could incur substantial losses as a result.</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Historically, the market price of our common stock has fluctuated significantly, and we expect that this will continue. Purchasers of our securities could incur substantial losses relating to their investment in our shares as a result. The stock market in general has recently experienced volatility that has often been unrelated or disproportionate to the operating performance of particular companies. These broad market fluctuations could result in fluctuations in the price of our common stock, which could cause purchasers of our common stock to incur substantial losses. The market price for our common stock may be influenced by many factors, including:</w:t>
      </w:r>
    </w:p>
    <w:p>
      <w:pPr>
        <w:spacing w:after="0" w:line="89"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competitive products or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advancement of our preclinical programs into clinical testing;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product candidates or those of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programs and product candidates or preclinical and clinical development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product candidates or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 and third-party reimbursement decisions;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sales of our securities by our officers, directors or significant shareholders;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trading volume;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proceeds from this offering</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over the use of proceeds from this offering and may not use the proceeds effectively.</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Although we currently intend to use the net proceeds from this offering in the manner described in the section titled “Use of Proceeds” in this prospectus supplement, we will have considerable discretion in the application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 If we do not invest or apply the net proceeds from this offering in ways that enhance stockholder value, we may fail to achieve expected financial results, which could cause our stock price to decline.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following this offering could cause the market price of our common stock to decline. A substantial majority of the outstanding shares of our common stock are, and the shares of common stock offered hereby will be, freely tradable without restriction or further registration under the Securities Act, unless these shares are owned or purchased by “affiliates” as that term is defined in Rule 144 under the Securities Act. We, along with our directors and executive officers and certain of their affiliates, have agreed that for a period of 60 days after the closing of this offering, subject to specified exceptions, we or they will not offer, sell, contract to sell, pledge or otherwise dispose of, directly or indirectly, any shares of our common stock or securities convertible into or exchangeable or exercisable for any shares of our common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Purchasers in this offering will experience immediate and substantial dilution in the book value of their investment.</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Purchasers of our common stock in this offering will experience immediate dilution in the net tangible book value of the common stock purchased in this offering because the price per share of common stock in this offering is substantially higher than the net tangible book value per share of our common stock outstanding immediately after this offering. Our net tangible book value as of June 30, 2025, was approximately $135.0 million, or $1.22 per share of our common stock. If you purchase shares of common stock in this offering, you will suffer immediate and substantial dilution of $6.06 per share with respect to the net tangible book value of the common stock (assuming the no pre-funded warrants are exercised). See “Dilution” in this prospectus supplement for a detailed discussion of the dilution you will incur if you purchase shares in this offering.</w:t>
      </w:r>
    </w:p>
    <w:p>
      <w:pPr>
        <w:spacing w:after="0" w:line="29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raise additional capital through the sale of shares of our common stock, convertible securities or debt in the future, your ownership in us could be diluted and restrictions could be imposed on our business.</w:t>
      </w:r>
    </w:p>
    <w:p>
      <w:pPr>
        <w:spacing w:after="0" w:line="5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In addition to this offering, we may issue shares of our common stock or securities convertible into our common stock to raise additional capital in the future. To the extent we issue such securities, our stockholders may experience substantial dilution and the trading price of our common stock could decline. If we obtain funds through a credit facility or through the issuance of debt or preferred securities, such debt or preferred securities could have rights senior to your rights as a common stockholder, which could impair the value of our common stock.</w:t>
      </w:r>
    </w:p>
    <w:p>
      <w:pPr>
        <w:spacing w:after="0" w:line="180" w:lineRule="exact"/>
        <w:rPr>
          <w:sz w:val="20"/>
          <w:szCs w:val="20"/>
          <w:color w:val="auto"/>
        </w:rPr>
      </w:pPr>
    </w:p>
    <w:p>
      <w:pPr>
        <w:ind w:left="120" w:right="120"/>
        <w:spacing w:after="0" w:line="213" w:lineRule="auto"/>
        <w:rPr>
          <w:sz w:val="20"/>
          <w:szCs w:val="20"/>
          <w:color w:val="auto"/>
        </w:rPr>
      </w:pPr>
      <w:r>
        <w:rPr>
          <w:rFonts w:ascii="Times New Roman" w:cs="Times New Roman" w:eastAsia="Times New Roman" w:hAnsi="Times New Roman"/>
          <w:sz w:val="18"/>
          <w:szCs w:val="18"/>
          <w:color w:val="auto"/>
        </w:rPr>
        <w:t>Additionally, in September 2022, we entered into an Open Market Sales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with Jefferies LLC, providing for the offering, issuance and sale by the Company of up to $100 million of our common stock from time to time in “at-the-market” offerings (the “ATM”).</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shares can be freely sold in the public market upon issuance.</w:t>
      </w:r>
    </w:p>
    <w:p>
      <w:pPr>
        <w:spacing w:after="0" w:line="225"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Sales of our common stock pursuant to the ATM could result in substantial dilution to the interests of other holders of our common stock. Additionally, the sale of a substantial number of shares of our common stock,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anticipation of such sales, could make it more difficult for us to sell equity or equity-related securities in the future at a time and at a price that we might otherwise wish to effect sales.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being offered by us in this offering.</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being sold in this offering, and we do not expect a market to develop. In addition, we do not intend to apply to list the pre-funded warrants on any securities exchange or recognized trading system. Without an active market, the liquidity of the pre-funded warrants will be limited.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 of the pre-funded warrants will have no rights as common stockholders until they acquire our Common Stock.</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Until you acquire shares of our Common Stock upon exercise of the pre-funded warrants, you will have no rights with respect to our Common Stock issuable upon exercise of the pre-funded warrants, including the right to receive dividend payments, vote or respond to tender offers. Upon exercise of your pre-funded warrants, you will be entitled to exercise the rights of a common stockholder only as to matters for which the record date occurs after the exercise date.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holders of shares of our Common Stock may not be permitted to exercise the pre-funded warrants that they hold.</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A holder (together with its affiliates and other attribution parties) may not exercise any portion of a Pre-Funded Warrant to the extent that after giving effect to such exercise, the holder would own more than 4.99% or 9.99% of our outstanding Common Stock immediately after exercise, which percentage may be changed at the holder’s election to a higher or lower percentage not in excess of 19.99% upon 61 days’ notice to us, subject to the terms of the pre-funded warrants. As a result, you may not be able to exercise your pre-funded warrants for shares of our Common Stock at a time when it would be financially beneficial for you to do so. In such a circumstance, you could seek to sell your pre-funded warrants to realize value, but you may be unable to do so in the absence of an established trading market and due to applicable transfer restrictions.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will not receive a significant amount or any additional funds upon the exercise of the pre-funded warrants.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Each pre-funded warrant is exercisable for $0.001 per share of common stock underlying such pre-funded warrant, which may be paid by way of a cashless exercise, in which the holder would receive upon such exercise the net number of shares of common stock determined according to the formula set forth in the pre-funded warrant. Accordingly, we will not receive a significant amount of additional funds (if any) upon the exercise of the pre-funded warrants.</w:t>
      </w:r>
    </w:p>
    <w:p>
      <w:pPr>
        <w:spacing w:after="0" w:line="284"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maintain a current and effective registration statement relating to the shares of our common stock issuable upon exercise of the pre-funded warrants, holders will only be able to exercise such pre-funded warrants on a “cashless basis.”</w:t>
      </w:r>
    </w:p>
    <w:p>
      <w:pPr>
        <w:spacing w:after="0" w:line="5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If we do not maintain a current and effective registration statement relating to the shares of our common stock issuable upon exercise of the pre-funded warrants at the time that holders wish to exercise such pre-funded warrants, they will only be able to exercise them on a “cashless basis” provided that an exemption from registration is available. As a result, the number of shares of our common stock that holders will receive upon exercise of the pre-funded warrants will be fewer than it would have been had such holder exercised the warrant for cash, and holders may be limited in their ability to immediately sell shares upon exercise subject to volume or other securities law limitations. Further, if an exemption from registration is not available, holders would not be able to exercise on a cashless basis and would only be able to exercise their pre-funded warrants for cash if a current and effective registration statement relating to the shares of our common stock issuable upon exercise of the pre-funded warrants is available.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and therein, and any free writing prospectus that we have authorized for use in connection with this offering, contain forward-looking statements within the meaning of Section 27A of the Securities Act of 1933, as amended, or the Securities Act, and Section 21E of the Exchange Act of 1934, as amended, or the Exchange Act.</w:t>
      </w:r>
    </w:p>
    <w:p>
      <w:pPr>
        <w:spacing w:after="0" w:line="176"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Any statements about our expectations, beliefs, plans, objectives, assumptions or future events or performance are not historical facts and are forward-looking. These statements are often, but are not always, made through the use of words or phrases such as “may,” “will,” “could,” “should,” “expects,” “intends,” “plans,” “anticipates,” “believes,” “estimates,” “predicts,” “projects,” “potential,” “continue,” and similar expressions, or the negative of these terms, or similar expressions. Accordingly, these statements are subject to risks and uncertainties that could cause actual results to differ materially from those expressed in them. Any forward-looking statements are qualified in their entirety by reference to the factors discussed throughout this prospectus supplement, and in particular those factors referenced in the section “Risk Factors.”</w:t>
      </w:r>
    </w:p>
    <w:p>
      <w:pPr>
        <w:spacing w:after="0" w:line="18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This prospectus supplement contains forward-looking statements that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spacing w:after="0" w:line="85" w:lineRule="exact"/>
        <w:rPr>
          <w:sz w:val="20"/>
          <w:szCs w:val="20"/>
          <w:color w:val="auto"/>
        </w:rPr>
      </w:pPr>
    </w:p>
    <w:p>
      <w:pPr>
        <w:ind w:left="1080" w:right="80" w:hanging="424"/>
        <w:spacing w:after="0" w:line="255"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and combination clinical trials, including statements regarding the timing of IND filings and acceptance, active enrollment and dosing in clinical trials (including combination clinical trials), future plans for dose expansions and dose escalations, and initiation and completion of studies or clinical trials (including combination trials), plans for filing a registrational trial for vopimetostat in 2026 and the continued enrollment in our vopimetostat monotherapy and combination clinical trials (and related preparatory work for each), plans for the TNG456 clinical trial, and the period during which the results of our clinical trials (including initial and final trial results) will become available (such as the data from the ongoing TNG260 clinical trial, expected in the second half of 2025);</w:t>
      </w:r>
    </w:p>
    <w:p>
      <w:pPr>
        <w:spacing w:after="0" w:line="94" w:lineRule="exact"/>
        <w:rPr>
          <w:rFonts w:ascii="Times New Roman" w:cs="Times New Roman" w:eastAsia="Times New Roman" w:hAnsi="Times New Roman"/>
          <w:sz w:val="18"/>
          <w:szCs w:val="18"/>
          <w:color w:val="auto"/>
        </w:rPr>
      </w:pPr>
    </w:p>
    <w:p>
      <w:pPr>
        <w:ind w:left="1080" w:right="140" w:hanging="424"/>
        <w:spacing w:after="0" w:line="312" w:lineRule="auto"/>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discover and develop product candidates efficiently (including the advancement of development candidates on the timelines identified and the ability to identify and contract with clinical trial sites and investigators to use our product candidates in trials);</w:t>
      </w:r>
    </w:p>
    <w:p>
      <w:pPr>
        <w:spacing w:after="0" w:line="45" w:lineRule="exact"/>
        <w:rPr>
          <w:rFonts w:ascii="Times New Roman" w:cs="Times New Roman" w:eastAsia="Times New Roman" w:hAnsi="Times New Roman"/>
          <w:sz w:val="17"/>
          <w:szCs w:val="17"/>
          <w:color w:val="auto"/>
        </w:rPr>
      </w:pPr>
    </w:p>
    <w:p>
      <w:pPr>
        <w:ind w:left="1080" w:right="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potential (or those of third parties) to manufacture our drug product, drug substance and product candidates successfully for preclinical use, for clinical trials and on a larger scale for commercial use, if approved;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strategic collaborators to license and to continue research and development activities relating to our development candidates and product candidates;</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research, development and commercialization of our product candidates (and that existing cash, cash equivalents and marketable securities will enable us to fund our operating expenses and capital expenditure requirements into 2028);</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if approved, maintain regulatory approval of our product candidates (as well as approval or clearance of screening tests and companion diagnostic tests for our product candidates) and the potential paths to approval our product candidates, including for vopimetostat as a monotherapy or in combination in MTAP-deleted pancreatic and lung cancer;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our ability to enforce our intellectual property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capital requirements, and our need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(if approved) and any other approved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including the expectation that we will continue to incur operating losses and negative cash flow;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 if approved;</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 including product approval requirements and pricing regulations by U.S. regulatory authorities (such as the Centers for Medicare &amp; Medicaid Services) and foreign regulatory authorities;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ability of third parties with whom we contract) to produce our products or product candidates with advantages in turnaround times or manufacturing cost;</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the deep, durable target inhibition—with favorable tolerability and safety profiles—necessary to maximize clinical benefit as a result of the unique ability of synthetic lethal targeting to spare normal cells, as well as the success of competing therapies that are or may become available;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industry;</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trade restrictions (such as sanctions or tariffs); regulatory requirements, legal actions, or enforcement; inflation rates; and inadequate funding for government agencies on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public health crises on our business operations, including but not limited to our preclinical studies and clinical trials and any future studies or trials;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the use of our drugs in patients as single agents and/or in combination, including our belief that TNG456 has sufficient brain penetrance to potentially have meaningful efficacy in glioblastoma;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our “at-the-market” program and our ability or inability to secure additional funds through equity financing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sale of our common stock in the concurrent PIPE;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including, among others, inflation, interest rates, tax rates economic uncertainty, the actual or perceived failure or financial difficulties of additional financial institutions and economic and trade sanctions, including their effect on our results of operations;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 in this prospectus supplement and in our Annual Report on Form 10-K for the year ended December 31, 2024 and our most recent Quarterly Reports on Form 10-Q for the quarters ended March 31, 2025 and June 30, 2025.</w:t>
      </w:r>
    </w:p>
    <w:p>
      <w:pPr>
        <w:spacing w:after="0" w:line="176"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neither promises nor guarantees of future performance due to a variety of risks and uncertainties, many of which are beyond our control, which could cause actual results to differ materially from those indicated by these forward-looking statements, including, without limitation the risk factors and cautionary statements described in other documents that we file from time to time with the SEC, specifically under “Item 1A: Risk Factors” and elsewhere in our most recent Annual Report on Form 10-K for the period ended December 31, 2024 and our most recent Quarterly Reports on Form 10-Q for the quarters ended March 31, 2025 and June 30, 2025, and our Current Reports on Form 8-K, and in this prospectus supplement under the heading “Risk Factors.”</w:t>
      </w:r>
    </w:p>
    <w:p>
      <w:pPr>
        <w:spacing w:after="0" w:line="187"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While we may elect to update forward-looking statements at some point in the future, we assume no obligation to update or revise any forward-looking statements except to the extent required by applicable law.</w:t>
      </w:r>
    </w:p>
    <w:p>
      <w:pPr>
        <w:spacing w:after="0" w:line="16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documents incorporated by reference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80"/>
        <w:spacing w:after="0" w:line="289" w:lineRule="auto"/>
        <w:rPr>
          <w:sz w:val="20"/>
          <w:szCs w:val="20"/>
          <w:color w:val="auto"/>
        </w:rPr>
      </w:pPr>
      <w:r>
        <w:rPr>
          <w:rFonts w:ascii="Times New Roman" w:cs="Times New Roman" w:eastAsia="Times New Roman" w:hAnsi="Times New Roman"/>
          <w:sz w:val="17"/>
          <w:szCs w:val="17"/>
          <w:color w:val="auto"/>
        </w:rPr>
        <w:t>We estimate that we will receive net proceeds from this offering of approximately $197.0 million after deducting the underwriting discounts and commissions and estimated offering expenses payable by us. We also estimate that the net proceeds from the PIPE will be approximately $15.0 million, after deducting estimated PIPE expenses payable by us. We will receive nominal proceeds, if any, from the exercise of the pre-funded warrants.</w:t>
      </w:r>
    </w:p>
    <w:p>
      <w:pPr>
        <w:spacing w:after="0" w:line="15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this offering and the PIPE, together with our existing cash, cash equivalents and marketable securities to advance our pipeline and for working capital and other general corporate purposes. Based upon our current operating plan, we believe that the net proceeds from this offering and the PIPE, together with our existing cash, cash equivalents and investments, will enable us to fund our operating expenses and capital expenditure requirements into 2028.</w:t>
      </w:r>
    </w:p>
    <w:p>
      <w:pPr>
        <w:spacing w:after="0" w:line="180"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The expected use of the net proceeds from this offering and the PIPE represents our intentions based upon our current plans and business conditions, which could change in the future as our plans and business conditions evolve. The amounts and timing of our actual expenditures will depend on numerous factors, including the factors described under “Risk Factors” in this prospectus supplement, the accompanying prospectus and in the documents incorporated by reference herein, as well as the amount of cash used in our operations. We may find it necessary or advisable to use the net proceeds for other purposes, and we will have broad discretion in the application of the net proceeds. Pending the uses described above, we plan to invest the net proceeds from this offering in short- and intermediate-term, interest-bearing obligations, investment-grade instruments, certificates of deposit or direct or guaranteed obligations of the U.S. government.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intend to retain all of our future earnings, if any, to finance the growth and development of our business. We do not intend to pay cash dividends to our stockholders in the foreseeable future.</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0660"/>
          </w:cols>
          <w:pgMar w:left="320" w:top="455" w:right="9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If you invest in our common stock or pre-funded warrants in this offering, your ownership interest will be diluted to the extent of the difference between the public offering price per share of our common stock or pre-funded warrant in this offering and the as adjusted net tangible book value per share of our common stock immediately after this offering.</w:t>
      </w:r>
    </w:p>
    <w:p>
      <w:pPr>
        <w:spacing w:after="0" w:line="17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net tangible book value of our common stock as of June 30, 2025 was approximately $135.0 million, or approximately $1.22 per share of common stock based upon 110,871,249 shares outstanding. Net tangible book value per share is equal to our total tangible assets (total assets less intangible assets), less our total liabilities, divided by the total number of shares of common stock outstanding as of June 30, 2025.</w:t>
      </w:r>
    </w:p>
    <w:p>
      <w:pPr>
        <w:spacing w:after="0" w:line="176"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Net tangible book value dilution per share to investors participating in this offering represents the difference between the amount per share paid by purchasers of shares of common stock in this offering and the as adjusted net tangible book value per share of common stock immediately after completion of this offering and the concurrent PIPE.</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After giving effect to the sale by us of shares of our common stock in this offering and shares of our common stock in the PIPE, at the offering price of $8.66 per share and $8.66 per share, respectively, and pre-funded warrants to purchase shares of common stock at the offering price of $8.659 per pre-funded warrant (which equals the public offering price of the common stock at which shares of our common stock are being sold to the public in this offering less the $0.001 per share exercise price of each such pre-funded warrant) (excluding shares of common stock issuable upon exercise of the pre-funded warrants, any proceeds which may be received upon exercise of the pre-funded warrants or any resulting accounting associated with the exercise of the pre-funded warrants), and after deducting the underwriting discounts and commissions and estimated offering and PIPE expenses payable by us, our as adjusted net tangible book value as of June 30, 2025 would have been approximately $347.0 million, or $2.60 per share of our common stock. This represents an immediate increase in net tangible book value of $1.38 per share to our existing stockholders and an immediate dilution in as adjusted net tangible book value of $6.06 per share to new investors in this offering and the concurrent PIPE.</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illustrates this calculation on a per share basis:</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132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6"/>
        </w:trPr>
        <w:tc>
          <w:tcPr>
            <w:tcW w:w="13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share</w:t>
            </w:r>
          </w:p>
        </w:tc>
        <w:tc>
          <w:tcPr>
            <w:tcW w:w="17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$8.66</w:t>
            </w:r>
          </w:p>
        </w:tc>
      </w:tr>
      <w:tr>
        <w:trPr>
          <w:trHeight w:val="216"/>
        </w:trPr>
        <w:tc>
          <w:tcPr>
            <w:tcW w:w="1320" w:type="dxa"/>
            <w:vAlign w:val="bottom"/>
          </w:tcPr>
          <w:p>
            <w:pPr>
              <w:spacing w:after="0"/>
              <w:rPr>
                <w:sz w:val="18"/>
                <w:szCs w:val="18"/>
                <w:color w:val="auto"/>
              </w:rPr>
            </w:pPr>
          </w:p>
        </w:tc>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tangible book value per share as of June 30, 2025</w:t>
            </w:r>
          </w:p>
        </w:tc>
        <w:tc>
          <w:tcPr>
            <w:tcW w:w="12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$1.22</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1320" w:type="dxa"/>
            <w:vAlign w:val="bottom"/>
          </w:tcPr>
          <w:p>
            <w:pPr>
              <w:spacing w:after="0"/>
              <w:rPr>
                <w:sz w:val="17"/>
                <w:szCs w:val="17"/>
                <w:color w:val="auto"/>
              </w:rPr>
            </w:pPr>
          </w:p>
        </w:tc>
        <w:tc>
          <w:tcPr>
            <w:tcW w:w="66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Increase in net tangible book value per share attributable to this offering and the</w:t>
            </w: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1320" w:type="dxa"/>
            <w:vAlign w:val="bottom"/>
          </w:tcPr>
          <w:p>
            <w:pPr>
              <w:spacing w:after="0"/>
              <w:rPr>
                <w:sz w:val="20"/>
                <w:szCs w:val="20"/>
                <w:color w:val="auto"/>
              </w:rPr>
            </w:pPr>
          </w:p>
        </w:tc>
        <w:tc>
          <w:tcPr>
            <w:tcW w:w="66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concurrent PIPE</w:t>
            </w:r>
          </w:p>
        </w:tc>
        <w:tc>
          <w:tcPr>
            <w:tcW w:w="12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1.38</w:t>
            </w: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05"/>
        </w:trPr>
        <w:tc>
          <w:tcPr>
            <w:tcW w:w="1320" w:type="dxa"/>
            <w:vAlign w:val="bottom"/>
          </w:tcPr>
          <w:p>
            <w:pPr>
              <w:spacing w:after="0"/>
              <w:rPr>
                <w:sz w:val="17"/>
                <w:szCs w:val="17"/>
                <w:color w:val="auto"/>
              </w:rPr>
            </w:pPr>
          </w:p>
        </w:tc>
        <w:tc>
          <w:tcPr>
            <w:tcW w:w="66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As adjusted net tangible book value per share after giving effect to this offering and the</w:t>
            </w:r>
          </w:p>
        </w:tc>
        <w:tc>
          <w:tcPr>
            <w:tcW w:w="3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1"/>
        </w:trPr>
        <w:tc>
          <w:tcPr>
            <w:tcW w:w="1320" w:type="dxa"/>
            <w:vAlign w:val="bottom"/>
          </w:tcPr>
          <w:p>
            <w:pPr>
              <w:spacing w:after="0"/>
              <w:rPr>
                <w:sz w:val="20"/>
                <w:szCs w:val="20"/>
                <w:color w:val="auto"/>
              </w:rPr>
            </w:pPr>
          </w:p>
        </w:tc>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concurrent PIPE</w:t>
            </w:r>
          </w:p>
        </w:tc>
        <w:tc>
          <w:tcPr>
            <w:tcW w:w="17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2.60</w:t>
            </w:r>
          </w:p>
        </w:tc>
      </w:tr>
      <w:tr>
        <w:trPr>
          <w:trHeight w:val="198"/>
        </w:trPr>
        <w:tc>
          <w:tcPr>
            <w:tcW w:w="1320" w:type="dxa"/>
            <w:vAlign w:val="bottom"/>
          </w:tcPr>
          <w:p>
            <w:pPr>
              <w:spacing w:after="0"/>
              <w:rPr>
                <w:sz w:val="17"/>
                <w:szCs w:val="17"/>
                <w:color w:val="auto"/>
              </w:rPr>
            </w:pPr>
          </w:p>
        </w:tc>
        <w:tc>
          <w:tcPr>
            <w:tcW w:w="6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Dilution in net tangible book value per share to new investors in this offering and the</w:t>
            </w: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1320" w:type="dxa"/>
            <w:vAlign w:val="bottom"/>
          </w:tcPr>
          <w:p>
            <w:pPr>
              <w:spacing w:after="0"/>
              <w:rPr>
                <w:sz w:val="20"/>
                <w:szCs w:val="20"/>
                <w:color w:val="auto"/>
              </w:rPr>
            </w:pPr>
          </w:p>
        </w:tc>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concurrent PIPE</w:t>
            </w:r>
          </w:p>
        </w:tc>
        <w:tc>
          <w:tcPr>
            <w:tcW w:w="17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6.06</w:t>
            </w:r>
          </w:p>
        </w:tc>
      </w:tr>
      <w:tr>
        <w:trPr>
          <w:trHeight w:val="20"/>
        </w:trPr>
        <w:tc>
          <w:tcPr>
            <w:tcW w:w="13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Assuming the pre-funded warrants were immediately and fully exercised, this would result in an as adjusted net tangible book value, after giving effect to this offering and warrant exercise, of $2.54 per share. This represents an increase in net tangible book value of $1.32 per share to existing stockholders and dilution in net tangible book value per share of $6.12 to investors participating in this offering.</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information above is based upon 110,871,249 shares of our common stock outstanding as of June 30, 2025. The information above excludes:</w:t>
      </w:r>
    </w:p>
    <w:p>
      <w:pPr>
        <w:spacing w:after="0" w:line="131" w:lineRule="exact"/>
        <w:rPr>
          <w:sz w:val="20"/>
          <w:szCs w:val="20"/>
          <w:color w:val="auto"/>
        </w:rPr>
      </w:pPr>
    </w:p>
    <w:p>
      <w:pPr>
        <w:ind w:left="1080" w:right="3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23,729,595 shares of common stock issuable upon the exercise of stock options outstanding as of June 30, 2025, at a weighted average exercise price of $6.52 per share;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1,413,613 shares of common stock issuable upon the vesting of restricted stock units as of June 30, 2025;</w:t>
      </w:r>
    </w:p>
    <w:p>
      <w:pPr>
        <w:spacing w:after="0" w:line="130" w:lineRule="exact"/>
        <w:rPr>
          <w:rFonts w:ascii="Times New Roman" w:cs="Times New Roman" w:eastAsia="Times New Roman" w:hAnsi="Times New Roman"/>
          <w:sz w:val="18"/>
          <w:szCs w:val="18"/>
          <w:color w:val="auto"/>
        </w:rPr>
      </w:pPr>
    </w:p>
    <w:p>
      <w:pPr>
        <w:ind w:left="1080" w:right="220" w:hanging="424"/>
        <w:spacing w:after="0" w:line="312" w:lineRule="auto"/>
        <w:tabs>
          <w:tab w:leader="none" w:pos="10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7,480,243 shares of common stock available for future issuance under our 2021 Stock Option and Incentive Plan (the “2021 Plan”) as of June 30, 2025, as well as any automatic increases in the number of shares of common stock reserved for issuance under the 2021 Plan;</w:t>
      </w:r>
    </w:p>
    <w:p>
      <w:pPr>
        <w:spacing w:after="0" w:line="45" w:lineRule="exact"/>
        <w:rPr>
          <w:rFonts w:ascii="Times New Roman" w:cs="Times New Roman" w:eastAsia="Times New Roman" w:hAnsi="Times New Roman"/>
          <w:sz w:val="17"/>
          <w:szCs w:val="17"/>
          <w:color w:val="auto"/>
        </w:rPr>
      </w:pPr>
    </w:p>
    <w:p>
      <w:pPr>
        <w:jc w:val="both"/>
        <w:ind w:left="1080" w:right="6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3,694,805 shares of common stock available for future issuance under our 2021 Employee Stock Purchase Plan (the “ESPP”) as of June 30, 2025, as well as any automatic increases in the number of shares of common stock reserved for issuance under the ESPP;</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2,041,015 shares of common stock available for future issuance under the 2023 Inducement Plan as of June 30, 2025;</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256,100 shares of our common stock issuable upon the exercise of stock options granted subsequent to June 30, 2025, at a weighted-average exercise price of $6.63 per share;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42,430 shares of our common stock issuable upon the vesting and settlement of restricted stock units granted subsequent to June, 2025; and</w:t>
      </w:r>
    </w:p>
    <w:p>
      <w:pPr>
        <w:spacing w:after="0" w:line="142"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3,226,458 shares of common stock issuable upon exercise of the pre-funded warrants issued in this offering.</w:t>
      </w:r>
    </w:p>
    <w:p>
      <w:pPr>
        <w:spacing w:after="0" w:line="225" w:lineRule="exact"/>
        <w:rPr>
          <w:sz w:val="20"/>
          <w:szCs w:val="20"/>
          <w:color w:val="auto"/>
        </w:rPr>
      </w:pPr>
    </w:p>
    <w:p>
      <w:pPr>
        <w:ind w:left="120" w:right="140"/>
        <w:spacing w:after="0" w:line="236" w:lineRule="auto"/>
        <w:rPr>
          <w:sz w:val="20"/>
          <w:szCs w:val="20"/>
          <w:color w:val="auto"/>
        </w:rPr>
      </w:pPr>
      <w:r>
        <w:rPr>
          <w:rFonts w:ascii="Times New Roman" w:cs="Times New Roman" w:eastAsia="Times New Roman" w:hAnsi="Times New Roman"/>
          <w:sz w:val="18"/>
          <w:szCs w:val="18"/>
          <w:color w:val="auto"/>
        </w:rPr>
        <w:t>In addition, we may choose to raise additional capital in the future through the sale of equity or convertible debt securities due to market conditions or strategic considerations, even if we believe we have sufficient funds for our current or future operating plans. To the extent that any of our outstanding options are exercised, shares of common stock are issued upon the vesting and settlement of our restricted stock units outstanding, new equity awards are granted under our equity incentive plans, additional shares of common stock are issued pursuant to the Open Market Sales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with Jefferies LLC or we otherwise issue additional shares of common stock or other equity or convertible debt securities in the future, there may be further dilution to investors participating in this offering.</w:t>
      </w:r>
    </w:p>
    <w:p>
      <w:pPr>
        <w:spacing w:after="0" w:line="1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description of our common stock and preferred stock, together with the additional information we include in any applicable prospectus supplements, summarizes the material terms and provisions of the common stock and preferred stock that we may offer under this prospectus. The following description of our capital stock does not purport to be complete and is subject to, and qualified in its entirety by, our Second Amended and Restated Certificate of Incorporation, as amended from time to time, or certificate of incorporation, and our Amended and Restated Bylaws, as amended from time to time, or bylaws, which are exhibits to the registration statement of which this prospectus forms a part, and by applicable law. The terms of our common stock and preferred stock may also be affected by Delaware law.</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Four Hundred Million (400,000,000) shares of common stock, par value $0.001 per share and Ten Million (10,000,000) shares of undesignated preferred stock, par value $0.001 per 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certificate of incorporation provides the following with respect to the rights, powers, preferences and privileges of the common stock.</w:t>
      </w:r>
    </w:p>
    <w:p>
      <w:pPr>
        <w:spacing w:after="0" w:line="223" w:lineRule="exact"/>
        <w:rPr>
          <w:sz w:val="20"/>
          <w:szCs w:val="20"/>
          <w:color w:val="auto"/>
        </w:rPr>
      </w:pPr>
    </w:p>
    <w:p>
      <w:pPr>
        <w:ind w:left="120" w:right="3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Voting Power. </w:t>
      </w: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common stock possess all voting power for the election of Tango’s directors and all other matters requiring stockholder action. Holders of common stock are entitled to one vote per share on matters to be voted on by stockholders.</w:t>
      </w:r>
    </w:p>
    <w:p>
      <w:pPr>
        <w:spacing w:after="0" w:line="173" w:lineRule="exact"/>
        <w:rPr>
          <w:sz w:val="20"/>
          <w:szCs w:val="20"/>
          <w:color w:val="auto"/>
        </w:rPr>
      </w:pPr>
    </w:p>
    <w:p>
      <w:pPr>
        <w:jc w:val="both"/>
        <w:ind w:left="120"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Holders of common stock will be entitled to receive such dividends, if any, as may be declared from time to time by our board of directors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Liquidation, Dissolution and Winding Up. </w:t>
      </w:r>
      <w:r>
        <w:rPr>
          <w:rFonts w:ascii="Times New Roman" w:cs="Times New Roman" w:eastAsia="Times New Roman" w:hAnsi="Times New Roman"/>
          <w:sz w:val="18"/>
          <w:szCs w:val="18"/>
          <w:color w:val="auto"/>
        </w:rPr>
        <w:t>In the event of Tango’s voluntary or involuntary liquidation, dissolution, distribution of assets</w:t>
      </w:r>
    </w:p>
    <w:p>
      <w:pPr>
        <w:spacing w:after="0" w:line="29"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or winding-up, the holders of the common stock will be entitled to receive an equal amount per share of all of Tango’s assets of whatever kind available for distribution to stockholders, after the rights of the holders of the preferred stock have been satisfied.</w:t>
      </w:r>
    </w:p>
    <w:p>
      <w:pPr>
        <w:spacing w:after="0" w:line="179" w:lineRule="exact"/>
        <w:rPr>
          <w:sz w:val="20"/>
          <w:szCs w:val="20"/>
          <w:color w:val="auto"/>
        </w:rPr>
      </w:pPr>
    </w:p>
    <w:p>
      <w:pPr>
        <w:ind w:left="120" w:right="2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Preemptive or Other Rights. </w:t>
      </w:r>
      <w:r>
        <w:rPr>
          <w:rFonts w:ascii="Times New Roman" w:cs="Times New Roman" w:eastAsia="Times New Roman" w:hAnsi="Times New Roman"/>
          <w:sz w:val="18"/>
          <w:szCs w:val="18"/>
          <w:color w:val="auto"/>
        </w:rPr>
        <w:t>Our common stock has no preemptive rights, conversion rights or other subscription rights or redemption or sinking fund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Listing of Securities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“TNGX”.</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Agent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transfer agent for our common stock is Computershare Trust Company, N.A.</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Our board of directors will have the authority, without further action by our stockholders, to issue up to 10,000,000 shares of preferred stock in one or more series and to fix the rights, preferences, privileges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convertible preferred stock are outstanding, and we have no present plan to issue any shares of convertible preferred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Certain of our stockholders (“Holders”) hold registration rights pursuant to an amended and restated registration and stockholder rights agreement (the “Amended and Restated Registration and Stockholder Rights Agreement”).</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Stockholders holding a majority-in-interest of such registrable securities are entitled to make a written demand for registration under the Securities Act of 1933, as amended (the “Securities Act”), of all or part of their registrable securities.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particular, the Amended and Restated Registration and Stockholder Rights Agreement provides for the following registration rights:</w:t>
      </w:r>
    </w:p>
    <w:p>
      <w:pPr>
        <w:spacing w:after="0" w:line="129" w:lineRule="exact"/>
        <w:rPr>
          <w:sz w:val="20"/>
          <w:szCs w:val="20"/>
          <w:color w:val="auto"/>
        </w:rPr>
      </w:pPr>
    </w:p>
    <w:p>
      <w:pPr>
        <w:ind w:left="1080" w:right="40" w:hanging="424"/>
        <w:spacing w:after="0" w:line="257"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Shelf registration/demand registration rights</w:t>
      </w:r>
      <w:r>
        <w:rPr>
          <w:rFonts w:ascii="Times New Roman" w:cs="Times New Roman" w:eastAsia="Times New Roman" w:hAnsi="Times New Roman"/>
          <w:sz w:val="18"/>
          <w:szCs w:val="18"/>
          <w:color w:val="auto"/>
        </w:rPr>
        <w:t>. At any time and from time to time when an effective shelf registration statement is on file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SEC, a Holder may request to sell all or any portion of such Holder’s registrable securities by means of an underwritten takedown off of the shelf registration statement, except that we are only obligated to effect such underwritten shelf takedown if such offering will include registrable securities proposed to be sold by the requesting Holder, either individually or together with other requesting Holders, with a total offering price reasonably expected to exceed, in the aggregate, $20.0 million. Additionally, we are not required to effect more than one underwritten shelf takedown in any six-month period.</w:t>
      </w:r>
    </w:p>
    <w:p>
      <w:pPr>
        <w:spacing w:after="0" w:line="87" w:lineRule="exact"/>
        <w:rPr>
          <w:rFonts w:ascii="Times New Roman" w:cs="Times New Roman" w:eastAsia="Times New Roman" w:hAnsi="Times New Roman"/>
          <w:sz w:val="18"/>
          <w:szCs w:val="18"/>
          <w:color w:val="auto"/>
        </w:rPr>
      </w:pPr>
    </w:p>
    <w:p>
      <w:pPr>
        <w:ind w:left="1080" w:right="260" w:hanging="424"/>
        <w:spacing w:after="0" w:line="261"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Piggyback registration rights</w:t>
      </w:r>
      <w:r>
        <w:rPr>
          <w:rFonts w:ascii="Times New Roman" w:cs="Times New Roman" w:eastAsia="Times New Roman" w:hAnsi="Times New Roman"/>
          <w:sz w:val="18"/>
          <w:szCs w:val="18"/>
          <w:color w:val="auto"/>
        </w:rPr>
        <w:t>. Subject to exceptions for certain offerings and registration statements, if at any time, we propose to file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under the Securities Act, in connection with an offering of our equity securities or securities or other obligations exercisable or exchangeable for, or convertible into, our equity securities, either for our own account or for the account of other stockholders, the Holders are entitled to include their registrable securities in such registration statement.</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The Amended and Restated Registration and Stockholder Rights Agreement contains customary cross-indemnification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Expiration of Registration Rights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registration rights granted under the Amended and Restated Registration and Stockholder Rights Agreement will terminate on the earlier of (i) the 10th anniversary of the date of the agreement and (ii) with respect to any Holder, on the date that such Holder no longer holds any Registrable Securities.</w:t>
      </w:r>
    </w:p>
    <w:p>
      <w:pPr>
        <w:spacing w:after="0" w:line="280" w:lineRule="exact"/>
        <w:rPr>
          <w:sz w:val="20"/>
          <w:szCs w:val="20"/>
          <w:color w:val="auto"/>
        </w:rPr>
      </w:pPr>
    </w:p>
    <w:p>
      <w:pPr>
        <w:ind w:left="120" w:right="438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Anti-Takeover effects of our certificate of incorporation and bylaws and Delaware law </w:t>
      </w:r>
      <w:r>
        <w:rPr>
          <w:rFonts w:ascii="Times New Roman" w:cs="Times New Roman" w:eastAsia="Times New Roman" w:hAnsi="Times New Roman"/>
          <w:sz w:val="18"/>
          <w:szCs w:val="18"/>
          <w:b w:val="1"/>
          <w:bCs w:val="1"/>
          <w:i w:val="1"/>
          <w:iCs w:val="1"/>
          <w:color w:val="auto"/>
        </w:rPr>
        <w:t>Certificate of Incorporation and Bylaws</w:t>
      </w: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include a number of provisions that may have the effect of delaying, deferring or preventing another party from acquiring control of us and encouraging persons considering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unsolicited tender offers or other unilateral takeover proposals to negotiate with our board of directors rather than pursue non-negotiated takeover attempts. These provisions include the items described below:</w:t>
      </w:r>
    </w:p>
    <w:p>
      <w:pPr>
        <w:spacing w:after="0" w:line="67" w:lineRule="exact"/>
        <w:rPr>
          <w:sz w:val="20"/>
          <w:szCs w:val="20"/>
          <w:color w:val="auto"/>
        </w:rPr>
      </w:pPr>
    </w:p>
    <w:p>
      <w:pPr>
        <w:ind w:left="1080" w:right="2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up to 10,000,000 shares of preferred stock, with any rights, preferences and privileges as they may designate, including the right to approve an acquisition or other change of control;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our board of directors;</w:t>
      </w:r>
    </w:p>
    <w:p>
      <w:pPr>
        <w:spacing w:after="0" w:line="130" w:lineRule="exact"/>
        <w:rPr>
          <w:rFonts w:ascii="Times New Roman" w:cs="Times New Roman" w:eastAsia="Times New Roman" w:hAnsi="Times New Roman"/>
          <w:sz w:val="18"/>
          <w:szCs w:val="18"/>
          <w:color w:val="auto"/>
        </w:rPr>
      </w:pPr>
    </w:p>
    <w:p>
      <w:pPr>
        <w:jc w:val="both"/>
        <w:ind w:left="1080" w:right="4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the rights of any series of preferred stock to elect directors, directors may be removed only with cause by the holders of at least two thirds (2/3) of all of our then-outstanding shares of the capital stock entitled to vote at an election of directors;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the rights of any series of preferred stock to fill director vacancies, all director vacancies, including newly created directorships, may, except as otherwise required by law, be filled by the affirmative vote of a majority of directors then in office, even if less than a quorum;</w:t>
      </w:r>
    </w:p>
    <w:p>
      <w:pPr>
        <w:spacing w:after="0" w:line="81"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by our board of directors pursuant to a resolution adopted by a majority of the total number of directors then in office;</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will be divided into three classes of directors, with the directors serving three-year terms, therefore making it more difficult for stockholders to change the composition of our board of directors;</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certificate of incorporation must be approved by not less than two-thirds of the outstanding shares entitled to vote on the amendment, and not less than two-thirds of the outstanding shares of each class entitled to vote thereon as a class;</w:t>
      </w:r>
    </w:p>
    <w:p>
      <w:pPr>
        <w:spacing w:after="0" w:line="92"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Bylaws may be amended by the affirmative vote of a majority of the directors then in office, subject to any limitations set forth by law or in the bylaws; and may also be amended by the affirmative vote of 75% of the outstanding shares entitled to vote on the amendment; provided, however, if our board of directors recommends such amendment to be voted on at a meeting of the stockholders, such amendment only requires the affirmative vote of the majority of the outstanding shares entitled to vote on such amendment and</w:t>
      </w:r>
    </w:p>
    <w:p>
      <w:pPr>
        <w:spacing w:after="0" w:line="85"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Law</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Tango has opted out of Section 203 of the Delaware General Corporation Law (the “DGCL”). Section 203 of the DGCL prohibits a Delaware corporation from engaging in a “business combination” with an “interested stockholder” (i.e. a stockholder owning 15% or more of company’s voting stock) for three years following the time that the “interested stockholder” becomes such, subject to certain exceptions.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Jurisdiction of Certain Actions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Our bylaws require, to the fullest extent permitted by law, unless we consent in writing to the selection of an alternative forum, that derivative actions brought in the name of Tango, actions against any current or former directors, officers and employees for breach of fiduciary duty, actions asserting a claim arising pursuant to any provision of the DGCL or our certificate of incorporation or our bylaws, actions to interpret, apply, enforce or determine the validity of our certificate of incorporation or our bylaws and actions asserting a claim governed by the internal affairs doctrine may be brought only in the Court of Chancery in the State of Delaware (the “Delaware Forum Provision”). The Delaware Forum Provision will not apply to any causes of action arising under the Securities Act and the Securities Exchange Act of 1934. Our bylaws further provide that unless we consent in writing to the selection of an alternative forum, the federal district courts of the United States shall be the sole and exclusive forum for resolving any complaint asserting a cause of action arising under the Securities Act. We refer to such provision as the Federal Forum Provision.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040"/>
          </w:cols>
          <w:pgMar w:left="320" w:top="455" w:right="5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 FOR NON-U.S. HOLDERS</w:t>
      </w:r>
    </w:p>
    <w:p>
      <w:pPr>
        <w:spacing w:after="0" w:line="229" w:lineRule="exact"/>
        <w:rPr>
          <w:sz w:val="20"/>
          <w:szCs w:val="20"/>
          <w:color w:val="auto"/>
        </w:rPr>
      </w:pPr>
    </w:p>
    <w:p>
      <w:pPr>
        <w:ind w:left="120" w:right="100" w:firstLine="440"/>
        <w:spacing w:after="0" w:line="277" w:lineRule="auto"/>
        <w:rPr>
          <w:sz w:val="20"/>
          <w:szCs w:val="20"/>
          <w:color w:val="auto"/>
        </w:rPr>
      </w:pPr>
      <w:r>
        <w:rPr>
          <w:rFonts w:ascii="Times New Roman" w:cs="Times New Roman" w:eastAsia="Times New Roman" w:hAnsi="Times New Roman"/>
          <w:sz w:val="17"/>
          <w:szCs w:val="17"/>
          <w:color w:val="auto"/>
        </w:rPr>
        <w:t>The following summary describes the material U.S. federal income tax considerations of the acquisition, ownership and disposition of our common stock and pre-funded warrants acquired in this offering. This discussion does not address all aspects of U.S. federal income taxes, does not discuss the potential application of any alternative minimum tax or Medicare Contribution tax on net investment income, or the special tax accounting rules under Section 451(b) of the Internal Revenue Code, or the Code, and does not address state or local taxes, U.S. federal gift and estate tax laws or, except to the limited extent provided below, any non-U.S. tax consequences that may be relevant to investors in light of their particular circumstances.</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Special rules different from those described below may apply to certain investors that are subject to special treatment under the Code, such as:</w:t>
      </w:r>
    </w:p>
    <w:p>
      <w:pPr>
        <w:spacing w:after="0" w:line="131" w:lineRule="exact"/>
        <w:rPr>
          <w:sz w:val="20"/>
          <w:szCs w:val="20"/>
          <w:color w:val="auto"/>
        </w:rPr>
      </w:pPr>
    </w:p>
    <w:p>
      <w:pPr>
        <w:ind w:left="540" w:hanging="316"/>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 banks and other financial institutions;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 and tax-qualified retirement plans;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governments and international organizations;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and traders in securities;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certain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540" w:right="80" w:hanging="316"/>
        <w:spacing w:after="0" w:line="282"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Holders (as defined below) that own, or are deemed to own, more than 5% of our common stock (directly, indirectly or by attribution), including, for this purpose, our pre-funded warrants;</w:t>
      </w:r>
    </w:p>
    <w:p>
      <w:pPr>
        <w:spacing w:after="0" w:line="67" w:lineRule="exact"/>
        <w:rPr>
          <w:rFonts w:ascii="Times New Roman" w:cs="Times New Roman" w:eastAsia="Times New Roman" w:hAnsi="Times New Roman"/>
          <w:sz w:val="18"/>
          <w:szCs w:val="18"/>
          <w:color w:val="auto"/>
        </w:rPr>
      </w:pPr>
    </w:p>
    <w:p>
      <w:pPr>
        <w:ind w:left="540" w:hanging="316"/>
        <w:spacing w:after="0" w:line="282"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for U.S. federal income tax purposes to conform the timing of income accruals to their financial statements under Section 451(b) of the Code;</w:t>
      </w:r>
    </w:p>
    <w:p>
      <w:pPr>
        <w:spacing w:after="0" w:line="67" w:lineRule="exact"/>
        <w:rPr>
          <w:rFonts w:ascii="Times New Roman" w:cs="Times New Roman" w:eastAsia="Times New Roman" w:hAnsi="Times New Roman"/>
          <w:sz w:val="18"/>
          <w:szCs w:val="18"/>
          <w:color w:val="auto"/>
        </w:rPr>
      </w:pPr>
    </w:p>
    <w:p>
      <w:pPr>
        <w:ind w:left="540" w:right="500" w:hanging="316"/>
        <w:spacing w:after="0" w:line="282"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540" w:right="320" w:hanging="316"/>
        <w:spacing w:after="0" w:line="282"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common stock or pre-funded warrants as part of a “straddle,” “hedge,” “conversion transaction,” “synthetic security” or integrated investment or other risk reduction strategy;</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for U.S. tax purposes is not the U.S. dollar;</w:t>
      </w:r>
    </w:p>
    <w:p>
      <w:pPr>
        <w:spacing w:after="0" w:line="130" w:lineRule="exact"/>
        <w:rPr>
          <w:rFonts w:ascii="Times New Roman" w:cs="Times New Roman" w:eastAsia="Times New Roman" w:hAnsi="Times New Roman"/>
          <w:sz w:val="18"/>
          <w:szCs w:val="18"/>
          <w:color w:val="auto"/>
        </w:rPr>
      </w:pPr>
    </w:p>
    <w:p>
      <w:pPr>
        <w:ind w:left="540" w:right="20" w:hanging="316"/>
        <w:spacing w:after="0" w:line="282"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do not hold our common stock or pre-funded warrants as “capital assets” within the meaning of Section 1221 of the Code (generally, for investment purposes)</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30" w:lineRule="exact"/>
        <w:rPr>
          <w:rFonts w:ascii="Times New Roman" w:cs="Times New Roman" w:eastAsia="Times New Roman" w:hAnsi="Times New Roman"/>
          <w:sz w:val="18"/>
          <w:szCs w:val="18"/>
          <w:color w:val="auto"/>
        </w:rPr>
      </w:pPr>
    </w:p>
    <w:p>
      <w:pPr>
        <w:ind w:left="540" w:hanging="316"/>
        <w:spacing w:after="0" w:line="282"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or pre-funded warrants under the constructive sale provisions of the Code; and</w:t>
      </w:r>
    </w:p>
    <w:p>
      <w:pPr>
        <w:spacing w:after="0" w:line="130" w:lineRule="exact"/>
        <w:rPr>
          <w:rFonts w:ascii="Times New Roman" w:cs="Times New Roman" w:eastAsia="Times New Roman" w:hAnsi="Times New Roman"/>
          <w:sz w:val="18"/>
          <w:szCs w:val="18"/>
          <w:color w:val="auto"/>
        </w:rPr>
      </w:pPr>
    </w:p>
    <w:p>
      <w:pPr>
        <w:ind w:left="540" w:right="340" w:hanging="316"/>
        <w:spacing w:after="0" w:line="282"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or pre-funded warrants pursuant to the exercise of any employee stock option or otherwise as compensation.</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Such investors are urged to consult their own tax advisors to determine the U.S. federal, state, local and other tax consequences that may be relevant to them.</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or other pass-through entities or persons who hold our common stock or pre-funded warrants through partnerships or other entities which are pass-through entities for U.S. federal income tax purposes. If a partnership or other pass-through entity holds our common stock or pre-funded warrants, the tax treatment of a partner will generally depend upon the stratus of the partner and the activities of the partnership or other pass-through entity. A partner in a partnership or other</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060"/>
          </w:cols>
          <w:pgMar w:left="320" w:top="455" w:right="5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80"/>
        <w:spacing w:after="0" w:line="266" w:lineRule="auto"/>
        <w:rPr>
          <w:sz w:val="20"/>
          <w:szCs w:val="20"/>
          <w:color w:val="auto"/>
        </w:rPr>
      </w:pPr>
      <w:r>
        <w:rPr>
          <w:rFonts w:ascii="Times New Roman" w:cs="Times New Roman" w:eastAsia="Times New Roman" w:hAnsi="Times New Roman"/>
          <w:sz w:val="18"/>
          <w:szCs w:val="18"/>
          <w:color w:val="auto"/>
        </w:rPr>
        <w:t>pass-through entity that will hold our common stock or pre-funded warrants should consult his, her or its own tax advisor regarding the tax consequences of the ownership and disposition of our common stock or pre-funded warrants through a partnership or other pass-through entity, as applicable.</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Furthermore, the discussion below is based upon the provisions of the Code, and Treasury regulations, rulings and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 ruling from the Internal Revenue Service, or the IRS, with respect to the statements made and the conclusions reached in the following summary, and there can be no assurance that the IRS will agree with such statements and conclusions or will not take a contrary position regarding the tax consequences described herein, or that any such contrary position would not be sustained by a court.</w:t>
      </w:r>
    </w:p>
    <w:p>
      <w:pPr>
        <w:spacing w:after="0" w:line="187" w:lineRule="exact"/>
        <w:rPr>
          <w:sz w:val="20"/>
          <w:szCs w:val="20"/>
          <w:color w:val="auto"/>
        </w:rPr>
      </w:pPr>
    </w:p>
    <w:p>
      <w:pPr>
        <w:ind w:left="120" w:right="120" w:firstLine="440"/>
        <w:spacing w:after="0" w:line="276" w:lineRule="auto"/>
        <w:rPr>
          <w:sz w:val="20"/>
          <w:szCs w:val="20"/>
          <w:color w:val="auto"/>
        </w:rPr>
      </w:pPr>
      <w:r>
        <w:rPr>
          <w:rFonts w:ascii="Times New Roman" w:cs="Times New Roman" w:eastAsia="Times New Roman" w:hAnsi="Times New Roman"/>
          <w:sz w:val="17"/>
          <w:szCs w:val="17"/>
          <w:color w:val="auto"/>
        </w:rPr>
        <w:t>For the purposes of this discussion, a “U.S. Holder” means a beneficial owner of our common stock or pre-funded warrants, other than a partnership or other pass-through entity, that is, for U.S. federal income tax purposes, (a) an individual who is a citizen or resident of the United States,</w:t>
      </w:r>
    </w:p>
    <w:p>
      <w:pPr>
        <w:spacing w:after="0" w:line="1" w:lineRule="exact"/>
        <w:rPr>
          <w:sz w:val="20"/>
          <w:szCs w:val="20"/>
          <w:color w:val="auto"/>
        </w:rPr>
      </w:pPr>
    </w:p>
    <w:p>
      <w:pPr>
        <w:ind w:left="120" w:hanging="4"/>
        <w:spacing w:after="0" w:line="253" w:lineRule="auto"/>
        <w:tabs>
          <w:tab w:leader="none" w:pos="3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or the District of Columbia, (c) an estate, the income of which is subject to U.S. federal income taxation regardless of its source, or (d) a trust if it (1) is subject to the primary supervision of a court within the United States and one or more ”United States persons” (within the meaning of Section 7701(a)(30) of the Code) have the authority to control all substantial decisions of the trust or (2) has a valid election in effect under applicable U.S. Treasury regulations to be treated as a U.S. person.</w:t>
      </w:r>
    </w:p>
    <w:p>
      <w:pPr>
        <w:spacing w:after="0" w:line="18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you are an individual non-U.S.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180"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 or pre-funded warrants.</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PERSONS CONSIDERING THE PURCHASE OF OUR COMMON STOCK OR PRE-FUNDED WARRANTS PURSUANT TO THIS OFFERING SHOULD CONSULT THEIR OWN TAX ADVISORS CONCERNING THE U.S. FEDERAL INCOME TAX CONSEQUENCES OF ACQUIRING, OWNING AND DISPOSING OF OUR COMMON STOCK AND PRE-FUNDED WARRANTS IN LIGHT OF THEIR PARTICULAR SITUATIONS AS WELL AS ANY CONSEQUENCES ARISING UNDER THE LAWS OF ANY OTHER TAXING JURISDICTION, INCLUDING ANY STATE, LOCAL OR NON-U.S. TAX CONSEQUENCES OR ANY U.S. FEDERAL NON-INCOME TAX CONSEQUENCES, AND THE POSSIBLE APPLICATION OF TAX TREATIES.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Characterization of the Pre-Funded Warrants for Tax Purposes</w:t>
      </w:r>
    </w:p>
    <w:p>
      <w:pPr>
        <w:spacing w:after="0" w:line="121"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Although the characterization of the pre-funded warrants for U.S. federal income tax purposes is not entirely clear, because the exercise price of the pre-funded warrants is a nominal amount, we expect to treat the pre-funded warrants as our common stock for U.S. federal income tax purposes and a holder of pre-funded warrants should generally be taxed in the same manner as a holder of common stock as described below. Accordingly, for U.S. federal income tax purposes, no gain or loss should be recognized upon the exercise of a pre-funded warrant (other than with respect to cash paid in lieu of a fractional share), and upon exercise, the holding period of the share of common stock received should include the holding period of the pre-funded</w:t>
      </w:r>
    </w:p>
    <w:p>
      <w:pPr>
        <w:spacing w:after="0" w:line="1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warrant. Similarly, the tax basis of a share of common stock received upon exercise of a pre-funded warrant should include the tax basis of the pre-funded warrant increased by the exercise price of $0.001 per share. The balance of this discussion generally assumes that the characterization described above is respected for U.S. federal income tax purposes, and the discussion below, to the extent it pertains to our common stock, is generally intended to also pertain to the pre-funded warrants.</w:t>
      </w:r>
    </w:p>
    <w:p>
      <w:pPr>
        <w:spacing w:after="0" w:line="180"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Our position with respect to the characterization of pre-funded warrants is not binding on the IRS and the IRS may treat the pre-funded warrants as warrants to acquire our common stock and, if so, the amount and character of your gain with respect to an investment in our pre-funded warrants could change. You should consult your tax advisor regarding the characterization of pre-funded warrants for U.S. federal income tax purposes, and the consequences to you of an investment in the pre-funded warrants based on your own particular facts and circumstances.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U.S.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Common Stock and Pre-funded Warrants</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stated under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we do not expect to make distributions on our common stock (or pre-funded warrants) in the foreseeable future. In the event that we do make distributions of cash or other property, distributions paid on common stock (or pre-funded warrants) will be treated as a dividend to the extent paid out of our current or accumulated earnings and profits (as determined under U.S. federal income tax principles). Dividends received by individuals may be eligible to be taxed at the lower applicable qualified dividends rate, provided certain holding period requirements are satisfied. Distributions in excess of our current and accumulated earnings and profits will be treated as a return of capital to the extent of a U.S. Holder’s tax basis in the common stock (or pre-funded warrant) and thereafter as capital gain from the sale or exchange of such common stock (or pre-funded warrant). The tax treatment of such gain is further described in “—</w:t>
      </w:r>
      <w:r>
        <w:rPr>
          <w:rFonts w:ascii="Times New Roman" w:cs="Times New Roman" w:eastAsia="Times New Roman" w:hAnsi="Times New Roman"/>
          <w:sz w:val="18"/>
          <w:szCs w:val="18"/>
          <w:i w:val="1"/>
          <w:iCs w:val="1"/>
          <w:color w:val="auto"/>
        </w:rPr>
        <w:t>Sale or Other Disposition of Common Stock or Pre-Funded Warrants</w:t>
      </w:r>
      <w:r>
        <w:rPr>
          <w:rFonts w:ascii="Times New Roman" w:cs="Times New Roman" w:eastAsia="Times New Roman" w:hAnsi="Times New Roman"/>
          <w:sz w:val="18"/>
          <w:szCs w:val="18"/>
          <w:color w:val="auto"/>
        </w:rPr>
        <w:t>” below. Dividends received by a corporation may be eligible for a dividends received deduction, subject to applicable limitations. Any such distributions will also be subject to the discussions below under the section titled “—</w:t>
      </w: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U.S. Holder of a pre-funded warrant is expected to receive any distributions paid with respect to common stock prior to the exercise of the pre-funded warrant and, in such case, would be taxed in the same manner as a U.S. Holder of common stock that receives such a distribution. However, under certain circumstances, it is possible for cash to be held in abeyance for the U.S. Holder until a pre-funded warrant is exercised or the ownership limitations (described under “</w:t>
      </w:r>
      <w:r>
        <w:rPr>
          <w:rFonts w:ascii="Times New Roman" w:cs="Times New Roman" w:eastAsia="Times New Roman" w:hAnsi="Times New Roman"/>
          <w:sz w:val="18"/>
          <w:szCs w:val="18"/>
          <w:i w:val="1"/>
          <w:iCs w:val="1"/>
          <w:color w:val="auto"/>
        </w:rPr>
        <w:t>Description of Pre-Funded Warrants</w:t>
      </w:r>
      <w:r>
        <w:rPr>
          <w:rFonts w:ascii="Times New Roman" w:cs="Times New Roman" w:eastAsia="Times New Roman" w:hAnsi="Times New Roman"/>
          <w:sz w:val="18"/>
          <w:szCs w:val="18"/>
          <w:color w:val="auto"/>
        </w:rPr>
        <w:t>”) would not be exceeded, at which time such U.S. Holder shall be entitled to receive distributions. It is possible that such entitlement to distributions could cause the declaration of a distribution on our common stock to be currently taxable to U.S. Holders of pre-funded warrants, including under the principles governing Section 305 of the Code, even though the holders will not receive such distributions until a future date. Additionally, it is possible that other adjustments to the terms of the pre-funded warrant can be considered a constructive distribution under Section 305 of the Code. A holder of a pre-funded warrant should consult its tax advisor regarding the tax treatment of any distribution with respect to such pre-funded warrant that is held in abeyance in connection with any applicable limitation on the holder’s beneficial ownership of our common stock.</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Common Stock or Pre-Funded Warrants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For U.S. federal income tax purposes, gain or loss realized on the sale or other disposition of common stock or pre-funded warrants will be capital gain or loss, and will be long-term capital gain or loss if you have held the common stock or pre-funded warrants for more than one year. The amount of the gain or loss will equal the difference between your adjusted tax basis in the common stock or pre-funded warrants disposed of and the amount realized on the disposition. Long-term capital gains recognized by non-corporate U.S. Holders will be subject to reduced tax rates. The deductibility of capital losses is subject to limitations.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Information reporting requirements generally will apply to any distributions on our common stock and pre-funded warrants, constructive distributions on our pre-funded warrants, and gross proceeds on the sale or other disposition of our common stock and pre-funded warrants, unless the U.S. Holder is an exempt recipient (such as a corporation), regardless of whether any tax was actually withheld. Backup withholding (currently at a 24% rate) will apply to those payments if the U.S. Holder fails to provide its correct taxpayer identification number, or certification of exempt status, or if the U.S. Holder is notified by the IRS that it has failed to report in full payments of interest and dividend income. Any amounts withheld under the backup withholding rules will be allowed as a refund or a credit against a U.S. Holder’s U.S. federal income tax liability provided the required information is furnished timely to the IRS.</w:t>
      </w:r>
    </w:p>
    <w:p>
      <w:pPr>
        <w:spacing w:after="0" w:line="18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If backup withholding is applied to you, you should consult with your own tax advisor to determine whether you have overpaid your U.S. federal income tax, and whether you are able to obtain a tax refund or credit of the overpaid amount.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121"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our common stock or pre-funded warrants that, for U.S. federal income tax purposes is not a U.S. Holder or a partnership (including any entity or arrangement treated as a partnership). If you are not a Non-U.S. Holder, this section does not apply to you.</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Common Stock and Pre-funded Warrants</w:t>
      </w:r>
    </w:p>
    <w:p>
      <w:pPr>
        <w:spacing w:after="0" w:line="119" w:lineRule="exact"/>
        <w:rPr>
          <w:sz w:val="20"/>
          <w:szCs w:val="20"/>
          <w:color w:val="auto"/>
        </w:rPr>
      </w:pPr>
    </w:p>
    <w:p>
      <w:pPr>
        <w:ind w:left="120" w:right="140" w:firstLine="440"/>
        <w:spacing w:after="0" w:line="275" w:lineRule="auto"/>
        <w:rPr>
          <w:sz w:val="20"/>
          <w:szCs w:val="20"/>
          <w:color w:val="auto"/>
        </w:rPr>
      </w:pPr>
      <w:r>
        <w:rPr>
          <w:rFonts w:ascii="Times New Roman" w:cs="Times New Roman" w:eastAsia="Times New Roman" w:hAnsi="Times New Roman"/>
          <w:sz w:val="17"/>
          <w:szCs w:val="17"/>
          <w:color w:val="auto"/>
        </w:rPr>
        <w:t>As stated under “</w:t>
      </w:r>
      <w:r>
        <w:rPr>
          <w:rFonts w:ascii="Times New Roman" w:cs="Times New Roman" w:eastAsia="Times New Roman" w:hAnsi="Times New Roman"/>
          <w:sz w:val="17"/>
          <w:szCs w:val="17"/>
          <w:i w:val="1"/>
          <w:iCs w:val="1"/>
          <w:color w:val="auto"/>
        </w:rPr>
        <w:t>Dividend Policy</w:t>
      </w:r>
      <w:r>
        <w:rPr>
          <w:rFonts w:ascii="Times New Roman" w:cs="Times New Roman" w:eastAsia="Times New Roman" w:hAnsi="Times New Roman"/>
          <w:sz w:val="17"/>
          <w:szCs w:val="17"/>
          <w:color w:val="auto"/>
        </w:rPr>
        <w:t>,” we do not expect to make any distributions on our common stock (or pre-funded warrants) in the foreseeable future. If we do make distributions on our common stock (or pre-funded warrants), however, such distributions made to a Non-U.S. Holder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(or pre-funded warrants). Any remaining excess will be treated as gain realized as described below under the section titled “—</w:t>
      </w:r>
      <w:r>
        <w:rPr>
          <w:rFonts w:ascii="Times New Roman" w:cs="Times New Roman" w:eastAsia="Times New Roman" w:hAnsi="Times New Roman"/>
          <w:sz w:val="17"/>
          <w:szCs w:val="17"/>
          <w:i w:val="1"/>
          <w:iCs w:val="1"/>
          <w:color w:val="auto"/>
        </w:rPr>
        <w:t>Sale or Other Disposition of Common Stock and Pre-Funded Warrants</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Any distribution on our common stock (or pre-funded warrants)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the applicable withholding agent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may then be required to provide certification to the applicable withholding agent, either directly or through other intermediaries. If you are eligible for a reduced rate of U.S. withholding tax under an income tax treaty, you should consult with your own tax advisor to determine if you are able to obtain a refund or credit of any excess amounts withheld by timely filing an appropriate claim for a refund with the IRS.</w:t>
      </w:r>
    </w:p>
    <w:p>
      <w:pPr>
        <w:spacing w:after="0" w:line="19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generally are not required to withhold tax on dividends paid (or constructive dividends deemed paid) to a Non-U.S. Holder that are effectively connected with the holder’s conduct of a trade or business within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United States (and, if required by an applicable income tax treaty, are attributable to a permanent establishment or fixed base that the holder maintains in the United States) if a properly executed IRS Form W-8ECI, stating that the dividends are so connected, is furnished to us (or, if shares of our common stock are held through a financial institution or other agent, to the applicable withholding agent). In general, such effectively connected dividends will be subject to U.S. federal income tax on a net income basis at the regular graduated rates applicable to U.S. persons, unless a specific treaty exemption applies.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18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A Non-U.S. Holder of a pre-funded warrant is expected to receive any distributions paid with respect to common stock prior to the exercise of the pre-funded warrant and, in such case, would be taxed in the same manner as Non-U.S. Holder of common stock that receives such a distribution. However, under certain circumstances, it is possible for cash to be held in abeyance for a Non-U.S. Holder until a pre-funded warrant is exercised or the ownership limitations (described under “</w:t>
      </w:r>
      <w:r>
        <w:rPr>
          <w:rFonts w:ascii="Times New Roman" w:cs="Times New Roman" w:eastAsia="Times New Roman" w:hAnsi="Times New Roman"/>
          <w:sz w:val="18"/>
          <w:szCs w:val="18"/>
          <w:i w:val="1"/>
          <w:iCs w:val="1"/>
          <w:color w:val="auto"/>
        </w:rPr>
        <w:t>Description of Pre-Funded Warrants</w:t>
      </w:r>
      <w:r>
        <w:rPr>
          <w:rFonts w:ascii="Times New Roman" w:cs="Times New Roman" w:eastAsia="Times New Roman" w:hAnsi="Times New Roman"/>
          <w:sz w:val="18"/>
          <w:szCs w:val="18"/>
          <w:color w:val="auto"/>
        </w:rPr>
        <w:t>”) would not be exceeded, at which time the Non-U.S. Holder shall be entitled to receive distributions. It is possible that such entitlement to distributions could cause the declaration of a distribution on our common stock to be currently taxable to Non-U.S. Holders of pre-funded warrants, including under the principles governing Section 305 of the Code, even though such holders will not receive the distributions until a future date. Additionally, it is possible that other adjustments to the terms of the pre-funded warrant can be considered a constructive distribution under Section 305 of the Code. A holder of a pre-funded warrant should consult its tax advisor regarding the tax treatment of any distribution with respect to such pre-funded warrant that is held in abeyance in connection with any applicable limitation on the holder’s beneficial ownership of our common stock.</w:t>
      </w:r>
    </w:p>
    <w:p>
      <w:pPr>
        <w:spacing w:after="0" w:line="192" w:lineRule="exact"/>
        <w:rPr>
          <w:sz w:val="20"/>
          <w:szCs w:val="20"/>
          <w:color w:val="auto"/>
        </w:rPr>
      </w:pPr>
    </w:p>
    <w:p>
      <w:pPr>
        <w:ind w:left="120" w:right="600" w:firstLine="440"/>
        <w:spacing w:after="0" w:line="284" w:lineRule="auto"/>
        <w:rPr>
          <w:sz w:val="20"/>
          <w:szCs w:val="20"/>
          <w:color w:val="auto"/>
        </w:rPr>
      </w:pPr>
      <w:r>
        <w:rPr>
          <w:rFonts w:ascii="Times New Roman" w:cs="Times New Roman" w:eastAsia="Times New Roman" w:hAnsi="Times New Roman"/>
          <w:sz w:val="18"/>
          <w:szCs w:val="18"/>
          <w:color w:val="auto"/>
        </w:rPr>
        <w:t>See also the section below titled “—</w:t>
      </w:r>
      <w:r>
        <w:rPr>
          <w:rFonts w:ascii="Times New Roman" w:cs="Times New Roman" w:eastAsia="Times New Roman" w:hAnsi="Times New Roman"/>
          <w:sz w:val="18"/>
          <w:szCs w:val="18"/>
          <w:i w:val="1"/>
          <w:iCs w:val="1"/>
          <w:color w:val="auto"/>
        </w:rPr>
        <w:t>Foreign Accounts</w:t>
      </w:r>
      <w:r>
        <w:rPr>
          <w:rFonts w:ascii="Times New Roman" w:cs="Times New Roman" w:eastAsia="Times New Roman" w:hAnsi="Times New Roman"/>
          <w:sz w:val="18"/>
          <w:szCs w:val="18"/>
          <w:color w:val="auto"/>
        </w:rPr>
        <w:t>” for additional withholding rules that may apply to dividends paid to certain foreign financial institutions or non-financial foreign entities.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Common Stock and Pre-Funded Warrants</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Subject to the discussion below under the sections titled “—</w:t>
      </w: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Foreign Accounts</w:t>
      </w:r>
      <w:r>
        <w:rPr>
          <w:rFonts w:ascii="Times New Roman" w:cs="Times New Roman" w:eastAsia="Times New Roman" w:hAnsi="Times New Roman"/>
          <w:sz w:val="18"/>
          <w:szCs w:val="18"/>
          <w:color w:val="auto"/>
        </w:rPr>
        <w:t>,” a Non-U.S. Holder generally will not be subject to U.S. federal income or withholding tax with respect to gain realized on a sale or other disposition of our common stock or pre-funded warrants unless (a) the gain is effectively connected with a trade or business of the holder in the United States (and, if required by an applicable income tax treaty, is attributable to a permanent establishment that the holder maintains in the United States), (b) the Non-U.S. Holder is a nonresident alien individual and is present in the United States for a period or periods aggregating 183 or more days in the taxable year of the disposition and certain other conditions are met, or (c) we are or have been a “United States real property holding corporation” within the meaning of Code Section 897(c)(2) during the shorter of the 5-year period ending on the date of the disposition or the period that the Non-U.S. Holder held such class of stock, unless any class of our stock is regularly traded on an established securities market and the Non-U.S. Holder disposes of such class of stock and holds no more than 5% of such class of stock, directly or indirectly, actually or constructively.</w:t>
      </w:r>
    </w:p>
    <w:p>
      <w:pPr>
        <w:spacing w:after="0" w:line="190"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If you are a Non-U.S. Holder described in (a) above, you will be required to pay tax on the net gain derived from the sale at the regular graduated U.S. federal income tax rates applicable to U.S. persons, unless a specific treaty exemption applies. Corporate Non-U.S. Holders described in (a) above may also be subject to the additional branch profits tax at a 30% rate or such lower rate as may be specified by an applicable income tax treaty. If you are an individual Non-U.S. Holder described in (b) above, you will be required to pay a flat 30% tax on the gain derived from the sale, which gain may be offset by certain U.S. source capital losses (even though you are not considered a resident of the United States), provided you have timely filed U.S. federal income tax returns with respect to such losses. With respect to (c) above, in general, we would be a U.S. real property holding corporation if interests in U.S. real estate comprised (by fair market value) at least half of our worldwide real property interests plus our other assets used or held for use in a trade or business. We believe that we are not,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and do not anticipate becoming, a U.S. real property holding corporation. However, there can be no assurance that we will not become a U.S. real property holding corporation in the future. Our pre-funded warrants are expected to constitute a class of stock for purposes of the rules described above. However, we do not expect our pre-funded warrants to be regularly traded on an established securities market for purposes of such rule.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Generally, we or certain financial middlemen must report information to the IRS with respect to any distributions we pay on our common stock or pre-funded warrants and any constructive distributions deemed paid on pre-funded warrants including the amount of any such distributions, the name and address of the recipient, and the amount, if any, of tax withheld. A similar report is sent to the holder to whom any such distributions are paid. Pursuant to tax treaties or certain other agreements, the IRS may make its reports available to tax authorities in the recipient’s country of residence.</w:t>
      </w:r>
    </w:p>
    <w:p>
      <w:pPr>
        <w:spacing w:after="0" w:line="164"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Dividends paid by us (or our paying agents) to a Non-U.S. Holder may also be subject to U.S. backup withholding. U.S. backup withholding generally will not apply to a Non-U.S. Holder who provides a properly executed IRS Form W-8BEN or IRS Form W-8BEN-E, as applicable, or otherwise establishes an exemption, provided that the applicable withholding agent does not have actual knowledge or reason to know the holder is a U.S. person.</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Under current U.S. federal income tax law, U.S. information reporting and backup withholding requirements generally will apply to the proceeds of a disposition of our common stock or pre-funded warrants effected by or through a U.S. office of any broker, U.S. or non-U.S., unless the Non-U.S. Holder provides a properly executed IRS Form W-8BEN or IRS Form W-8BEN-E, as applicable,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9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If backup withholding is applied to you, you should consult with your own tax advisor to determine whether you have overpaid your U.S. federal income tax, and whether you are able to obtain a tax refund or credit of the overpaid amount.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Accounts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to, and separately from the withholding rules described above, U.S. federal withholding taxes may apply under the Foreign Account Tax Compliance Act, or FATCA, on certain types of payments, including dividends (and deemed dividends) to non-U.S. financial institutions and certain other non-U.S. entities. Specifically, a 30% withholding tax may be imposed on dividends paid in respect of our common stock or pre-funded warrants, constructive distributions deemed paid with respect to pre-funded warrants and the gross proceeds of the disposition on our common stock or pre-funded warrants paid to a “foreign financial institution” or a “non-financial foreign entity” (each as defined in the Code), unless (1) the foreign financial institution agrees to undertake certain diligence and reporting obligations, (2) the non-financial foreign entity either certifies it does not have any “substantial United States owners” (as defined in the Code) or furnishes identifying information regarding each substantial United States owner, or</w:t>
      </w:r>
    </w:p>
    <w:p>
      <w:pPr>
        <w:spacing w:after="0" w:line="3" w:lineRule="exact"/>
        <w:rPr>
          <w:sz w:val="20"/>
          <w:szCs w:val="20"/>
          <w:color w:val="auto"/>
        </w:rPr>
      </w:pPr>
    </w:p>
    <w:p>
      <w:pPr>
        <w:ind w:left="120" w:right="120" w:hanging="4"/>
        <w:spacing w:after="0" w:line="253" w:lineRule="auto"/>
        <w:tabs>
          <w:tab w:leader="none" w:pos="3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financial institution or non-financial foreign entity otherwise qualifies for an exemption from these rules. The 30% federal withholding tax described in this paragraph cannot be reduced under an income tax treaty with the United States.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5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Treasury Secretary has issued proposed regulations providing that the withholding provisions under FATCA do not apply with respect to payment of gross proceeds from a sale or other disposition of our common stock or pre-funded warrants, which may be relied upon by taxpayers until final regulations are issued. Prospective investors should consult their tax advisors regarding the potential application of withholding under FATCA to their investment in our common stock or pre-funded warrants.</w:t>
      </w:r>
    </w:p>
    <w:p>
      <w:pPr>
        <w:spacing w:after="0" w:line="180"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EACH PROSPECTIVE INVESTOR SHOULD CONSULT ITS OWN TAX ADVISOR REGARDING THE TAX CONSEQUENCES OF PURCHASING, HOLDING AND DISPOSING OF OUR COMMON STOCK AND PRE-FUNDED WARRANTS, INCLUDING THE CONSEQUENCES OF ANY PROPOSED CHANGE IN APPLICABLE LAW, AS WELL AS TAX CONSEQUENCES ARISING UNDER ANY STATE, LOCAL, NON-U.S. OR U.S. FEDERAL NON-INCOME TAX LAWS SUCH AS ESTATE AND GIFT TAX.</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080"/>
          </w:cols>
          <w:pgMar w:left="320" w:top="455"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PRE-FUNDED WARRANTS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is a brief summary of certain terms and conditions of the pre-funded warrants being offered by this prospectus supplement. The following description is subject in all respects to the provisions contained in the pre-funded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pre-funded warrants will be issued as individual warrant agreements to the investors. The form of pre-funded warrant will be filed as an exhibit to our Current Report on Form 8-K that we expect to file with the SEC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pre-funded warrants will not expire.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Exercisability</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pre-funded warrants are exercisable at any time between their original issuance and their expiration. The pre-funded warrants will be exercisable, at the option of each holder, in whole or in part by delivering to us a duly executed exercise notice solely by means of a cashless exercise, in which the holder would receive upon such exercise the net number of shares of our common stock determined according to the formula set forth in the pre-funded warrant. No fractional shares of common stock will be issued in connection with the exercise of a pre-funded warrant. In lieu of fractional shares, we will pay the holder an amount in cash equal to the fractional amount multiplied by the last trade price of our common stock on the exercise date.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limitations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Under the pre-funded warrants, we may not effect the exercise of any pre-funded warrant, and a holder will not be entitled to exercise any portion of any pre-funded warrant, (i) if immediately prior to exercise the holder (together with its affiliates) beneficially owns an aggregate number of shares of our common stock greater than 4.99% or 9.99%, as applicable, of the number of shares of our common stock outstanding immediately before giving effect to the exercise of any pre-funded warrant or (ii) to the extent that immediately following exercise, the holder (together with its affiliates) would beneficially own in excess of 4.99% or 9.99%, as applicable, of the number of shares of common stock outstanding immediately after giving effect to the issuance of such shares of common stock, and without taking account any other pre-funded warrants. However, any holder may increase or decrease such percentage to any other percentage not in excess of 19.99% upon at least 61 days’ prior notice from the holder to us.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price</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exercise price per whole share of our common stock purchasable upon the exercise of the pre-funded warrants is $0.001 per share of common stock. The exercise price of the pre-funded warrants and the number of shares of our common stock issuable upon exercise of the pre-funded warrants is subject to appropriate adjustment in the event of certain stock dividends and distributions, stock splits, stock combinations, reclassifications or similar events affecting our common stock. The exercise price will not be adjusted below the par value of our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Transferability</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Subject to applicable laws, the pre-funded warrants may be offered for sale, sold, transferred or assigned without our consent. The pre-funded warrants will be held in definitive form by the purchasers. The ownership of the pre-funded warrants and any transfers of the pre-funded warrants will be registered in a warrant register maintained by us or our transfer agent.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We do not plan on applying to list the pre-funded warrants on the Nasdaq Global Select Market, any other national securities exchange or any other nationally recognized trading system.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 agent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initially serve as the warrant agent under the pre-funded warrants.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Fundamental transactions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Upon the consummation of a fundamental transaction (as described in the pre-funded warrants, and generally including any reorganization, recapitalization or reclassification of our common stock, the sale, transfer or other disposition of all or substantially all of our assets, our consolidation or merger with or into another person in which we are not the surviving entity, the acquisition of more than 50% of our outstanding common stock, or any person or group becoming the beneficial owner of 50% of the voting power of our outstanding common stock), the holders of the pre-funded warrants will be entitled to receive, upon exercise of the pre-funded warrants, the same kind and amount of securities, cash or other property that such holders would have received had they exercised the pre-funded warrants immediately prior to such fundamental transaction, without regard to any limitations on exercise contained in the pre-funded warrants. Notwithstanding the foregoing, in the event of a fundamental transaction where the consideration consists solely of cash, solely of marketable securities or a combination of cash and marketable securities, then each pre-funded warrant shall automatically be deemed to be exercised in full in a cashless exercise effective immediately prior to and contingent upon the consummation of such fundamental transaction.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rights as a stockholder</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Except by virtue of such holder’s ownership of shares of our common stock, the holder of a pre-funded warrant does not have the rights or privileges of a holder of our common stock, including any voting rights, until such holder exercises the pre-funded warrant. Additionally, a holder is generally not entitled to receive distributions paid with respect to common stock prior to the exercise of the pre-funded warrant, and instead such distributions are expected to be held in abeyance for the holder until such pre-funded warrant is exercised or the ownership limitations would not be exceeded, at which time such holder shall be entitled to receive such distributions.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Leerink Partners LLC is acting as representative of each of the underwriters named below. Leerink Partners LLC and Cantor Fitzgerald &amp; Co. are acting as joint bookrunning managers for this offering. Subject to the terms and conditions set forth in the underwriting agreement among us and the underwriters, we have agreed to sell to the underwriters, and each of the underwriters has agreed, severally and not jointly, to purchase from us, the number of shares of common stock and pre-funded warrants set forth opposite its name below.</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4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5140" w:type="dxa"/>
            <w:vAlign w:val="bottom"/>
            <w:vMerge w:val="restart"/>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5140" w:type="dxa"/>
            <w:vAlign w:val="bottom"/>
            <w:vMerge w:val="continue"/>
          </w:tcPr>
          <w:p>
            <w:pPr>
              <w:spacing w:after="0"/>
              <w:rPr>
                <w:sz w:val="15"/>
                <w:szCs w:val="15"/>
                <w:color w:val="auto"/>
              </w:rPr>
            </w:pPr>
          </w:p>
        </w:tc>
        <w:tc>
          <w:tcPr>
            <w:tcW w:w="140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4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0" w:type="dxa"/>
            <w:vAlign w:val="bottom"/>
          </w:tcPr>
          <w:p>
            <w:pPr>
              <w:spacing w:after="0"/>
              <w:rPr>
                <w:sz w:val="1"/>
                <w:szCs w:val="1"/>
                <w:color w:val="auto"/>
              </w:rPr>
            </w:pPr>
          </w:p>
        </w:tc>
      </w:tr>
      <w:tr>
        <w:trPr>
          <w:trHeight w:val="203"/>
        </w:trPr>
        <w:tc>
          <w:tcPr>
            <w:tcW w:w="59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Leerink Partners LLC</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14,716,336</w:t>
            </w:r>
          </w:p>
        </w:tc>
        <w:tc>
          <w:tcPr>
            <w:tcW w:w="3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2,258,521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Cantor Fitzgerald &amp; Co.</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6,307,001</w:t>
            </w:r>
          </w:p>
        </w:tc>
        <w:tc>
          <w:tcPr>
            <w:tcW w:w="3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967,937</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21,023,337</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3,226,458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shares of common stock and pre-funded warrants sold under the underwriting agreement if any of the shares and pre-funded warrants are purchased. If an underwriter defaults, the underwriting agreement provides that the purchase commitments of the non-defaulting underwriters may be increased or the underwriting agreement may be terminated.</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shares and pre-funded warrants, subject to prior sale, when, as and if issued to and accepted by them, subject to approval of legal matters by their counsel, including the validity of the shares and pre-funded warrants,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Discounts and Commissions</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representative has advised us that the underwriters propose initially to offer the shares and pre-funded warrants to the public at the offering price set forth on the cover page of this prospectus supplement and to dealers at that price less a concession not in excess of $0.3118 per share and $0.3118 per pre-funded warrant. After the initial offering, the offering price, concession or any other term of this offering may be changed by the representative.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the offering price, underwriting discounts and commissions and proceeds, before expenses, to us.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Per</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8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Warrant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9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$ 8.6600</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2"/>
              </w:rPr>
              <w:t>8.6590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209,999,998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180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$ 0.5196</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0.5196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12,600,193</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80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$ 8.1404</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8.1394</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197,399,805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estimate expenses payable by us in connection with this offering, other than the underwriting discounts and commissions referred to above, will be approximately $373,000. We also have agreed to reimburse the underwriters for their FINRA counsel fee. In accordance with FINRA Rule 5110, this reimbursed fee is deemed underwriting compensation for this offering.</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our executive officers and directors and certain or our existing security holders have agreed not to sell or transfer any common stock or securities convertible into or exchangeable or exercisable for common stock, for 60 days after the date of this prospectus supplement without first obtaining the written consent of Leerink Partners LLC on behalf of the underwriters. Specifically, we and these other persons have agreed, with certain limited exceptions, not to directly or indirectly:</w:t>
      </w:r>
    </w:p>
    <w:p>
      <w:pPr>
        <w:spacing w:after="0" w:line="85"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or contract to sell any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option or contract to purchase any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option or contract to sell any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option, right or warrant for the sale of any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dispose of or transfer any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or demand that we file a registration statement related to the common stock; or</w:t>
      </w:r>
    </w:p>
    <w:p>
      <w:pPr>
        <w:spacing w:after="0" w:line="130" w:lineRule="exact"/>
        <w:rPr>
          <w:rFonts w:ascii="Times New Roman" w:cs="Times New Roman" w:eastAsia="Times New Roman" w:hAnsi="Times New Roman"/>
          <w:sz w:val="18"/>
          <w:szCs w:val="18"/>
          <w:color w:val="auto"/>
        </w:rPr>
      </w:pPr>
    </w:p>
    <w:p>
      <w:pPr>
        <w:jc w:val="both"/>
        <w:ind w:left="1080" w:right="24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agreement or any transaction that transfers, in whole or in part, the economic consequence of ownership of any common stock, whether any such swap, agreement or transaction is to be settled by delivery of shares or other securities, in cash or otherwise.</w:t>
      </w:r>
    </w:p>
    <w:p>
      <w:pPr>
        <w:spacing w:after="0" w:line="176"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lock-up provisions apply to common stock and to securities convertible into or exchangeable or exercisable for common stock. They also apply to common stock owned now or acquired later by the person executing the lock-up agreement or for which the person executing the lock-up agreement later acquires the power of disposition.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“TNGX.” We do not intend to list the pre-funded warrants on the Nasdaq Global Market or any other national securities exchange or nationally recognized trading system.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Until the distribution of the shares is completed, SEC rules may limit underwriters and selling group members from bidding for and purchasing our common stock. However, the representative may engage in transactions that stabilize the price of the common stock, such as bids or purchases to peg, fix or maintain that price.</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Because we have not granted the underwriters an option to purchase additional shares, the underwriters must close out any short position by purchasing shares in the open market. Stabilizing transactions consist of various bids for or purchases of shares of common stock made by the underwriters in the open market prior to the closing of this offering.</w:t>
      </w:r>
    </w:p>
    <w:p>
      <w:pPr>
        <w:spacing w:after="0" w:line="18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 has repurchased shares sold by or for the account of such underwriter in stabilizing or short covering transactions.</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080"/>
          </w:cols>
          <w:pgMar w:left="320" w:top="455"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62"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 will engage in these transactions or that these transactions, once commenced, will not be discontinued without notice.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this offering, certain of the underwriters or securities dealers may distribute prospectuses by electronic means, such as e-mail.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21"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shares may be offered to the public in that Relevant State at any time:</w:t>
      </w:r>
    </w:p>
    <w:p>
      <w:pPr>
        <w:spacing w:after="0" w:line="70" w:lineRule="exact"/>
        <w:rPr>
          <w:sz w:val="20"/>
          <w:szCs w:val="20"/>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3" w:lineRule="exact"/>
        <w:rPr>
          <w:sz w:val="20"/>
          <w:szCs w:val="20"/>
          <w:color w:val="auto"/>
        </w:rPr>
      </w:pPr>
    </w:p>
    <w:p>
      <w:pPr>
        <w:ind w:left="120"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shares shall require us or the representative to publish a prospectus pursuant to Article 3 of the Prospectus Regulation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 a prospectus pursuant to Article 23 of the Prospectus Regulation.</w:t>
      </w:r>
    </w:p>
    <w:p>
      <w:pPr>
        <w:spacing w:after="0" w:line="16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81" w:lineRule="exact"/>
        <w:rPr>
          <w:sz w:val="20"/>
          <w:szCs w:val="20"/>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30"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(the “FMSA”),</w:t>
      </w:r>
    </w:p>
    <w:p>
      <w:pPr>
        <w:spacing w:after="0" w:line="22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the shares shall require us or any representative to publish a prospectus pursuant to Section 85 of the FSMA or supplement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21"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this offering will be passed upon for us by Goodwin Procter LLP, Boston, Massachusetts. Certain legal matters in connection with this offering will be passed upon for the underwriter by Cooley LLP, Boston, Massachusetts.</w:t>
      </w:r>
    </w:p>
    <w:p>
      <w:pPr>
        <w:spacing w:after="0" w:line="3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2024 have been so incorporated in reliance on the report (which contains an explanatory paragraph relating to the Company’s incurrence of significant operating losses and expectation to continue generating operating losses and negative cash flows from operations for the foreseeable future as described in Note 1 to the financial statements) of PricewaterhouseCoopers LLP, an independent registered public accounting firm, given on the authority of said firm as experts in auditing and accounting.</w:t>
      </w:r>
    </w:p>
    <w:p>
      <w:pPr>
        <w:spacing w:after="0" w:line="3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right="140"/>
        <w:spacing w:after="0" w:line="284"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https://tangotx.com</w:t>
      </w:r>
      <w:r>
        <w:rPr>
          <w:rFonts w:ascii="Times New Roman" w:cs="Times New Roman" w:eastAsia="Times New Roman" w:hAnsi="Times New Roman"/>
          <w:sz w:val="18"/>
          <w:szCs w:val="18"/>
          <w:color w:val="auto"/>
        </w:rPr>
        <w:t>. The information on our website, however, is not, and should not be deemed to be, a part of this prospectus supplement or the accompanying prospectus.</w:t>
      </w:r>
    </w:p>
    <w:p>
      <w:pPr>
        <w:spacing w:after="0" w:line="160"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This prospectus supplement and the accompanying prospectus is part of a registration statement on Form S-3 that we filed with the SEC and does not contain all of the information in the registration statement. The full registration statement may be obtained from the SEC or us, as provided above. Statements in this prospectus supplement and the accompanying prospectus about any documents filed as exhibits to the registration statement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0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060"/>
          </w:cols>
          <w:pgMar w:left="320" w:top="455" w:right="5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and reports we file with it, which means that we can disclose important information to you by referring you to these documents. The information incorporated by reference is an important part of this prospectus supplement, and information that we file later with the SEC will automatically update and supersede the information already incorporated by reference. We are incorporating by reference the documents listed below, which we have already filed with the SEC (SEC File No. 001-39385), and any future filings we make with the SEC under Sections 13(a), 13(c), 14 or 15(d) of the Exchange Act, including all filings made after the date of this prospectus supplement, except as to any portion of any future report or document that is not deemed filed under such provisions until we sell all of the securities:</w:t>
      </w:r>
    </w:p>
    <w:p>
      <w:pPr>
        <w:spacing w:after="0" w:line="93"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5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February 27, 2025;</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2024 from our definitive proxy statement on </w:t>
      </w:r>
      <w:hyperlink r:id="rId54">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which was filed with the SEC on April 21, 2025;</w:t>
      </w:r>
    </w:p>
    <w:p>
      <w:pPr>
        <w:spacing w:after="0" w:line="81"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Reports on Form 10-Q filed with the SEC for the quarters ended </w:t>
      </w:r>
      <w:hyperlink r:id="rId55">
        <w:r>
          <w:rPr>
            <w:rFonts w:ascii="Times New Roman" w:cs="Times New Roman" w:eastAsia="Times New Roman" w:hAnsi="Times New Roman"/>
            <w:sz w:val="18"/>
            <w:szCs w:val="18"/>
            <w:u w:val="single" w:color="auto"/>
            <w:color w:val="0000EE"/>
          </w:rPr>
          <w:t>March 31,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6">
        <w:r>
          <w:rPr>
            <w:rFonts w:ascii="Times New Roman" w:cs="Times New Roman" w:eastAsia="Times New Roman" w:hAnsi="Times New Roman"/>
            <w:sz w:val="18"/>
            <w:szCs w:val="18"/>
            <w:u w:val="single" w:color="auto"/>
            <w:color w:val="0000EE"/>
          </w:rPr>
          <w:t>June 30,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May 12, 2025 and August 5, 2025, respectively;</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SEC on </w:t>
      </w:r>
      <w:hyperlink r:id="rId57">
        <w:r>
          <w:rPr>
            <w:rFonts w:ascii="Times New Roman" w:cs="Times New Roman" w:eastAsia="Times New Roman" w:hAnsi="Times New Roman"/>
            <w:sz w:val="18"/>
            <w:szCs w:val="18"/>
            <w:u w:val="single" w:color="auto"/>
            <w:color w:val="0000EE"/>
          </w:rPr>
          <w:t>June 6,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8">
        <w:r>
          <w:rPr>
            <w:rFonts w:ascii="Times New Roman" w:cs="Times New Roman" w:eastAsia="Times New Roman" w:hAnsi="Times New Roman"/>
            <w:sz w:val="18"/>
            <w:szCs w:val="18"/>
            <w:u w:val="single" w:color="auto"/>
            <w:color w:val="0000EE"/>
          </w:rPr>
          <w:t>August 25,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9">
        <w:r>
          <w:rPr>
            <w:rFonts w:ascii="Times New Roman" w:cs="Times New Roman" w:eastAsia="Times New Roman" w:hAnsi="Times New Roman"/>
            <w:sz w:val="18"/>
            <w:szCs w:val="18"/>
            <w:u w:val="single" w:color="auto"/>
            <w:color w:val="0000EE"/>
          </w:rPr>
          <w:t>October 23, 2025</w:t>
        </w:r>
      </w:hyperlink>
      <w:r>
        <w:rPr>
          <w:rFonts w:ascii="Times New Roman" w:cs="Times New Roman" w:eastAsia="Times New Roman" w:hAnsi="Times New Roman"/>
          <w:sz w:val="18"/>
          <w:szCs w:val="18"/>
          <w:color w:val="auto"/>
        </w:rPr>
        <w:t>, excluding information “furnished” pursuant to Items 7.01 or 9.01;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common stock contained in our Registration Statement on Form 8-A (File No. 001-39385) as filed with the SEC on </w:t>
      </w:r>
      <w:hyperlink r:id="rId60">
        <w:r>
          <w:rPr>
            <w:rFonts w:ascii="Times New Roman" w:cs="Times New Roman" w:eastAsia="Times New Roman" w:hAnsi="Times New Roman"/>
            <w:sz w:val="18"/>
            <w:szCs w:val="18"/>
            <w:u w:val="single" w:color="auto"/>
            <w:color w:val="0000EE"/>
          </w:rPr>
          <w:t>September 2,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including any amendments or reports filed for the purpose of updating this description, including</w:t>
      </w:r>
      <w:r>
        <w:rPr>
          <w:rFonts w:ascii="Times New Roman" w:cs="Times New Roman" w:eastAsia="Times New Roman" w:hAnsi="Times New Roman"/>
          <w:sz w:val="18"/>
          <w:szCs w:val="18"/>
          <w:color w:val="0000EE"/>
        </w:rPr>
        <w:t xml:space="preserve"> </w:t>
      </w:r>
      <w:hyperlink r:id="rId61">
        <w:r>
          <w:rPr>
            <w:rFonts w:ascii="Times New Roman" w:cs="Times New Roman" w:eastAsia="Times New Roman" w:hAnsi="Times New Roman"/>
            <w:sz w:val="18"/>
            <w:szCs w:val="18"/>
            <w:u w:val="single" w:color="auto"/>
            <w:color w:val="0000EE"/>
          </w:rPr>
          <w:t xml:space="preserve">Exhibit 4.2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Annual Report on Form 10-K for the year ended December 31, 2024, as filed with the SEC on February 27, 2025.</w:t>
      </w:r>
    </w:p>
    <w:p>
      <w:pPr>
        <w:spacing w:after="0" w:line="176" w:lineRule="exact"/>
        <w:rPr>
          <w:rFonts w:ascii="Times New Roman" w:cs="Times New Roman" w:eastAsia="Times New Roman" w:hAnsi="Times New Roman"/>
          <w:sz w:val="18"/>
          <w:szCs w:val="18"/>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 xml:space="preserve">Upon request, we will provide, without charge, to each person, including any beneficial owner, to whom a copy of this prospectus supplement is delivered, a copy of the documents incorporated by reference into this prospectus supplement but not delivered with the prospectus supplement. You may request a copy of these filings, and any exhibits we have specifically incorporated by reference as an exhibit in this prospectus supplement, at no cost by writing or telephoning us at the following address: Tango Therapeutics, Inc., 201 Brookline Avenue, Suite 901, Boston, Massachusetts 02215, telephone: (857) 320-4900. You may also access these documents, free of charge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on our website at </w:t>
      </w:r>
      <w:r>
        <w:rPr>
          <w:rFonts w:ascii="Times New Roman" w:cs="Times New Roman" w:eastAsia="Times New Roman" w:hAnsi="Times New Roman"/>
          <w:sz w:val="18"/>
          <w:szCs w:val="18"/>
          <w:i w:val="1"/>
          <w:iCs w:val="1"/>
          <w:color w:val="auto"/>
        </w:rPr>
        <w:t>https://tangotx.com</w:t>
      </w:r>
      <w:r>
        <w:rPr>
          <w:rFonts w:ascii="Times New Roman" w:cs="Times New Roman" w:eastAsia="Times New Roman" w:hAnsi="Times New Roman"/>
          <w:sz w:val="18"/>
          <w:szCs w:val="18"/>
          <w:color w:val="auto"/>
        </w:rPr>
        <w:t>. Information contained on our website is not incorporated by reference into this prospectus supplement, and you should not consider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information on, or that can be accessed from, our website as part of this prospectus supplement or the accompanying prospectus.</w:t>
      </w:r>
    </w:p>
    <w:p>
      <w:pPr>
        <w:spacing w:after="0" w:line="189" w:lineRule="exact"/>
        <w:rPr>
          <w:rFonts w:ascii="Times New Roman" w:cs="Times New Roman" w:eastAsia="Times New Roman" w:hAnsi="Times New Roman"/>
          <w:sz w:val="18"/>
          <w:szCs w:val="18"/>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supplement or the registration statement of which this prospectus supplement is a part.</w:t>
      </w:r>
    </w:p>
    <w:p>
      <w:pPr>
        <w:spacing w:after="0" w:line="176" w:lineRule="exact"/>
        <w:rPr>
          <w:rFonts w:ascii="Times New Roman" w:cs="Times New Roman" w:eastAsia="Times New Roman" w:hAnsi="Times New Roman"/>
          <w:sz w:val="18"/>
          <w:szCs w:val="18"/>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we filed with the SEC. We have incorporated exhibits into the registration statement. You should read the exhibits carefully for provisions that may be important to you.</w:t>
      </w:r>
    </w:p>
    <w:p>
      <w:pPr>
        <w:spacing w:after="0" w:line="162" w:lineRule="exact"/>
        <w:rPr>
          <w:rFonts w:ascii="Times New Roman" w:cs="Times New Roman" w:eastAsia="Times New Roman" w:hAnsi="Times New Roman"/>
          <w:sz w:val="18"/>
          <w:szCs w:val="18"/>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supplement and the accompanying prospectus. We have not authorized anyone to provide you with different information. We are not making an offer of these securities in any state where the offer is not permitted. You should not assume that the information in this prospectus supplement, the accompanying prospectus or in the documents incorporated by reference is accurate as of any date other than the date on the front of this prospectus supplement or those documents.</w:t>
      </w:r>
    </w:p>
    <w:p>
      <w:pPr>
        <w:spacing w:after="0" w:line="112"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Any statement contained in a document that is incorporated by reference will be modified or superseded for all purposes to the extent that a statement contained in this prospectus supplement or in any other document that is subsequently filed with the SEC and incorporated by reference into this prospectus supplement and the accompanying prospectus, modifies or is contrary to that previous statement. Any statement so modified or superseded will not be deemed a part of this prospectus supplement and the accompanying prospectus, except as so modified or superseded. Since information that we later file with the SEC will update and supersede previously incorporated information, you should look at all of the SEC filings that we incorporate by reference to determine if any of the statements in this prospectus supplement or in any documents previously incorporated by reference have been modified or superseded.</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000"/>
          </w:cols>
          <w:pgMar w:left="320" w:top="455" w:right="5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59"/>
        <w:spacing w:after="0"/>
        <w:rPr>
          <w:sz w:val="20"/>
          <w:szCs w:val="20"/>
          <w:color w:val="auto"/>
        </w:rPr>
      </w:pPr>
      <w:r>
        <w:rPr>
          <w:rFonts w:ascii="Arial" w:cs="Arial" w:eastAsia="Arial" w:hAnsi="Arial"/>
          <w:sz w:val="29"/>
          <w:szCs w:val="29"/>
          <w:b w:val="1"/>
          <w:bCs w:val="1"/>
          <w:color w:val="auto"/>
        </w:rPr>
        <w:t>$400,000,000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178435</wp:posOffset>
            </wp:positionV>
            <wp:extent cx="2339975" cy="6940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233997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auto"/>
        </w:rPr>
        <w:t>Tango Therapeutics, Inc.</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29"/>
          <w:szCs w:val="29"/>
          <w:b w:val="1"/>
          <w:bCs w:val="1"/>
          <w:color w:val="auto"/>
        </w:rPr>
        <w:t>Common Stock</w:t>
      </w:r>
    </w:p>
    <w:p>
      <w:pPr>
        <w:spacing w:after="0" w:line="34" w:lineRule="exact"/>
        <w:rPr>
          <w:sz w:val="20"/>
          <w:szCs w:val="20"/>
          <w:color w:val="auto"/>
        </w:rPr>
      </w:pPr>
    </w:p>
    <w:p>
      <w:pPr>
        <w:jc w:val="center"/>
        <w:ind w:right="-159"/>
        <w:spacing w:after="0"/>
        <w:rPr>
          <w:sz w:val="20"/>
          <w:szCs w:val="20"/>
          <w:color w:val="auto"/>
        </w:rPr>
      </w:pPr>
      <w:r>
        <w:rPr>
          <w:rFonts w:ascii="Arial" w:cs="Arial" w:eastAsia="Arial" w:hAnsi="Arial"/>
          <w:sz w:val="29"/>
          <w:szCs w:val="29"/>
          <w:b w:val="1"/>
          <w:bCs w:val="1"/>
          <w:color w:val="auto"/>
        </w:rPr>
        <w:t>Preferred Stock</w:t>
      </w:r>
    </w:p>
    <w:p>
      <w:pPr>
        <w:spacing w:after="0" w:line="4" w:lineRule="exact"/>
        <w:rPr>
          <w:sz w:val="20"/>
          <w:szCs w:val="20"/>
          <w:color w:val="auto"/>
        </w:rPr>
      </w:pPr>
    </w:p>
    <w:p>
      <w:pPr>
        <w:jc w:val="center"/>
        <w:ind w:right="-159"/>
        <w:spacing w:after="0"/>
        <w:rPr>
          <w:sz w:val="20"/>
          <w:szCs w:val="20"/>
          <w:color w:val="auto"/>
        </w:rPr>
      </w:pPr>
      <w:r>
        <w:rPr>
          <w:rFonts w:ascii="Arial" w:cs="Arial" w:eastAsia="Arial" w:hAnsi="Arial"/>
          <w:sz w:val="29"/>
          <w:szCs w:val="29"/>
          <w:b w:val="1"/>
          <w:bCs w:val="1"/>
          <w:color w:val="auto"/>
        </w:rPr>
        <w:t>Debt Securities</w:t>
      </w:r>
    </w:p>
    <w:p>
      <w:pPr>
        <w:spacing w:after="0" w:line="4" w:lineRule="exact"/>
        <w:rPr>
          <w:sz w:val="20"/>
          <w:szCs w:val="20"/>
          <w:color w:val="auto"/>
        </w:rPr>
      </w:pPr>
    </w:p>
    <w:p>
      <w:pPr>
        <w:jc w:val="center"/>
        <w:ind w:right="-159"/>
        <w:spacing w:after="0"/>
        <w:rPr>
          <w:sz w:val="20"/>
          <w:szCs w:val="20"/>
          <w:color w:val="auto"/>
        </w:rPr>
      </w:pPr>
      <w:r>
        <w:rPr>
          <w:rFonts w:ascii="Arial" w:cs="Arial" w:eastAsia="Arial" w:hAnsi="Arial"/>
          <w:sz w:val="29"/>
          <w:szCs w:val="29"/>
          <w:b w:val="1"/>
          <w:bCs w:val="1"/>
          <w:color w:val="auto"/>
        </w:rPr>
        <w:t>Warrants</w:t>
      </w:r>
    </w:p>
    <w:p>
      <w:pPr>
        <w:spacing w:after="0" w:line="4" w:lineRule="exact"/>
        <w:rPr>
          <w:sz w:val="20"/>
          <w:szCs w:val="20"/>
          <w:color w:val="auto"/>
        </w:rPr>
      </w:pPr>
    </w:p>
    <w:p>
      <w:pPr>
        <w:jc w:val="center"/>
        <w:ind w:right="-159"/>
        <w:spacing w:after="0"/>
        <w:rPr>
          <w:sz w:val="20"/>
          <w:szCs w:val="20"/>
          <w:color w:val="auto"/>
        </w:rPr>
      </w:pPr>
      <w:r>
        <w:rPr>
          <w:rFonts w:ascii="Arial" w:cs="Arial" w:eastAsia="Arial" w:hAnsi="Arial"/>
          <w:sz w:val="29"/>
          <w:szCs w:val="29"/>
          <w:b w:val="1"/>
          <w:bCs w:val="1"/>
          <w:color w:val="auto"/>
        </w:rPr>
        <w:t>Units</w:t>
      </w:r>
    </w:p>
    <w:p>
      <w:pPr>
        <w:spacing w:after="0" w:line="205"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We may offer and sell, from time to time issue, in one or more series or classes, up to $400,000,000 in aggregate principal amount of our common stock, preferred stock, debt securities, warrants and/or units, in any combination, together or separately, in one or more offerings in amounts, at prices and on the terms that we will determine at the time of the offering and which will be set forth in a prospectus supplement to this prospectus and any related free writing prospectus.</w:t>
      </w:r>
    </w:p>
    <w:p>
      <w:pPr>
        <w:spacing w:after="0" w:line="174"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We may offer these securities separately or together in units. Each time we sell securities described herein, we will provide prospective investors with a supplement to this prospectus that will specify the terms of the securities being offered. See “Plan of Distribution” in this prospectus. We may sell these securities to or through underwriters or dealers and also to other purchasers or through agents. We will set forth the names of any underwriters or agents, and any fees, conversions, or discount arrangements, in the applicable prospectus supplement. We may not sell any securities under this prospectus without delivery of the applicable prospectus supplement. You should read this document and any prospectus supplement or amendment carefully before you invest in our securities.</w:t>
      </w:r>
    </w:p>
    <w:p>
      <w:pPr>
        <w:spacing w:after="0" w:line="179"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auto"/>
        </w:rPr>
        <w:t>Our common stock is listed on The Nasdaq Global Market under the symbol “TNGX.” On May 8, 2025, the closing price for our common stock, as reported on The Nasdaq Global Market, was $1.10 per share.</w:t>
      </w:r>
    </w:p>
    <w:p>
      <w:pPr>
        <w:spacing w:after="0" w:line="154" w:lineRule="exact"/>
        <w:rPr>
          <w:sz w:val="20"/>
          <w:szCs w:val="20"/>
          <w:color w:val="auto"/>
        </w:rPr>
      </w:pPr>
    </w:p>
    <w:p>
      <w:pPr>
        <w:jc w:val="both"/>
        <w:ind w:left="120" w:right="40"/>
        <w:spacing w:after="0" w:line="257" w:lineRule="auto"/>
        <w:rPr>
          <w:sz w:val="20"/>
          <w:szCs w:val="20"/>
          <w:color w:val="auto"/>
        </w:rPr>
      </w:pPr>
      <w:r>
        <w:rPr>
          <w:rFonts w:ascii="Arial" w:cs="Arial" w:eastAsia="Arial" w:hAnsi="Arial"/>
          <w:sz w:val="18"/>
          <w:szCs w:val="18"/>
          <w:b w:val="1"/>
          <w:bCs w:val="1"/>
          <w:color w:val="auto"/>
        </w:rPr>
        <w:t>Investing in these securities involves certain risks. See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on page 2 of this prospectus as well as those included in any accompanying prospectus supplement and in the documents incorporated by reference in this prospectus for a discussion of the factors you should carefully consider before deciding to purchase these securities.</w:t>
      </w:r>
    </w:p>
    <w:p>
      <w:pPr>
        <w:spacing w:after="0" w:line="159" w:lineRule="exact"/>
        <w:rPr>
          <w:sz w:val="20"/>
          <w:szCs w:val="20"/>
          <w:color w:val="auto"/>
        </w:rPr>
      </w:pPr>
    </w:p>
    <w:p>
      <w:pPr>
        <w:ind w:left="120"/>
        <w:spacing w:after="0" w:line="311"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3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date of this prospectus is May 21, 2025.</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248920</wp:posOffset>
            </wp:positionV>
            <wp:extent cx="6995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8000" w:type="dxa"/>
            <w:vAlign w:val="bottom"/>
            <w:gridSpan w:val="15"/>
          </w:tcPr>
          <w:p>
            <w:pPr>
              <w:spacing w:after="0"/>
              <w:rPr>
                <w:sz w:val="20"/>
                <w:szCs w:val="20"/>
                <w:color w:val="auto"/>
              </w:rPr>
            </w:pPr>
            <w:r>
              <w:rPr>
                <w:rFonts w:ascii="Arial" w:cs="Arial" w:eastAsia="Arial" w:hAnsi="Arial"/>
                <w:sz w:val="17"/>
                <w:szCs w:val="17"/>
                <w:color w:val="0000EE"/>
              </w:rPr>
              <w:t>ABOUT THIS PROSPECTUS</w:t>
            </w:r>
          </w:p>
        </w:tc>
        <w:tc>
          <w:tcPr>
            <w:tcW w:w="30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85"/>
        </w:trPr>
        <w:tc>
          <w:tcPr>
            <w:tcW w:w="2240" w:type="dxa"/>
            <w:vAlign w:val="bottom"/>
            <w:tcBorders>
              <w:top w:val="single" w:sz="8" w:color="0000EE"/>
            </w:tcBorders>
            <w:gridSpan w:val="8"/>
          </w:tcPr>
          <w:p>
            <w:pPr>
              <w:spacing w:after="0"/>
              <w:rPr>
                <w:sz w:val="20"/>
                <w:szCs w:val="20"/>
                <w:color w:val="auto"/>
              </w:rPr>
            </w:pPr>
            <w:r>
              <w:rPr>
                <w:rFonts w:ascii="Arial" w:cs="Arial" w:eastAsia="Arial" w:hAnsi="Arial"/>
                <w:sz w:val="17"/>
                <w:szCs w:val="17"/>
                <w:color w:val="0000EE"/>
              </w:rPr>
              <w:t>RISK FACTORS</w:t>
            </w:r>
          </w:p>
        </w:tc>
        <w:tc>
          <w:tcPr>
            <w:tcW w:w="5760" w:type="dxa"/>
            <w:vAlign w:val="bottom"/>
            <w:gridSpan w:val="7"/>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
        </w:trPr>
        <w:tc>
          <w:tcPr>
            <w:tcW w:w="8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385"/>
        </w:trPr>
        <w:tc>
          <w:tcPr>
            <w:tcW w:w="8000" w:type="dxa"/>
            <w:vAlign w:val="bottom"/>
            <w:gridSpan w:val="15"/>
          </w:tcPr>
          <w:p>
            <w:pPr>
              <w:spacing w:after="0"/>
              <w:rPr>
                <w:sz w:val="20"/>
                <w:szCs w:val="20"/>
                <w:color w:val="auto"/>
              </w:rPr>
            </w:pPr>
            <w:r>
              <w:rPr>
                <w:rFonts w:ascii="Arial" w:cs="Arial" w:eastAsia="Arial" w:hAnsi="Arial"/>
                <w:sz w:val="17"/>
                <w:szCs w:val="17"/>
                <w:color w:val="0000EE"/>
              </w:rPr>
              <w:t>SPECIAL NOTE REGARDING FORWARD-LOOKING STATEMENTS</w:t>
            </w:r>
          </w:p>
        </w:tc>
        <w:tc>
          <w:tcPr>
            <w:tcW w:w="30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385"/>
        </w:trPr>
        <w:tc>
          <w:tcPr>
            <w:tcW w:w="12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7"/>
                <w:szCs w:val="17"/>
                <w:color w:val="0000EE"/>
                <w:w w:val="98"/>
              </w:rPr>
              <w:t>OUR COMPANY</w:t>
            </w:r>
          </w:p>
        </w:tc>
        <w:tc>
          <w:tcPr>
            <w:tcW w:w="3960" w:type="dxa"/>
            <w:vAlign w:val="bottom"/>
            <w:tcBorders>
              <w:top w:val="single" w:sz="8" w:color="0000EE"/>
            </w:tcBorders>
            <w:gridSpan w:val="11"/>
          </w:tcPr>
          <w:p>
            <w:pPr>
              <w:spacing w:after="0"/>
              <w:rPr>
                <w:sz w:val="24"/>
                <w:szCs w:val="24"/>
                <w:color w:val="auto"/>
              </w:rPr>
            </w:pPr>
          </w:p>
        </w:tc>
        <w:tc>
          <w:tcPr>
            <w:tcW w:w="2760" w:type="dxa"/>
            <w:vAlign w:val="bottom"/>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385"/>
        </w:trPr>
        <w:tc>
          <w:tcPr>
            <w:tcW w:w="1640" w:type="dxa"/>
            <w:vAlign w:val="bottom"/>
            <w:tcBorders>
              <w:bottom w:val="single" w:sz="8" w:color="0000EE"/>
            </w:tcBorders>
            <w:gridSpan w:val="5"/>
          </w:tcPr>
          <w:p>
            <w:pPr>
              <w:spacing w:after="0"/>
              <w:rPr>
                <w:sz w:val="20"/>
                <w:szCs w:val="20"/>
                <w:color w:val="auto"/>
              </w:rPr>
            </w:pPr>
            <w:r>
              <w:rPr>
                <w:rFonts w:ascii="Arial" w:cs="Arial" w:eastAsia="Arial" w:hAnsi="Arial"/>
                <w:sz w:val="17"/>
                <w:szCs w:val="17"/>
                <w:color w:val="0000EE"/>
                <w:w w:val="99"/>
              </w:rPr>
              <w:t>USE OF PROCEEDS</w:t>
            </w:r>
          </w:p>
        </w:tc>
        <w:tc>
          <w:tcPr>
            <w:tcW w:w="6360" w:type="dxa"/>
            <w:vAlign w:val="bottom"/>
            <w:gridSpan w:val="10"/>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385"/>
        </w:trPr>
        <w:tc>
          <w:tcPr>
            <w:tcW w:w="8000" w:type="dxa"/>
            <w:vAlign w:val="bottom"/>
            <w:gridSpan w:val="15"/>
          </w:tcPr>
          <w:p>
            <w:pPr>
              <w:spacing w:after="0"/>
              <w:rPr>
                <w:sz w:val="20"/>
                <w:szCs w:val="20"/>
                <w:color w:val="auto"/>
              </w:rPr>
            </w:pPr>
            <w:r>
              <w:rPr>
                <w:rFonts w:ascii="Arial" w:cs="Arial" w:eastAsia="Arial" w:hAnsi="Arial"/>
                <w:sz w:val="17"/>
                <w:szCs w:val="17"/>
                <w:color w:val="0000EE"/>
              </w:rPr>
              <w:t>SECURITIES THAT MAY BE OFFERED</w:t>
            </w:r>
          </w:p>
        </w:tc>
        <w:tc>
          <w:tcPr>
            <w:tcW w:w="30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385"/>
        </w:trPr>
        <w:tc>
          <w:tcPr>
            <w:tcW w:w="3040" w:type="dxa"/>
            <w:vAlign w:val="bottom"/>
            <w:tcBorders>
              <w:top w:val="single" w:sz="8" w:color="0000EE"/>
            </w:tcBorders>
            <w:gridSpan w:val="12"/>
          </w:tcPr>
          <w:p>
            <w:pPr>
              <w:spacing w:after="0"/>
              <w:rPr>
                <w:sz w:val="20"/>
                <w:szCs w:val="20"/>
                <w:color w:val="auto"/>
              </w:rPr>
            </w:pPr>
            <w:r>
              <w:rPr>
                <w:rFonts w:ascii="Arial" w:cs="Arial" w:eastAsia="Arial" w:hAnsi="Arial"/>
                <w:sz w:val="17"/>
                <w:szCs w:val="17"/>
                <w:color w:val="0000EE"/>
              </w:rPr>
              <w:t>DESCRIPTION OF CAPITAL STOCK</w:t>
            </w:r>
          </w:p>
        </w:tc>
        <w:tc>
          <w:tcPr>
            <w:tcW w:w="4960" w:type="dxa"/>
            <w:vAlign w:val="bottom"/>
            <w:gridSpan w:val="3"/>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
        </w:trPr>
        <w:tc>
          <w:tcPr>
            <w:tcW w:w="8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385"/>
        </w:trPr>
        <w:tc>
          <w:tcPr>
            <w:tcW w:w="8000" w:type="dxa"/>
            <w:vAlign w:val="bottom"/>
            <w:gridSpan w:val="15"/>
          </w:tcPr>
          <w:p>
            <w:pPr>
              <w:spacing w:after="0"/>
              <w:rPr>
                <w:sz w:val="20"/>
                <w:szCs w:val="20"/>
                <w:color w:val="auto"/>
              </w:rPr>
            </w:pPr>
            <w:r>
              <w:rPr>
                <w:rFonts w:ascii="Arial" w:cs="Arial" w:eastAsia="Arial" w:hAnsi="Arial"/>
                <w:sz w:val="17"/>
                <w:szCs w:val="17"/>
                <w:color w:val="0000EE"/>
              </w:rPr>
              <w:t>DESCRIPTION OF DEBT SECURITIES</w:t>
            </w:r>
          </w:p>
        </w:tc>
        <w:tc>
          <w:tcPr>
            <w:tcW w:w="30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385"/>
        </w:trPr>
        <w:tc>
          <w:tcPr>
            <w:tcW w:w="3020" w:type="dxa"/>
            <w:vAlign w:val="bottom"/>
            <w:tcBorders>
              <w:top w:val="single" w:sz="8" w:color="0000EE"/>
            </w:tcBorders>
            <w:gridSpan w:val="11"/>
          </w:tcPr>
          <w:p>
            <w:pPr>
              <w:spacing w:after="0"/>
              <w:rPr>
                <w:sz w:val="20"/>
                <w:szCs w:val="20"/>
                <w:color w:val="auto"/>
              </w:rPr>
            </w:pPr>
            <w:r>
              <w:rPr>
                <w:rFonts w:ascii="Arial" w:cs="Arial" w:eastAsia="Arial" w:hAnsi="Arial"/>
                <w:sz w:val="17"/>
                <w:szCs w:val="17"/>
                <w:color w:val="0000EE"/>
              </w:rPr>
              <w:t>DESCRIPTION OF WARRANTS</w:t>
            </w:r>
          </w:p>
        </w:tc>
        <w:tc>
          <w:tcPr>
            <w:tcW w:w="4980" w:type="dxa"/>
            <w:vAlign w:val="bottom"/>
            <w:gridSpan w:val="4"/>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385"/>
        </w:trPr>
        <w:tc>
          <w:tcPr>
            <w:tcW w:w="2460" w:type="dxa"/>
            <w:vAlign w:val="bottom"/>
            <w:tcBorders>
              <w:top w:val="single" w:sz="8" w:color="0000EE"/>
            </w:tcBorders>
            <w:gridSpan w:val="9"/>
          </w:tcPr>
          <w:p>
            <w:pPr>
              <w:spacing w:after="0"/>
              <w:rPr>
                <w:sz w:val="20"/>
                <w:szCs w:val="20"/>
                <w:color w:val="auto"/>
              </w:rPr>
            </w:pPr>
            <w:r>
              <w:rPr>
                <w:rFonts w:ascii="Arial" w:cs="Arial" w:eastAsia="Arial" w:hAnsi="Arial"/>
                <w:sz w:val="17"/>
                <w:szCs w:val="17"/>
                <w:color w:val="0000EE"/>
              </w:rPr>
              <w:t>DESCRIPTION OF UNITS</w:t>
            </w:r>
          </w:p>
        </w:tc>
        <w:tc>
          <w:tcPr>
            <w:tcW w:w="5540" w:type="dxa"/>
            <w:vAlign w:val="bottom"/>
            <w:gridSpan w:val="6"/>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385"/>
        </w:trPr>
        <w:tc>
          <w:tcPr>
            <w:tcW w:w="198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7"/>
                <w:szCs w:val="17"/>
                <w:color w:val="0000EE"/>
                <w:w w:val="99"/>
              </w:rPr>
              <w:t>PLAN OF DISTRIBUTION</w:t>
            </w:r>
          </w:p>
        </w:tc>
        <w:tc>
          <w:tcPr>
            <w:tcW w:w="20" w:type="dxa"/>
            <w:vAlign w:val="bottom"/>
            <w:tcBorders>
              <w:top w:val="single" w:sz="8" w:color="0000EE"/>
            </w:tcBorders>
          </w:tcPr>
          <w:p>
            <w:pPr>
              <w:spacing w:after="0"/>
              <w:rPr>
                <w:sz w:val="24"/>
                <w:szCs w:val="24"/>
                <w:color w:val="auto"/>
              </w:rPr>
            </w:pPr>
          </w:p>
        </w:tc>
        <w:tc>
          <w:tcPr>
            <w:tcW w:w="6000" w:type="dxa"/>
            <w:vAlign w:val="bottom"/>
            <w:gridSpan w:val="8"/>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385"/>
        </w:trPr>
        <w:tc>
          <w:tcPr>
            <w:tcW w:w="140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w w:val="98"/>
              </w:rPr>
              <w:t>LEGAL MATTERS</w:t>
            </w:r>
          </w:p>
        </w:tc>
        <w:tc>
          <w:tcPr>
            <w:tcW w:w="6600" w:type="dxa"/>
            <w:vAlign w:val="bottom"/>
            <w:gridSpan w:val="11"/>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385"/>
        </w:trPr>
        <w:tc>
          <w:tcPr>
            <w:tcW w:w="800" w:type="dxa"/>
            <w:vAlign w:val="bottom"/>
            <w:tcBorders>
              <w:bottom w:val="single" w:sz="8" w:color="0000EE"/>
            </w:tcBorders>
          </w:tcPr>
          <w:p>
            <w:pPr>
              <w:spacing w:after="0"/>
              <w:rPr>
                <w:sz w:val="20"/>
                <w:szCs w:val="20"/>
                <w:color w:val="auto"/>
              </w:rPr>
            </w:pPr>
            <w:r>
              <w:rPr>
                <w:rFonts w:ascii="Arial" w:cs="Arial" w:eastAsia="Arial" w:hAnsi="Arial"/>
                <w:sz w:val="17"/>
                <w:szCs w:val="17"/>
                <w:color w:val="0000EE"/>
                <w:w w:val="98"/>
              </w:rPr>
              <w:t>EXPERTS</w:t>
            </w:r>
          </w:p>
        </w:tc>
        <w:tc>
          <w:tcPr>
            <w:tcW w:w="7200" w:type="dxa"/>
            <w:vAlign w:val="bottom"/>
            <w:gridSpan w:val="14"/>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385"/>
        </w:trPr>
        <w:tc>
          <w:tcPr>
            <w:tcW w:w="3700" w:type="dxa"/>
            <w:vAlign w:val="bottom"/>
            <w:tcBorders>
              <w:bottom w:val="single" w:sz="8" w:color="0000EE"/>
            </w:tcBorders>
            <w:gridSpan w:val="13"/>
          </w:tcPr>
          <w:p>
            <w:pPr>
              <w:spacing w:after="0"/>
              <w:rPr>
                <w:sz w:val="20"/>
                <w:szCs w:val="20"/>
                <w:color w:val="auto"/>
              </w:rPr>
            </w:pPr>
            <w:r>
              <w:rPr>
                <w:rFonts w:ascii="Arial" w:cs="Arial" w:eastAsia="Arial" w:hAnsi="Arial"/>
                <w:sz w:val="17"/>
                <w:szCs w:val="17"/>
                <w:color w:val="0000EE"/>
                <w:w w:val="99"/>
              </w:rPr>
              <w:t>WHERE YOU CAN FIND MORE INFORMATION</w:t>
            </w:r>
          </w:p>
        </w:tc>
        <w:tc>
          <w:tcPr>
            <w:tcW w:w="4300" w:type="dxa"/>
            <w:vAlign w:val="bottom"/>
            <w:gridSpan w:val="2"/>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385"/>
        </w:trPr>
        <w:tc>
          <w:tcPr>
            <w:tcW w:w="8000" w:type="dxa"/>
            <w:vAlign w:val="bottom"/>
            <w:gridSpan w:val="15"/>
          </w:tcPr>
          <w:p>
            <w:pPr>
              <w:spacing w:after="0"/>
              <w:rPr>
                <w:sz w:val="20"/>
                <w:szCs w:val="20"/>
                <w:color w:val="auto"/>
              </w:rPr>
            </w:pPr>
            <w:r>
              <w:rPr>
                <w:rFonts w:ascii="Arial" w:cs="Arial" w:eastAsia="Arial" w:hAnsi="Arial"/>
                <w:sz w:val="17"/>
                <w:szCs w:val="17"/>
                <w:color w:val="0000EE"/>
              </w:rPr>
              <w:t>INCORPORATION BY REFERENCE</w:t>
            </w:r>
          </w:p>
        </w:tc>
        <w:tc>
          <w:tcPr>
            <w:tcW w:w="30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63"/>
        </w:trPr>
        <w:tc>
          <w:tcPr>
            <w:tcW w:w="800" w:type="dxa"/>
            <w:vAlign w:val="bottom"/>
            <w:tcBorders>
              <w:top w:val="single" w:sz="8" w:color="0000EE"/>
              <w:bottom w:val="single" w:sz="8" w:color="auto"/>
            </w:tcBorders>
          </w:tcPr>
          <w:p>
            <w:pPr>
              <w:spacing w:after="0"/>
              <w:rPr>
                <w:sz w:val="22"/>
                <w:szCs w:val="22"/>
                <w:color w:val="auto"/>
              </w:rPr>
            </w:pPr>
          </w:p>
        </w:tc>
        <w:tc>
          <w:tcPr>
            <w:tcW w:w="440" w:type="dxa"/>
            <w:vAlign w:val="bottom"/>
            <w:tcBorders>
              <w:top w:val="single" w:sz="8" w:color="0000EE"/>
              <w:bottom w:val="single" w:sz="8" w:color="auto"/>
            </w:tcBorders>
          </w:tcPr>
          <w:p>
            <w:pPr>
              <w:spacing w:after="0"/>
              <w:rPr>
                <w:sz w:val="22"/>
                <w:szCs w:val="22"/>
                <w:color w:val="auto"/>
              </w:rPr>
            </w:pPr>
          </w:p>
        </w:tc>
        <w:tc>
          <w:tcPr>
            <w:tcW w:w="40" w:type="dxa"/>
            <w:vAlign w:val="bottom"/>
            <w:tcBorders>
              <w:top w:val="single" w:sz="8" w:color="0000EE"/>
              <w:bottom w:val="single" w:sz="8" w:color="auto"/>
            </w:tcBorders>
          </w:tcPr>
          <w:p>
            <w:pPr>
              <w:spacing w:after="0"/>
              <w:rPr>
                <w:sz w:val="22"/>
                <w:szCs w:val="22"/>
                <w:color w:val="auto"/>
              </w:rPr>
            </w:pPr>
          </w:p>
        </w:tc>
        <w:tc>
          <w:tcPr>
            <w:tcW w:w="120" w:type="dxa"/>
            <w:vAlign w:val="bottom"/>
            <w:tcBorders>
              <w:top w:val="single" w:sz="8" w:color="0000EE"/>
              <w:bottom w:val="single" w:sz="8" w:color="auto"/>
            </w:tcBorders>
          </w:tcPr>
          <w:p>
            <w:pPr>
              <w:spacing w:after="0"/>
              <w:rPr>
                <w:sz w:val="22"/>
                <w:szCs w:val="22"/>
                <w:color w:val="auto"/>
              </w:rPr>
            </w:pPr>
          </w:p>
        </w:tc>
        <w:tc>
          <w:tcPr>
            <w:tcW w:w="240" w:type="dxa"/>
            <w:vAlign w:val="bottom"/>
            <w:tcBorders>
              <w:top w:val="single" w:sz="8" w:color="0000EE"/>
              <w:bottom w:val="single" w:sz="8" w:color="auto"/>
            </w:tcBorders>
          </w:tcPr>
          <w:p>
            <w:pPr>
              <w:spacing w:after="0"/>
              <w:rPr>
                <w:sz w:val="22"/>
                <w:szCs w:val="22"/>
                <w:color w:val="auto"/>
              </w:rPr>
            </w:pPr>
          </w:p>
        </w:tc>
        <w:tc>
          <w:tcPr>
            <w:tcW w:w="34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240" w:type="dxa"/>
            <w:vAlign w:val="bottom"/>
            <w:tcBorders>
              <w:top w:val="single" w:sz="8" w:color="0000EE"/>
              <w:bottom w:val="single" w:sz="8" w:color="auto"/>
            </w:tcBorders>
          </w:tcPr>
          <w:p>
            <w:pPr>
              <w:spacing w:after="0"/>
              <w:rPr>
                <w:sz w:val="22"/>
                <w:szCs w:val="22"/>
                <w:color w:val="auto"/>
              </w:rPr>
            </w:pPr>
          </w:p>
        </w:tc>
        <w:tc>
          <w:tcPr>
            <w:tcW w:w="220" w:type="dxa"/>
            <w:vAlign w:val="bottom"/>
            <w:tcBorders>
              <w:top w:val="single" w:sz="8" w:color="0000EE"/>
              <w:bottom w:val="single" w:sz="8" w:color="auto"/>
            </w:tcBorders>
          </w:tcPr>
          <w:p>
            <w:pPr>
              <w:spacing w:after="0"/>
              <w:rPr>
                <w:sz w:val="22"/>
                <w:szCs w:val="22"/>
                <w:color w:val="auto"/>
              </w:rPr>
            </w:pPr>
          </w:p>
        </w:tc>
        <w:tc>
          <w:tcPr>
            <w:tcW w:w="360" w:type="dxa"/>
            <w:vAlign w:val="bottom"/>
            <w:tcBorders>
              <w:top w:val="single" w:sz="8" w:color="0000EE"/>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tcPr>
          <w:p>
            <w:pPr>
              <w:spacing w:after="0"/>
              <w:rPr>
                <w:sz w:val="22"/>
                <w:szCs w:val="22"/>
                <w:color w:val="auto"/>
              </w:rPr>
            </w:pPr>
          </w:p>
        </w:tc>
      </w:tr>
    </w:tbl>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316" w:lineRule="exact"/>
        <w:rPr>
          <w:sz w:val="20"/>
          <w:szCs w:val="20"/>
          <w:color w:val="auto"/>
        </w:rPr>
      </w:pPr>
    </w:p>
    <w:p>
      <w:pPr>
        <w:ind w:left="120" w:right="140"/>
        <w:spacing w:after="0" w:line="249" w:lineRule="auto"/>
        <w:rPr>
          <w:sz w:val="20"/>
          <w:szCs w:val="20"/>
          <w:color w:val="auto"/>
        </w:rPr>
      </w:pPr>
      <w:r>
        <w:rPr>
          <w:rFonts w:ascii="Arial" w:cs="Arial" w:eastAsia="Arial" w:hAnsi="Arial"/>
          <w:sz w:val="17"/>
          <w:szCs w:val="17"/>
          <w:color w:val="auto"/>
        </w:rPr>
        <w:t>This prospectus is part of a registration statement on Form S-3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 for an aggregate offering price of up to $400,000,000.</w:t>
      </w:r>
    </w:p>
    <w:p>
      <w:pPr>
        <w:spacing w:after="0" w:line="121" w:lineRule="exact"/>
        <w:rPr>
          <w:sz w:val="20"/>
          <w:szCs w:val="20"/>
          <w:color w:val="auto"/>
        </w:rPr>
      </w:pPr>
    </w:p>
    <w:p>
      <w:pPr>
        <w:ind w:left="120" w:right="20"/>
        <w:spacing w:after="0" w:line="239" w:lineRule="auto"/>
        <w:rPr>
          <w:sz w:val="20"/>
          <w:szCs w:val="20"/>
          <w:color w:val="auto"/>
        </w:rPr>
      </w:pPr>
      <w:r>
        <w:rPr>
          <w:rFonts w:ascii="Arial" w:cs="Arial" w:eastAsia="Arial" w:hAnsi="Arial"/>
          <w:sz w:val="17"/>
          <w:szCs w:val="17"/>
          <w:color w:val="auto"/>
        </w:rPr>
        <w:t>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This prospectus, together with any accompanying prospectus supplement, contains important information you should know before investing in our securities, including important information about us and the securities being offered. You should read both this prospectus and the accompanying prospectus supplement together with the additional information described under the headings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 and “</w:t>
      </w:r>
      <w:r>
        <w:rPr>
          <w:rFonts w:ascii="Arial" w:cs="Arial" w:eastAsia="Arial" w:hAnsi="Arial"/>
          <w:sz w:val="17"/>
          <w:szCs w:val="17"/>
          <w:i w:val="1"/>
          <w:iCs w:val="1"/>
          <w:color w:val="auto"/>
        </w:rPr>
        <w:t>Incorporation by Reference</w:t>
      </w:r>
      <w:r>
        <w:rPr>
          <w:rFonts w:ascii="Arial" w:cs="Arial" w:eastAsia="Arial" w:hAnsi="Arial"/>
          <w:sz w:val="17"/>
          <w:szCs w:val="17"/>
          <w:color w:val="auto"/>
        </w:rPr>
        <w:t>” beginning on page 24 of this prospectus.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or additional information. If anyone provides you with different, additional or inconsistent information, you should not rely on it. We do not take responsibility for, and can provide no assurance as to the reliability of, any information that others may give you.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regardless of the time of delivery of this prospectus, any applicable prospectus supplement or any sale of securities. Our business, financial condition, results of operations and prospects may have changed materially since those dates. This prospectus, any applicable prospectus supplement and the information incorporated herein or therein by reference contains market data, industry statistics and other data that have been obtained or compiled from information made available by independent third parties. We have not independently verified the accuracy and completeness of such data.</w:t>
      </w:r>
    </w:p>
    <w:p>
      <w:pPr>
        <w:spacing w:after="0" w:line="273" w:lineRule="exact"/>
        <w:rPr>
          <w:sz w:val="20"/>
          <w:szCs w:val="20"/>
          <w:color w:val="auto"/>
        </w:rPr>
      </w:pPr>
    </w:p>
    <w:p>
      <w:pPr>
        <w:ind w:left="120" w:right="720"/>
        <w:spacing w:after="0" w:line="280" w:lineRule="auto"/>
        <w:rPr>
          <w:sz w:val="20"/>
          <w:szCs w:val="20"/>
          <w:color w:val="auto"/>
        </w:rPr>
      </w:pPr>
      <w:r>
        <w:rPr>
          <w:rFonts w:ascii="Arial" w:cs="Arial" w:eastAsia="Arial" w:hAnsi="Arial"/>
          <w:sz w:val="17"/>
          <w:szCs w:val="17"/>
          <w:b w:val="1"/>
          <w:bCs w:val="1"/>
          <w:color w:val="auto"/>
        </w:rPr>
        <w:t>THIS PROSPECTUS MAY NOT BE USED TO OFFER AND SELL SECURITIES UNLESS IT IS ACCOMPANIED BY AN ADDITIONAL PROSPECTUS OR A PROSPECTUS SUPPLEMENT.</w:t>
      </w:r>
    </w:p>
    <w:p>
      <w:pPr>
        <w:spacing w:after="0" w:line="84" w:lineRule="exact"/>
        <w:rPr>
          <w:sz w:val="20"/>
          <w:szCs w:val="20"/>
          <w:color w:val="auto"/>
        </w:rPr>
      </w:pPr>
    </w:p>
    <w:p>
      <w:pPr>
        <w:ind w:left="120" w:right="820"/>
        <w:spacing w:after="0" w:line="267" w:lineRule="auto"/>
        <w:rPr>
          <w:sz w:val="20"/>
          <w:szCs w:val="20"/>
          <w:color w:val="auto"/>
        </w:rPr>
      </w:pPr>
      <w:r>
        <w:rPr>
          <w:rFonts w:ascii="Arial" w:cs="Arial" w:eastAsia="Arial" w:hAnsi="Arial"/>
          <w:sz w:val="17"/>
          <w:szCs w:val="17"/>
          <w:color w:val="auto"/>
        </w:rPr>
        <w:t>As used in this prospectus, unless the context otherwise requires, references to “Tango,” “company,” “we,” “us” and “our” refer to Tango Therapeutics, Inc. and, where appropriate, our subsidiaries.</w:t>
      </w:r>
    </w:p>
    <w:p>
      <w:pPr>
        <w:spacing w:after="0" w:line="105" w:lineRule="exact"/>
        <w:rPr>
          <w:sz w:val="20"/>
          <w:szCs w:val="20"/>
          <w:color w:val="auto"/>
        </w:rPr>
      </w:pPr>
    </w:p>
    <w:p>
      <w:pPr>
        <w:ind w:left="120" w:right="20"/>
        <w:spacing w:after="0" w:line="237" w:lineRule="auto"/>
        <w:rPr>
          <w:sz w:val="20"/>
          <w:szCs w:val="20"/>
          <w:color w:val="auto"/>
        </w:rPr>
      </w:pPr>
      <w:r>
        <w:rPr>
          <w:rFonts w:ascii="Arial" w:cs="Arial" w:eastAsia="Arial" w:hAnsi="Arial"/>
          <w:sz w:val="17"/>
          <w:szCs w:val="17"/>
          <w:color w:val="auto"/>
        </w:rPr>
        <w:t xml:space="preserve">We were formerly known as BCTG Acquisition Corp. (“BCTG”) and were incorporated in Delaware in May 2020 as a special purpose acquisition company, formed for the purpose of effecting a merger, capital stock exchange, asset acquisition, stock purchase, reorganization or other similar business. On August 10, 2021, we consummated the merger pursuant to the Agreement and Plan of Merger, dated as of April 13, 2021, by and among BCTG, BCTG Merger Sub Inc. and Tango Therapeutics Sub, Inc. Upon the consummation of the merger, we changed our name to “Tango Therapeutics, Inc.” We own various U.S. federal trademark applications and unregistered trademarks, including our company name. All other trademarks or trade names referred to in this prospectus are the property of their respective owners. Solely for convenience, the trademarks and trade names in this prospectus are referred to without the symbols </w:t>
      </w:r>
      <w:r>
        <w:rPr>
          <w:rFonts w:ascii="Arial" w:cs="Arial" w:eastAsia="Arial" w:hAnsi="Arial"/>
          <w:sz w:val="12"/>
          <w:szCs w:val="12"/>
          <w:color w:val="auto"/>
        </w:rPr>
        <w:t>®</w:t>
      </w:r>
      <w:r>
        <w:rPr>
          <w:rFonts w:ascii="Arial" w:cs="Arial" w:eastAsia="Arial" w:hAnsi="Arial"/>
          <w:sz w:val="17"/>
          <w:szCs w:val="17"/>
          <w:color w:val="auto"/>
        </w:rPr>
        <w:t xml:space="preserve"> and </w:t>
      </w:r>
      <w:r>
        <w:rPr>
          <w:rFonts w:ascii="Arial" w:cs="Arial" w:eastAsia="Arial" w:hAnsi="Arial"/>
          <w:sz w:val="12"/>
          <w:szCs w:val="12"/>
          <w:color w:val="auto"/>
        </w:rPr>
        <w:t>™</w:t>
      </w:r>
      <w:r>
        <w:rPr>
          <w:rFonts w:ascii="Arial" w:cs="Arial" w:eastAsia="Arial" w:hAnsi="Arial"/>
          <w:sz w:val="17"/>
          <w:szCs w:val="17"/>
          <w:color w:val="auto"/>
        </w:rPr>
        <w:t>, but such references should not be construed as any indicator that their respective owners will not assert, to the fullest extent under applicable law, their rights thereto.</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31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Investing in our securities involves a high degree of risk. You should carefully consider the risks set forth in our filings with the SEC that are incorporated by reference herein and any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in the documents incorporated herein by reference, including our most recent Annual Report on Form 10-K, our Quarterly Reports on Form 10-Q and our Current Reports on Form 8-K and the other documents we file with the SEC that are deemed incorporated by reference into this prospectus.</w:t>
      </w:r>
    </w:p>
    <w:p>
      <w:pPr>
        <w:spacing w:after="0" w:line="12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060"/>
          </w:cols>
          <w:pgMar w:left="320" w:top="455" w:right="5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16"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This prospectus, including the documents that we incorporate by reference, includes forward-looking statements within the meaning of Section 27A of the Securities Act of 1933, as amended (the “Securities Act”), and Section 21E of the Securities Exchange Act of 1934, as amended (the “Exchange Act”). Forward-looking statements relate to, among others, our plans, objectives and expectations for our business, operations and financial performance and condition, and can be identified by terminology such as “may,” “will,” “could,” “should,” “expect,” “intend,” “plan,” “anticipate,” “believe,” “estimate,” “predict,” “potential,” “project,” “seek,” “endeavor,” “target,” “continue” and similar expressions that do not relate solely to historical matters. Forward-looking statements are based on management’s belief and assumptions and on information currently available to management. Although we believe that the expectations reflected in forward-looking statements are reasonable, such statements involve known and unknown risks, uncertainties and other factors that may cause our actual results, performance or achievements to be materially different from any future results, performance or achievements expressed or implied by forward-looking statements.</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Forward-looking statements include, but are not limited to, statements about:</w:t>
      </w:r>
    </w:p>
    <w:p>
      <w:pPr>
        <w:spacing w:after="0" w:line="196" w:lineRule="exact"/>
        <w:rPr>
          <w:sz w:val="20"/>
          <w:szCs w:val="20"/>
          <w:color w:val="auto"/>
        </w:rPr>
      </w:pPr>
    </w:p>
    <w:p>
      <w:pPr>
        <w:ind w:left="980" w:hanging="432"/>
        <w:spacing w:after="0" w:line="238"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initiation, timing, progress, results, and cost of our research and development programs and our current and future preclinical studies and clinical trials and combination clinical trials, including statements regarding the timing of IND filings and acceptance, active enrollment and dosing in clinical trials (including combination clinical trials), future plans for dose expansions and dose escalations, and initiation and completion of studies or clinical trials (including combination trials), plans for filing a registrational trial and initiating a combination clinical trial in TNG462, and related preparatory work for each, plans for the TNG456 clinical trial, and the period during which the results of the clinical trials (including initial and final trial results) will become available (such as the clinical data update from the ongoing TNG462 clinical trial and the data from the ongoing TNG260 clinical trial, both expected in the second half of 2025);</w:t>
      </w:r>
    </w:p>
    <w:p>
      <w:pPr>
        <w:spacing w:after="0" w:line="6" w:lineRule="exact"/>
        <w:rPr>
          <w:rFonts w:ascii="MS PGothic" w:cs="MS PGothic" w:eastAsia="MS PGothic" w:hAnsi="MS PGothic"/>
          <w:sz w:val="13"/>
          <w:szCs w:val="13"/>
          <w:color w:val="auto"/>
        </w:rPr>
      </w:pPr>
    </w:p>
    <w:p>
      <w:pPr>
        <w:ind w:left="980" w:right="420" w:hanging="432"/>
        <w:spacing w:after="0" w:line="246"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our ability to discover and develop product candidates efficiently (including the advancement of development candidates on the timelines identified and the ability to identify and contract with clinical trial sites and investigators to use our product candidates in trials);</w:t>
      </w:r>
    </w:p>
    <w:p>
      <w:pPr>
        <w:spacing w:after="0" w:line="6" w:lineRule="exact"/>
        <w:rPr>
          <w:rFonts w:ascii="MS PGothic" w:cs="MS PGothic" w:eastAsia="MS PGothic" w:hAnsi="MS PGothic"/>
          <w:sz w:val="13"/>
          <w:szCs w:val="13"/>
          <w:color w:val="auto"/>
        </w:rPr>
      </w:pPr>
    </w:p>
    <w:p>
      <w:pPr>
        <w:ind w:left="980" w:right="900" w:hanging="432"/>
        <w:spacing w:after="0" w:line="253"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our ability and potential (or those of third parties) to manufacture our drug product, drug substance and product candidates successfully for preclinical use, for clinical trials and on a larger scale for commercial use, if approved;</w:t>
      </w:r>
    </w:p>
    <w:p>
      <w:pPr>
        <w:spacing w:after="0" w:line="6" w:lineRule="exact"/>
        <w:rPr>
          <w:rFonts w:ascii="MS PGothic" w:cs="MS PGothic" w:eastAsia="MS PGothic" w:hAnsi="MS PGothic"/>
          <w:sz w:val="13"/>
          <w:szCs w:val="13"/>
          <w:color w:val="auto"/>
        </w:rPr>
      </w:pPr>
    </w:p>
    <w:p>
      <w:pPr>
        <w:ind w:left="980" w:right="440" w:hanging="432"/>
        <w:spacing w:after="0" w:line="253"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ability and willingness of our third-party strategic collaborators to license and to continue research and development activities relating to our development candidates and product candidates;</w:t>
      </w:r>
    </w:p>
    <w:p>
      <w:pPr>
        <w:spacing w:after="0" w:line="6" w:lineRule="exact"/>
        <w:rPr>
          <w:rFonts w:ascii="MS PGothic" w:cs="MS PGothic" w:eastAsia="MS PGothic" w:hAnsi="MS PGothic"/>
          <w:sz w:val="13"/>
          <w:szCs w:val="13"/>
          <w:color w:val="auto"/>
        </w:rPr>
      </w:pPr>
    </w:p>
    <w:p>
      <w:pPr>
        <w:ind w:left="980" w:right="100" w:hanging="432"/>
        <w:spacing w:after="0" w:line="246"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our ability to obtain funding for our operations necessary to complete further research, development and commercialization of our product candidates (and that existing cash, cash equivalents and marketable securities will enable us to fund our operating expenses and capital expenditure requirements into the first quarter of 2027);</w:t>
      </w:r>
    </w:p>
    <w:p>
      <w:pPr>
        <w:spacing w:after="0" w:line="6" w:lineRule="exact"/>
        <w:rPr>
          <w:rFonts w:ascii="MS PGothic" w:cs="MS PGothic" w:eastAsia="MS PGothic" w:hAnsi="MS PGothic"/>
          <w:sz w:val="13"/>
          <w:szCs w:val="13"/>
          <w:color w:val="auto"/>
        </w:rPr>
      </w:pPr>
    </w:p>
    <w:p>
      <w:pPr>
        <w:ind w:left="980" w:right="100" w:hanging="432"/>
        <w:spacing w:after="0" w:line="246"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our ability to obtain and, if approved, maintain regulatory approval of our product candidates (as well as approval or clearance of screening tests and companion diagnostic tests for our product candidates) and the potential paths to approval for TNG462 in MTAP-deleted pancreatic and lung cancer;</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our ability to commercialize our products, if approved;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pricing and reimbursement of our product candidates, if approved;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implementation of our business model, and strategic plans for our business and product candidates;</w:t>
      </w:r>
    </w:p>
    <w:p>
      <w:pPr>
        <w:spacing w:after="0" w:line="34" w:lineRule="exact"/>
        <w:rPr>
          <w:rFonts w:ascii="MS PGothic" w:cs="MS PGothic" w:eastAsia="MS PGothic" w:hAnsi="MS PGothic"/>
          <w:sz w:val="13"/>
          <w:szCs w:val="13"/>
          <w:color w:val="auto"/>
        </w:rPr>
      </w:pPr>
    </w:p>
    <w:p>
      <w:pPr>
        <w:ind w:left="980" w:right="200" w:hanging="432"/>
        <w:spacing w:after="0" w:line="253"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scope of protection we are able to establish and maintain for intellectual property rights covering our product candidates and our ability to enforce our intellectual property rights;</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estimates of our future expenses, capital requirements, and our need for additional financing;</w:t>
      </w:r>
    </w:p>
    <w:p>
      <w:pPr>
        <w:spacing w:after="0" w:line="34" w:lineRule="exact"/>
        <w:rPr>
          <w:rFonts w:ascii="MS PGothic" w:cs="MS PGothic" w:eastAsia="MS PGothic" w:hAnsi="MS PGothic"/>
          <w:sz w:val="13"/>
          <w:szCs w:val="13"/>
          <w:color w:val="auto"/>
        </w:rPr>
      </w:pPr>
    </w:p>
    <w:p>
      <w:pPr>
        <w:ind w:left="980" w:right="160" w:hanging="432"/>
        <w:spacing w:after="0" w:line="253"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6" w:lineRule="exact"/>
        <w:rPr>
          <w:rFonts w:ascii="MS PGothic" w:cs="MS PGothic" w:eastAsia="MS PGothic" w:hAnsi="MS PGothic"/>
          <w:sz w:val="13"/>
          <w:szCs w:val="13"/>
          <w:color w:val="auto"/>
        </w:rPr>
      </w:pPr>
    </w:p>
    <w:p>
      <w:pPr>
        <w:ind w:left="980" w:right="580" w:hanging="432"/>
        <w:spacing w:after="0" w:line="267"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future agreements with third parties in connection with the commercialization of product candidates (if approved) and any other approved products;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size and growth potential of the markets for our product candidates, and our ability to serve those markets;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our financial performance, including the expectation that we will continue to incur operating losses and negative cash flow;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rate and degree of market acceptance of our product candidates, if approved;</w:t>
      </w:r>
    </w:p>
    <w:p>
      <w:pPr>
        <w:spacing w:after="0" w:line="34" w:lineRule="exact"/>
        <w:rPr>
          <w:rFonts w:ascii="MS PGothic" w:cs="MS PGothic" w:eastAsia="MS PGothic" w:hAnsi="MS PGothic"/>
          <w:sz w:val="13"/>
          <w:szCs w:val="13"/>
          <w:color w:val="auto"/>
        </w:rPr>
      </w:pPr>
    </w:p>
    <w:p>
      <w:pPr>
        <w:ind w:left="980" w:right="180" w:hanging="432"/>
        <w:spacing w:after="0" w:line="253" w:lineRule="auto"/>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regulatory developments in the United States and foreign countries, including product approval requirements and pricing regulations by U.S. regulatory authorities (such as the Centers for Medicare &amp; Medicaid Services) and foreign regulatory authorities;</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our ability to contract with third-party suppliers and manufacturers and their ability to perform adequately;</w:t>
      </w:r>
    </w:p>
    <w:p>
      <w:pPr>
        <w:spacing w:after="0" w:line="34" w:lineRule="exact"/>
        <w:rPr>
          <w:rFonts w:ascii="MS PGothic" w:cs="MS PGothic" w:eastAsia="MS PGothic" w:hAnsi="MS PGothic"/>
          <w:sz w:val="13"/>
          <w:szCs w:val="13"/>
          <w:color w:val="auto"/>
        </w:rPr>
      </w:pPr>
    </w:p>
    <w:p>
      <w:pPr>
        <w:ind w:left="980" w:right="420" w:hanging="432"/>
        <w:spacing w:after="0" w:line="253" w:lineRule="auto"/>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our ability (or the ability of third parties with whom we contract) to produce our products or product candidates with advantages in turnaround times or manufacturing cost;</w:t>
      </w:r>
    </w:p>
    <w:p>
      <w:pPr>
        <w:spacing w:after="0" w:line="6" w:lineRule="exact"/>
        <w:rPr>
          <w:rFonts w:ascii="MS PGothic" w:cs="MS PGothic" w:eastAsia="MS PGothic" w:hAnsi="MS PGothic"/>
          <w:sz w:val="13"/>
          <w:szCs w:val="13"/>
          <w:color w:val="auto"/>
        </w:rPr>
      </w:pPr>
    </w:p>
    <w:p>
      <w:pPr>
        <w:ind w:left="980" w:right="20" w:hanging="432"/>
        <w:spacing w:after="0" w:line="246" w:lineRule="auto"/>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our ability to deliver the deep, sustained target inhibition necessary to optimize tumor response and clinical benefit as a result of the unique ability of synthetic lethal targeting to spare normal cells, as well as the success of competing therapies that are or may become available;</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our ability to attract and retain key scientific or management personnel;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impact of laws and regulations;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developments relating to our competitors and industry;</w:t>
      </w:r>
    </w:p>
    <w:p>
      <w:pPr>
        <w:spacing w:after="0" w:line="34" w:lineRule="exact"/>
        <w:rPr>
          <w:rFonts w:ascii="MS PGothic" w:cs="MS PGothic" w:eastAsia="MS PGothic" w:hAnsi="MS PGothic"/>
          <w:sz w:val="13"/>
          <w:szCs w:val="13"/>
          <w:color w:val="auto"/>
        </w:rPr>
      </w:pPr>
    </w:p>
    <w:p>
      <w:pPr>
        <w:ind w:left="980" w:hanging="432"/>
        <w:spacing w:after="0" w:line="253" w:lineRule="auto"/>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impact of trade restrictions (such as sanctions or tariffs); regulatory requirements, legal actions, or enforcement; inflation rates; and inadequate funding for government agencies on our business, financial condition, and results of operations;</w:t>
      </w:r>
    </w:p>
    <w:p>
      <w:pPr>
        <w:spacing w:after="0" w:line="6" w:lineRule="exact"/>
        <w:rPr>
          <w:rFonts w:ascii="MS PGothic" w:cs="MS PGothic" w:eastAsia="MS PGothic" w:hAnsi="MS PGothic"/>
          <w:sz w:val="13"/>
          <w:szCs w:val="13"/>
          <w:color w:val="auto"/>
        </w:rPr>
      </w:pPr>
    </w:p>
    <w:p>
      <w:pPr>
        <w:ind w:left="980" w:right="260" w:hanging="432"/>
        <w:spacing w:after="0" w:line="253" w:lineRule="auto"/>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effect of public health crises on our business operations, including but not limited to our preclinical studies and clinical trials and any future studies or trials;</w:t>
      </w:r>
    </w:p>
    <w:p>
      <w:pPr>
        <w:spacing w:after="0" w:line="6" w:lineRule="exact"/>
        <w:rPr>
          <w:rFonts w:ascii="MS PGothic" w:cs="MS PGothic" w:eastAsia="MS PGothic" w:hAnsi="MS PGothic"/>
          <w:sz w:val="13"/>
          <w:szCs w:val="13"/>
          <w:color w:val="auto"/>
        </w:rPr>
      </w:pPr>
    </w:p>
    <w:p>
      <w:pPr>
        <w:ind w:left="980" w:right="200" w:hanging="432"/>
        <w:spacing w:after="0" w:line="246" w:lineRule="auto"/>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expected benefits of the use of our drugs in patients as single agents and/or in combination, including our beliefs that: TNG462 has the potential to be a best-in-class molecule; and preclinical studies demonstrate TNG456 brain exposure has the potential to be sufficient for meaningful efficacy in GBM; and</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other risks and uncertainties, including those under the caption “Risk Factors.”</w:t>
      </w:r>
    </w:p>
    <w:p>
      <w:pPr>
        <w:spacing w:after="0" w:line="156" w:lineRule="exact"/>
        <w:rPr>
          <w:sz w:val="20"/>
          <w:szCs w:val="20"/>
          <w:color w:val="auto"/>
        </w:rPr>
      </w:pPr>
    </w:p>
    <w:p>
      <w:pPr>
        <w:ind w:left="120" w:right="100"/>
        <w:spacing w:after="0" w:line="244" w:lineRule="auto"/>
        <w:rPr>
          <w:sz w:val="20"/>
          <w:szCs w:val="20"/>
          <w:color w:val="auto"/>
        </w:rPr>
      </w:pPr>
      <w:r>
        <w:rPr>
          <w:rFonts w:ascii="Arial" w:cs="Arial" w:eastAsia="Arial" w:hAnsi="Arial"/>
          <w:sz w:val="17"/>
          <w:szCs w:val="17"/>
          <w:color w:val="auto"/>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23"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We may from time-to-time provide estimates, projections and other information concerning our industry, our business and the markets for our programs, product candidates and collaborations.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You should read this prospectus, any applicable prospectus supplement and any related free writing prospectus and the documents that we reference therein and have filed with the SEC as exhibits thereto completely and with the understanding that our actual future results may be materially different from any future results expressed or implied by these forward-looking statements. These estimates involve numerous assumptions, are subject to risks and uncertainties and are subject to change based on various factors, including those discussed under “Item 1A: Risk Factors” and elsewhere in our most recent Annual Report on Form 10-K, our subsequent Quarterly Reports on Form 10-Q and our Current Reports on Form 8-K, and the section of any accompanying prospectus supplement entitled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COMPANY</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60" w:lineRule="exact"/>
        <w:rPr>
          <w:sz w:val="20"/>
          <w:szCs w:val="20"/>
          <w:color w:val="auto"/>
        </w:rPr>
      </w:pPr>
    </w:p>
    <w:p>
      <w:pPr>
        <w:ind w:left="120" w:right="100"/>
        <w:spacing w:after="0" w:line="237" w:lineRule="auto"/>
        <w:rPr>
          <w:sz w:val="20"/>
          <w:szCs w:val="20"/>
          <w:color w:val="auto"/>
        </w:rPr>
      </w:pPr>
      <w:r>
        <w:rPr>
          <w:rFonts w:ascii="Arial" w:cs="Arial" w:eastAsia="Arial" w:hAnsi="Arial"/>
          <w:sz w:val="17"/>
          <w:szCs w:val="17"/>
          <w:color w:val="auto"/>
        </w:rPr>
        <w:t>Tango Therapeutics was founded with a clear mission: to discover the next wave of targeted therapies in oncology by addressing the specific genetic alterations that drive cancer. We develop new drugs directed at tumor suppressor gene loss in defined patient populations with high unmet medical need. Tumor suppressor gene loss remains a largely unaddressed target space specifically because these genetic events cannot be directly targeted. Our novel small molecules are designed to be selectively active in cancer cells with specific genetic alterations, killing those cancer cells while sparing normal cells. We also are extending this target space beyond the classic, cell-autonomous effects of tumor suppressor gene loss to include the discovery of novel targets that reverse tumor suppressor gene mediated immune evasion which prevents the immune system from recognizing and killing cancer cells. We believe our approach will provide the ability to deliver deep, durable target inhibition with favorable tolerability and safety profiles, thus potentially maximizing clinical benefit.</w:t>
      </w:r>
    </w:p>
    <w:p>
      <w:pPr>
        <w:spacing w:after="0" w:line="130" w:lineRule="exact"/>
        <w:rPr>
          <w:sz w:val="20"/>
          <w:szCs w:val="20"/>
          <w:color w:val="auto"/>
        </w:rPr>
      </w:pPr>
    </w:p>
    <w:p>
      <w:pPr>
        <w:ind w:left="120" w:right="280"/>
        <w:spacing w:after="0" w:line="267" w:lineRule="auto"/>
        <w:rPr>
          <w:sz w:val="20"/>
          <w:szCs w:val="20"/>
          <w:color w:val="auto"/>
        </w:rPr>
      </w:pPr>
      <w:r>
        <w:rPr>
          <w:rFonts w:ascii="Arial" w:cs="Arial" w:eastAsia="Arial" w:hAnsi="Arial"/>
          <w:sz w:val="17"/>
          <w:szCs w:val="17"/>
          <w:color w:val="auto"/>
        </w:rPr>
        <w:t>We are currently developing two MTA-cooperative PRMT5 inhibitors: TNG462 for non-CNS cancers, including pancreatic and lung cancer, and TNG456, our next-generation, brain-penetrant PRMT5 inhibitor, for CNS cancers, including GBM.</w:t>
      </w:r>
    </w:p>
    <w:p>
      <w:pPr>
        <w:spacing w:after="0" w:line="105" w:lineRule="exact"/>
        <w:rPr>
          <w:sz w:val="20"/>
          <w:szCs w:val="20"/>
          <w:color w:val="auto"/>
        </w:rPr>
      </w:pPr>
    </w:p>
    <w:p>
      <w:pPr>
        <w:ind w:left="120" w:right="100"/>
        <w:spacing w:after="0" w:line="249" w:lineRule="auto"/>
        <w:rPr>
          <w:sz w:val="20"/>
          <w:szCs w:val="20"/>
          <w:color w:val="auto"/>
        </w:rPr>
      </w:pPr>
      <w:r>
        <w:rPr>
          <w:rFonts w:ascii="Arial" w:cs="Arial" w:eastAsia="Arial" w:hAnsi="Arial"/>
          <w:sz w:val="17"/>
          <w:szCs w:val="17"/>
          <w:color w:val="auto"/>
        </w:rPr>
        <w:t>TNG260 is a first-in-class CoREST inhibitor, which in preclinical studies reversed the immune evasion effect of STK11 loss-of-function mutations. TNG260 has a favorable safety, tolerability and pharmacokinetic profile in dose escalation and clinical proof-of-mechanism has now been established based on pharmacodynamic data from on-treatment patient biopsies.</w:t>
      </w:r>
    </w:p>
    <w:p>
      <w:pPr>
        <w:spacing w:after="0" w:line="121"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TNG961 is a development candidate targeting HBS1L in FOCAD-deleted solid tumors. FOCAD deletion occurs in 20-40% of all MTAP-deleted cancers. FOCAD deletion is common in NSCLC, occurring in ~7% of these patients. 20-40% of cancers with MTAP deletion have a coincident FOCAD deletion on chromosome 9, and cancers with FOCAD deletion are dependent on HBS1L for mRNA processing, thus protein synthesis. By degrading HBS1L and disrupting the HBS1L/PELO complex, TNG961 causes tumor regression in FOCAD-deleted preclinical models of multiple histologies.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History and Information</w:t>
      </w:r>
    </w:p>
    <w:p>
      <w:pPr>
        <w:spacing w:after="0" w:line="60"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Tango Therapeutics, Inc. was incorporated in Delaware on May 21, 2020 under the name BCTG Acquisition Corp. On April 13, 2021, BCTG Acquisition Corp., BCTG Merger Sub Inc. and Tango Therapeutics, Inc. (now known as Tango Therapeutics Sub, Inc.) signed a definitive merger agreement (the “Merger Agreement”). Tango Therapeutics, Inc., prior to August 10, 2021, is referred to herein as Old Tango. Pursuant to the Merger Agreement, the business combination (“Business Combination”) was approved on August 9, 2021 by shareholders of BCTG Acquisition Corp. (“BCTG”), resulting in BCTG acquiring 100% of Old Tango’s issued and outstanding equity securities on August 10, 2021. As a result of the Business Combination, Tango Therapeutics, Inc. was renamed Tango Therapeutics Sub, Inc. (and is sometimes referred to as Old Tango) and BCTG was renamed “Tango Therapeutics, Inc.”</w:t>
      </w:r>
    </w:p>
    <w:p>
      <w:pPr>
        <w:spacing w:after="0" w:line="128" w:lineRule="exact"/>
        <w:rPr>
          <w:sz w:val="20"/>
          <w:szCs w:val="20"/>
          <w:color w:val="auto"/>
        </w:rPr>
      </w:pPr>
    </w:p>
    <w:p>
      <w:pPr>
        <w:jc w:val="both"/>
        <w:ind w:left="120" w:right="80"/>
        <w:spacing w:after="0" w:line="249" w:lineRule="auto"/>
        <w:rPr>
          <w:sz w:val="20"/>
          <w:szCs w:val="20"/>
          <w:color w:val="auto"/>
        </w:rPr>
      </w:pPr>
      <w:r>
        <w:rPr>
          <w:rFonts w:ascii="Arial" w:cs="Arial" w:eastAsia="Arial" w:hAnsi="Arial"/>
          <w:sz w:val="17"/>
          <w:szCs w:val="17"/>
          <w:color w:val="auto"/>
        </w:rPr>
        <w:t>Our principal corporate office is located at 201 Brookline Avenue, Suite 901, Boston, MA 02215, and our telephone number is 857-320-4900. Our website address is https://tangotx.com. We do not incorporate the information on or accessible through our website into this prospectus, and you should not consider any information on, or that can be accessed through, our website as part of this prospectus.</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140"/>
          </w:cols>
          <w:pgMar w:left="320" w:top="455"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316"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We currently intend to use the net proceeds from the sale of any security under this prospectus primarily for general corporate purposes, including funding working capital, operating expenses and to fund the research and development of our product candidates, including manufacturing and clinical trial expenses. We may also use the proceeds to make acquisitions or investments in businesses, products or technologies that are complementary to our own, although we have no current plans, commitments or agreements with respect to any acquisitions as of the date of this prospectus. Pending these uses, we may invest the net proceeds from this offering in short-term U.S. Treasury securities or other securities in accordance with our investment policy, or may hold such proceeds as cash, until they are used for their stated purpose. We have not determined the amount of net proceeds to be used specifically for such purposes. As a result, management will retain broad discretion over the allocation of net proceeds.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THAT MAY BE OFFERED</w:t>
      </w:r>
    </w:p>
    <w:p>
      <w:pPr>
        <w:spacing w:after="0" w:line="31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 This prospectus provides you with a general description of the securities we may offer. Each time we sell securities described herein, we will provide prospective investors with a supplement to this prospectus that will contain specific information about the terms of that offering, including the specific amounts, prices and terms of the securities offered. We may sell the securities to or through underwriters, dealers or agents, directly to purchasers or through a combination of any of these methods of sale or as otherwise set forth below under “</w:t>
      </w:r>
      <w:r>
        <w:rPr>
          <w:rFonts w:ascii="Arial" w:cs="Arial" w:eastAsia="Arial" w:hAnsi="Arial"/>
          <w:sz w:val="17"/>
          <w:szCs w:val="17"/>
          <w:i w:val="1"/>
          <w:iCs w:val="1"/>
          <w:color w:val="auto"/>
        </w:rPr>
        <w:t>Plan of Distribution</w:t>
      </w:r>
      <w:r>
        <w:rPr>
          <w:rFonts w:ascii="Arial" w:cs="Arial" w:eastAsia="Arial" w:hAnsi="Arial"/>
          <w:sz w:val="17"/>
          <w:szCs w:val="17"/>
          <w:color w:val="auto"/>
        </w:rPr>
        <w:t>.” We, as well as any agents acting on our behalf, reserve the sole right to accept and to reject in whole or in part any proposed purchase of securities. Any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2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318"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i w:val="1"/>
          <w:iCs w:val="1"/>
          <w:color w:val="auto"/>
        </w:rPr>
        <w:t>The following description of our capital stock is intended as a summary only and therefore is not a complete description of our capital stock. This description is based upon, and is qualified by reference to, our certificate of incorporation, our bylaws, and applicable provisions of Delaware corporate law. You should read our certificate of incorporation and our bylaws, in each case, as amended and supplemented, which are filed as exhibits to the registration statement of which this prospectus forms a part, for the provisions that are important to you.</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Authorized and Outstanding Stock</w:t>
      </w:r>
    </w:p>
    <w:p>
      <w:pPr>
        <w:spacing w:after="0" w:line="61" w:lineRule="exact"/>
        <w:rPr>
          <w:sz w:val="20"/>
          <w:szCs w:val="20"/>
          <w:color w:val="auto"/>
        </w:rPr>
      </w:pPr>
    </w:p>
    <w:p>
      <w:pPr>
        <w:ind w:left="120" w:right="280"/>
        <w:spacing w:after="0" w:line="267" w:lineRule="auto"/>
        <w:rPr>
          <w:sz w:val="20"/>
          <w:szCs w:val="20"/>
          <w:color w:val="auto"/>
        </w:rPr>
      </w:pPr>
      <w:r>
        <w:rPr>
          <w:rFonts w:ascii="Arial" w:cs="Arial" w:eastAsia="Arial" w:hAnsi="Arial"/>
          <w:sz w:val="17"/>
          <w:szCs w:val="17"/>
          <w:color w:val="auto"/>
        </w:rPr>
        <w:t>Our certificate of incorporation authorizes the issuance of 210,000,000 shares, consisting of 200,000,000 shares of common stock, $0.001 par value per share, and 10,000,000 shares of preferred stock, $0.001 par value, all of which shares of preferred stock are undesignated.</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Common Stock</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certificate of incorporation provides the following with respect to the rights, powers, preferences and privileges of the common stock.</w:t>
      </w:r>
    </w:p>
    <w:p>
      <w:pPr>
        <w:spacing w:after="0" w:line="156" w:lineRule="exact"/>
        <w:rPr>
          <w:sz w:val="20"/>
          <w:szCs w:val="20"/>
          <w:color w:val="auto"/>
        </w:rPr>
      </w:pPr>
    </w:p>
    <w:p>
      <w:pPr>
        <w:jc w:val="both"/>
        <w:ind w:left="120" w:right="80"/>
        <w:spacing w:after="0" w:line="249" w:lineRule="auto"/>
        <w:rPr>
          <w:sz w:val="20"/>
          <w:szCs w:val="20"/>
          <w:color w:val="auto"/>
        </w:rPr>
      </w:pPr>
      <w:r>
        <w:rPr>
          <w:rFonts w:ascii="Arial" w:cs="Arial" w:eastAsia="Arial" w:hAnsi="Arial"/>
          <w:sz w:val="17"/>
          <w:szCs w:val="17"/>
          <w:i w:val="1"/>
          <w:iCs w:val="1"/>
          <w:color w:val="auto"/>
        </w:rPr>
        <w:t xml:space="preserve">Voting Power. </w:t>
      </w:r>
      <w:r>
        <w:rPr>
          <w:rFonts w:ascii="Arial" w:cs="Arial" w:eastAsia="Arial" w:hAnsi="Arial"/>
          <w:sz w:val="17"/>
          <w:szCs w:val="17"/>
          <w:color w:val="auto"/>
        </w:rPr>
        <w:t>Except as otherwise required by law or as otherwise provided in any certificate of designation for any series of preferred stock, the</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of common stock possess all voting power for the election of Tango’s directors and all other matters requiring stockholder action. Holders of common stock are entitled to one vote per share on matters to be voted on by stockholders.</w:t>
      </w:r>
    </w:p>
    <w:p>
      <w:pPr>
        <w:spacing w:after="0" w:line="121" w:lineRule="exact"/>
        <w:rPr>
          <w:sz w:val="20"/>
          <w:szCs w:val="20"/>
          <w:color w:val="auto"/>
        </w:rPr>
      </w:pPr>
    </w:p>
    <w:p>
      <w:pPr>
        <w:ind w:left="120" w:right="380"/>
        <w:spacing w:after="0" w:line="249"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Holders of common stock will be entitled to receive such dividends, if any, as may be declared from time to time by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121" w:lineRule="exact"/>
        <w:rPr>
          <w:sz w:val="20"/>
          <w:szCs w:val="20"/>
          <w:color w:val="auto"/>
        </w:rPr>
      </w:pPr>
    </w:p>
    <w:p>
      <w:pPr>
        <w:ind w:left="120" w:right="560"/>
        <w:spacing w:after="0" w:line="249" w:lineRule="auto"/>
        <w:rPr>
          <w:sz w:val="20"/>
          <w:szCs w:val="20"/>
          <w:color w:val="auto"/>
        </w:rPr>
      </w:pPr>
      <w:r>
        <w:rPr>
          <w:rFonts w:ascii="Arial" w:cs="Arial" w:eastAsia="Arial" w:hAnsi="Arial"/>
          <w:sz w:val="17"/>
          <w:szCs w:val="17"/>
          <w:i w:val="1"/>
          <w:iCs w:val="1"/>
          <w:color w:val="auto"/>
        </w:rPr>
        <w:t xml:space="preserve">Liquidation, Dissolution and Winding Up. </w:t>
      </w:r>
      <w:r>
        <w:rPr>
          <w:rFonts w:ascii="Arial" w:cs="Arial" w:eastAsia="Arial" w:hAnsi="Arial"/>
          <w:sz w:val="17"/>
          <w:szCs w:val="17"/>
          <w:color w:val="auto"/>
        </w:rPr>
        <w:t>In the event of Tango’s voluntary or involuntary liquidation, dissolution, distribution of assets or</w:t>
      </w:r>
      <w:r>
        <w:rPr>
          <w:rFonts w:ascii="Arial" w:cs="Arial" w:eastAsia="Arial" w:hAnsi="Arial"/>
          <w:sz w:val="17"/>
          <w:szCs w:val="17"/>
          <w:i w:val="1"/>
          <w:iCs w:val="1"/>
          <w:color w:val="auto"/>
        </w:rPr>
        <w:t xml:space="preserve"> </w:t>
      </w:r>
      <w:r>
        <w:rPr>
          <w:rFonts w:ascii="Arial" w:cs="Arial" w:eastAsia="Arial" w:hAnsi="Arial"/>
          <w:sz w:val="17"/>
          <w:szCs w:val="17"/>
          <w:color w:val="auto"/>
        </w:rPr>
        <w:t>winding-up, the holders of the common stock will be entitled to receive an equal amount per share of all of Tango’s assets of whatever kind available for distribution to stockholders, after the rights of the holders of the preferred stock have been satisfied.</w:t>
      </w:r>
    </w:p>
    <w:p>
      <w:pPr>
        <w:spacing w:after="0" w:line="121"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i w:val="1"/>
          <w:iCs w:val="1"/>
          <w:color w:val="auto"/>
        </w:rPr>
        <w:t xml:space="preserve">Preemptive or Other Rights. </w:t>
      </w:r>
      <w:r>
        <w:rPr>
          <w:rFonts w:ascii="Arial" w:cs="Arial" w:eastAsia="Arial" w:hAnsi="Arial"/>
          <w:sz w:val="17"/>
          <w:szCs w:val="17"/>
          <w:color w:val="auto"/>
        </w:rPr>
        <w:t>Our common stock has no preemptive rights, conversion rights or other subscription rights or redemption or sinking</w:t>
      </w:r>
      <w:r>
        <w:rPr>
          <w:rFonts w:ascii="Arial" w:cs="Arial" w:eastAsia="Arial" w:hAnsi="Arial"/>
          <w:sz w:val="17"/>
          <w:szCs w:val="17"/>
          <w:i w:val="1"/>
          <w:iCs w:val="1"/>
          <w:color w:val="auto"/>
        </w:rPr>
        <w:t xml:space="preserve"> </w:t>
      </w:r>
      <w:r>
        <w:rPr>
          <w:rFonts w:ascii="Arial" w:cs="Arial" w:eastAsia="Arial" w:hAnsi="Arial"/>
          <w:sz w:val="17"/>
          <w:szCs w:val="17"/>
          <w:color w:val="auto"/>
        </w:rPr>
        <w:t>fund provisions.</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Listing of Securities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common stock is listed on the Nasdaq Global Market under the symbol “TNGX”.</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Transfer Agent</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transfer agent for our common stock is Computershare Trust Company, N.A.</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Preferred stock</w:t>
      </w:r>
    </w:p>
    <w:p>
      <w:pPr>
        <w:spacing w:after="0" w:line="75"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Our board of directors will have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convertible preferred stock are outstanding, and we have no present plan to issue any shares of convertible preferred stock.</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00"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Certain of our stockholders (“Holders”) hold registration rights pursuant to an amended and restated registration and stockholder rights agreement (the “Amended and Restated Registration and Stockholder Rights Agreement”).</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Stockholders holding a majority-in-interest of such registrable securities are entitled to make a written demand for registration under the Securities Act of 1933, as amended (the “Securities Act”), of all or part of their registrable securities.</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particular, the Amended and Restated Registration and Stockholder Rights Agreement provides for the following registration rights:</w:t>
      </w:r>
    </w:p>
    <w:p>
      <w:pPr>
        <w:spacing w:after="0" w:line="196" w:lineRule="exact"/>
        <w:rPr>
          <w:sz w:val="20"/>
          <w:szCs w:val="20"/>
          <w:color w:val="auto"/>
        </w:rPr>
      </w:pPr>
    </w:p>
    <w:p>
      <w:pPr>
        <w:ind w:left="980" w:right="80" w:hanging="432"/>
        <w:spacing w:after="0" w:line="239" w:lineRule="auto"/>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i w:val="1"/>
          <w:iCs w:val="1"/>
          <w:color w:val="auto"/>
        </w:rPr>
        <w:t>Shelf registration/demand registration rights</w:t>
      </w:r>
      <w:r>
        <w:rPr>
          <w:rFonts w:ascii="Arial" w:cs="Arial" w:eastAsia="Arial" w:hAnsi="Arial"/>
          <w:sz w:val="17"/>
          <w:szCs w:val="17"/>
          <w:color w:val="auto"/>
        </w:rPr>
        <w:t>. At any time and from time to time when an effective shelf registration statement is on file</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SEC, a Holder may request to sell all or any portion of such Holder’s registrable securities by means of an underwritten takedown off of the shelf registration statement, except that we are only obligated to effect such underwritten shelf takedown if such offering will include registrable securities proposed to be sold by the requesting Holder, either individually or together with other requesting Holders, with a total offering price reasonably expected to exceed, in the aggregate, $20.0 million. Additionally, we are not required to effect more than one underwritten shelf takedown in any six-month period.</w:t>
      </w:r>
    </w:p>
    <w:p>
      <w:pPr>
        <w:spacing w:after="0" w:line="6" w:lineRule="exact"/>
        <w:rPr>
          <w:rFonts w:ascii="MS PGothic" w:cs="MS PGothic" w:eastAsia="MS PGothic" w:hAnsi="MS PGothic"/>
          <w:sz w:val="13"/>
          <w:szCs w:val="13"/>
          <w:color w:val="auto"/>
        </w:rPr>
      </w:pPr>
    </w:p>
    <w:p>
      <w:pPr>
        <w:ind w:left="980" w:right="20" w:hanging="432"/>
        <w:spacing w:after="0" w:line="243" w:lineRule="auto"/>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i w:val="1"/>
          <w:iCs w:val="1"/>
          <w:color w:val="auto"/>
        </w:rPr>
        <w:t>Piggyback registration rights</w:t>
      </w:r>
      <w:r>
        <w:rPr>
          <w:rFonts w:ascii="Arial" w:cs="Arial" w:eastAsia="Arial" w:hAnsi="Arial"/>
          <w:sz w:val="17"/>
          <w:szCs w:val="17"/>
          <w:color w:val="auto"/>
        </w:rPr>
        <w:t>. Subject to exceptions for certain offerings and registration statements, if at any time, we propose to file a</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under the Securities Act, in connection with an offering of our equity securities or securities or other obligations exercisable or exchangeable for, or convertible into, our equity securities, either for our own account or for the account of other stockholders, the Holders are entitled to include their registrable securities in such registration statement.</w:t>
      </w:r>
    </w:p>
    <w:p>
      <w:pPr>
        <w:spacing w:after="0" w:line="4" w:lineRule="exact"/>
        <w:rPr>
          <w:rFonts w:ascii="MS PGothic" w:cs="MS PGothic" w:eastAsia="MS PGothic" w:hAnsi="MS PGothic"/>
          <w:sz w:val="13"/>
          <w:szCs w:val="13"/>
          <w:color w:val="auto"/>
        </w:rPr>
      </w:pPr>
    </w:p>
    <w:p>
      <w:pPr>
        <w:ind w:left="980" w:right="520" w:hanging="432"/>
        <w:spacing w:after="0" w:line="244" w:lineRule="auto"/>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i w:val="1"/>
          <w:iCs w:val="1"/>
          <w:color w:val="auto"/>
        </w:rPr>
        <w:t>Indemnification</w:t>
      </w:r>
      <w:r>
        <w:rPr>
          <w:rFonts w:ascii="Arial" w:cs="Arial" w:eastAsia="Arial" w:hAnsi="Arial"/>
          <w:sz w:val="17"/>
          <w:szCs w:val="17"/>
          <w:color w:val="auto"/>
        </w:rPr>
        <w:t>. The Amended and Restated Registration and Stockholder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Expiration of Registration Rights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registration rights granted under the Amended and Restated Registration and Stockholder Rights Agreement will terminate on the earlier of</w:t>
      </w:r>
    </w:p>
    <w:p>
      <w:pPr>
        <w:spacing w:after="0" w:line="10" w:lineRule="exact"/>
        <w:rPr>
          <w:sz w:val="20"/>
          <w:szCs w:val="20"/>
          <w:color w:val="auto"/>
        </w:rPr>
      </w:pPr>
    </w:p>
    <w:p>
      <w:pPr>
        <w:ind w:left="120" w:right="700" w:hanging="4"/>
        <w:spacing w:after="0" w:line="248" w:lineRule="auto"/>
        <w:tabs>
          <w:tab w:leader="none" w:pos="319"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10th anniversary of the date of the agreement and (ii) with respect to any Holder, on the date that such Holder no longer holds any Registrable Securities.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our Certificate of Incorporation and Bylaws and Delaware Law</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Certificate of Incorporation and Bylaws</w:t>
      </w:r>
    </w:p>
    <w:p>
      <w:pPr>
        <w:spacing w:after="0" w:line="39" w:lineRule="exact"/>
        <w:rPr>
          <w:sz w:val="20"/>
          <w:szCs w:val="20"/>
          <w:color w:val="auto"/>
        </w:rPr>
      </w:pPr>
    </w:p>
    <w:p>
      <w:pPr>
        <w:ind w:left="120" w:right="200"/>
        <w:spacing w:after="0" w:line="246" w:lineRule="auto"/>
        <w:rPr>
          <w:sz w:val="20"/>
          <w:szCs w:val="20"/>
          <w:color w:val="auto"/>
        </w:rPr>
      </w:pPr>
      <w:r>
        <w:rPr>
          <w:rFonts w:ascii="Arial" w:cs="Arial" w:eastAsia="Arial" w:hAnsi="Arial"/>
          <w:sz w:val="17"/>
          <w:szCs w:val="17"/>
          <w:color w:val="auto"/>
        </w:rPr>
        <w:t>Our certificate of incorporation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63" w:lineRule="exact"/>
        <w:rPr>
          <w:sz w:val="20"/>
          <w:szCs w:val="20"/>
          <w:color w:val="auto"/>
        </w:rPr>
      </w:pPr>
    </w:p>
    <w:p>
      <w:pPr>
        <w:ind w:left="980" w:right="200" w:hanging="432"/>
        <w:spacing w:after="0" w:line="253" w:lineRule="auto"/>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permit our board of directors to issue up to 10,000,000 shares of preferred stock, with any rights, preferences and privileges as they may designate, including the right to approve an acquisition or other change of control;</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provide that the authorized number of directors may be changed only by resolution of our board of directors;</w:t>
      </w:r>
    </w:p>
    <w:p>
      <w:pPr>
        <w:spacing w:after="0" w:line="34" w:lineRule="exact"/>
        <w:rPr>
          <w:rFonts w:ascii="MS PGothic" w:cs="MS PGothic" w:eastAsia="MS PGothic" w:hAnsi="MS PGothic"/>
          <w:sz w:val="13"/>
          <w:szCs w:val="13"/>
          <w:color w:val="auto"/>
        </w:rPr>
      </w:pPr>
    </w:p>
    <w:p>
      <w:pPr>
        <w:jc w:val="both"/>
        <w:ind w:left="980" w:right="180" w:hanging="432"/>
        <w:spacing w:after="0" w:line="253" w:lineRule="auto"/>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provide that, subject to the rights of any series of preferred stock to elect directors, directors may be removed only with cause by the holders of at least two thirds (2/3) of all of our then-outstanding shares of the capital stock entitled to vote at an election of directors;</w:t>
      </w:r>
    </w:p>
    <w:p>
      <w:pPr>
        <w:spacing w:after="0" w:line="6" w:lineRule="exact"/>
        <w:rPr>
          <w:rFonts w:ascii="MS PGothic" w:cs="MS PGothic" w:eastAsia="MS PGothic" w:hAnsi="MS PGothic"/>
          <w:sz w:val="13"/>
          <w:szCs w:val="13"/>
          <w:color w:val="auto"/>
        </w:rPr>
      </w:pPr>
    </w:p>
    <w:p>
      <w:pPr>
        <w:ind w:left="980" w:right="20" w:hanging="432"/>
        <w:spacing w:after="0" w:line="246" w:lineRule="auto"/>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provide that, subject to the rights of any series of preferred stock to fill director vacancies, all director vacancies, including newly created directorships, may, except as otherwise required by law, be filled by the affirmative vote of a majority of directors then in office, even if less than a quorum;</w:t>
      </w:r>
    </w:p>
    <w:p>
      <w:pPr>
        <w:spacing w:after="0" w:line="6" w:lineRule="exact"/>
        <w:rPr>
          <w:rFonts w:ascii="MS PGothic" w:cs="MS PGothic" w:eastAsia="MS PGothic" w:hAnsi="MS PGothic"/>
          <w:sz w:val="13"/>
          <w:szCs w:val="13"/>
          <w:color w:val="auto"/>
        </w:rPr>
      </w:pPr>
    </w:p>
    <w:p>
      <w:pPr>
        <w:ind w:left="980" w:right="360" w:hanging="432"/>
        <w:spacing w:after="0" w:line="246" w:lineRule="auto"/>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6" w:lineRule="exact"/>
        <w:rPr>
          <w:rFonts w:ascii="MS PGothic" w:cs="MS PGothic" w:eastAsia="MS PGothic" w:hAnsi="MS PGothic"/>
          <w:sz w:val="13"/>
          <w:szCs w:val="13"/>
          <w:color w:val="auto"/>
        </w:rPr>
      </w:pPr>
    </w:p>
    <w:p>
      <w:pPr>
        <w:ind w:left="980" w:right="560" w:hanging="432"/>
        <w:spacing w:after="0" w:line="267" w:lineRule="auto"/>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provide that special meetings of our stockholders may be called by our board of directors pursuant to a resolution adopted by a majority of the total number of directors then in office;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980" w:right="140" w:hanging="432"/>
        <w:spacing w:after="0" w:line="253" w:lineRule="auto"/>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provide that our board of directors will be divided into three classes of directors, with the directors serving three-year terms, therefore making it more difficult for stockholders to change the composition of our board of directors;</w:t>
      </w:r>
    </w:p>
    <w:p>
      <w:pPr>
        <w:spacing w:after="0" w:line="6" w:lineRule="exact"/>
        <w:rPr>
          <w:rFonts w:ascii="MS PGothic" w:cs="MS PGothic" w:eastAsia="MS PGothic" w:hAnsi="MS PGothic"/>
          <w:sz w:val="13"/>
          <w:szCs w:val="13"/>
          <w:color w:val="auto"/>
        </w:rPr>
      </w:pPr>
    </w:p>
    <w:p>
      <w:pPr>
        <w:ind w:left="980" w:right="100" w:hanging="432"/>
        <w:spacing w:after="0" w:line="239" w:lineRule="auto"/>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provide that 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certificate of incorporation must be approved by not less than two-thirds of the outstanding shares entitled to vote on the amendment, and not less than two-thirds of the outstanding shares of each class entitled to vote thereon as a class;</w:t>
      </w:r>
    </w:p>
    <w:p>
      <w:pPr>
        <w:spacing w:after="0" w:line="6" w:lineRule="exact"/>
        <w:rPr>
          <w:rFonts w:ascii="MS PGothic" w:cs="MS PGothic" w:eastAsia="MS PGothic" w:hAnsi="MS PGothic"/>
          <w:sz w:val="13"/>
          <w:szCs w:val="13"/>
          <w:color w:val="auto"/>
        </w:rPr>
      </w:pPr>
    </w:p>
    <w:p>
      <w:pPr>
        <w:ind w:left="980" w:right="200" w:hanging="432"/>
        <w:spacing w:after="0"/>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our Bylaws may be amended by the affirmative vote of a majority of the directors then in office, subject to any limitations set forth by law or in the bylaws; and may also be amended by the affirmative vote of 75% of the outstanding shares entitled to vote on the amendment; provided, however, if our board of directors recommends such amendment to be voted on at a meeting of the stockholders, such amendment only requires the affirmative vote of the majority of the outstanding shares entitled to vote on such amendment and</w:t>
      </w:r>
    </w:p>
    <w:p>
      <w:pPr>
        <w:spacing w:after="0" w:line="8" w:lineRule="exact"/>
        <w:rPr>
          <w:rFonts w:ascii="MS PGothic" w:cs="MS PGothic" w:eastAsia="MS PGothic" w:hAnsi="MS PGothic"/>
          <w:sz w:val="13"/>
          <w:szCs w:val="13"/>
          <w:color w:val="auto"/>
        </w:rPr>
      </w:pPr>
    </w:p>
    <w:p>
      <w:pPr>
        <w:ind w:left="980" w:right="180" w:hanging="432"/>
        <w:spacing w:after="0" w:line="267" w:lineRule="auto"/>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Delaware Anti-Takeover Law</w:t>
      </w:r>
    </w:p>
    <w:p>
      <w:pPr>
        <w:spacing w:after="0" w:line="39" w:lineRule="exact"/>
        <w:rPr>
          <w:sz w:val="20"/>
          <w:szCs w:val="20"/>
          <w:color w:val="auto"/>
        </w:rPr>
      </w:pPr>
    </w:p>
    <w:p>
      <w:pPr>
        <w:jc w:val="both"/>
        <w:ind w:left="120" w:right="400"/>
        <w:spacing w:after="0" w:line="246" w:lineRule="auto"/>
        <w:rPr>
          <w:sz w:val="20"/>
          <w:szCs w:val="20"/>
          <w:color w:val="auto"/>
        </w:rPr>
      </w:pPr>
      <w:r>
        <w:rPr>
          <w:rFonts w:ascii="Arial" w:cs="Arial" w:eastAsia="Arial" w:hAnsi="Arial"/>
          <w:sz w:val="17"/>
          <w:szCs w:val="17"/>
          <w:color w:val="auto"/>
        </w:rPr>
        <w:t>Tango has opted out of Section 203 of the Delaware General Corporation Law (the “DGCL”). Section 203 of the DGCL prohibits a Delaware corporation from engaging in a “business combination” with an “interested stockholder” (i.e. a stockholder owning 15% or more of company’s voting stock) for three years following the time that the “interested stockholder” becomes such, subject to certain exceptions.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Exclusive Jurisdiction of Certain Actions</w:t>
      </w:r>
    </w:p>
    <w:p>
      <w:pPr>
        <w:spacing w:after="0" w:line="3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Our bylaws require, to the fullest extent permitted by law, unless we consent in writing to the selection of an alternative forum, that derivative actions brought in the name of Tango, actions against any current or former directors, officers and employees for breach of fiduciary duty, actions asserting a claim arising pursuant to any provision of the DGCL or our certificate of incorporation or our bylaws, actions to interpret, apply, enforce or determine the validity of our certificate of incorporation or our bylaws and actions asserting a claim governed by the internal affairs doctrine may be brought only in the Court of Chancery in the State of Delaware (the “Delaware Forum Provision”). The Delaware Forum Provision will not apply to any causes of action arising under the Securities Act and the Securities Exchange Act of 1934. Our bylaws further provide that unless we consent in writing to the selection of an alternative forum, the federal district courts of the United States shall be the sole and exclusive forum for resolving any complaint asserting a cause of action arising under the Securities Act. We refer to such provision as the Federal Forum Provision.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DEBT SECURITIES</w:t>
      </w:r>
    </w:p>
    <w:p>
      <w:pPr>
        <w:spacing w:after="0" w:line="316" w:lineRule="exact"/>
        <w:rPr>
          <w:sz w:val="20"/>
          <w:szCs w:val="20"/>
          <w:color w:val="auto"/>
        </w:rPr>
      </w:pPr>
    </w:p>
    <w:p>
      <w:pPr>
        <w:ind w:left="120" w:right="60"/>
        <w:spacing w:after="0" w:line="239" w:lineRule="auto"/>
        <w:rPr>
          <w:sz w:val="20"/>
          <w:szCs w:val="20"/>
          <w:color w:val="auto"/>
        </w:rPr>
      </w:pPr>
      <w:r>
        <w:rPr>
          <w:rFonts w:ascii="Arial" w:cs="Arial" w:eastAsia="Arial" w:hAnsi="Arial"/>
          <w:sz w:val="17"/>
          <w:szCs w:val="17"/>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28"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26" w:lineRule="exact"/>
        <w:rPr>
          <w:sz w:val="20"/>
          <w:szCs w:val="20"/>
          <w:color w:val="auto"/>
        </w:rPr>
      </w:pPr>
    </w:p>
    <w:p>
      <w:pPr>
        <w:ind w:left="120" w:right="20"/>
        <w:spacing w:after="0" w:line="244" w:lineRule="auto"/>
        <w:rPr>
          <w:sz w:val="20"/>
          <w:szCs w:val="20"/>
          <w:color w:val="auto"/>
        </w:rPr>
      </w:pPr>
      <w:r>
        <w:rPr>
          <w:rFonts w:ascii="Arial" w:cs="Arial" w:eastAsia="Arial" w:hAnsi="Arial"/>
          <w:sz w:val="17"/>
          <w:szCs w:val="17"/>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60" w:lineRule="exact"/>
        <w:rPr>
          <w:sz w:val="20"/>
          <w:szCs w:val="20"/>
          <w:color w:val="auto"/>
        </w:rPr>
      </w:pPr>
    </w:p>
    <w:p>
      <w:pPr>
        <w:ind w:left="120" w:right="200"/>
        <w:spacing w:after="0" w:line="241" w:lineRule="auto"/>
        <w:rPr>
          <w:sz w:val="20"/>
          <w:szCs w:val="20"/>
          <w:color w:val="auto"/>
        </w:rPr>
      </w:pPr>
      <w:r>
        <w:rPr>
          <w:rFonts w:ascii="Arial" w:cs="Arial" w:eastAsia="Arial" w:hAnsi="Arial"/>
          <w:sz w:val="17"/>
          <w:szCs w:val="17"/>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26" w:lineRule="exact"/>
        <w:rPr>
          <w:sz w:val="20"/>
          <w:szCs w:val="20"/>
          <w:color w:val="auto"/>
        </w:rPr>
      </w:pPr>
    </w:p>
    <w:p>
      <w:pPr>
        <w:ind w:left="120" w:right="20"/>
        <w:spacing w:after="0" w:line="241" w:lineRule="auto"/>
        <w:rPr>
          <w:sz w:val="20"/>
          <w:szCs w:val="20"/>
          <w:color w:val="auto"/>
        </w:rPr>
      </w:pPr>
      <w:r>
        <w:rPr>
          <w:rFonts w:ascii="Arial" w:cs="Arial" w:eastAsia="Arial" w:hAnsi="Arial"/>
          <w:sz w:val="17"/>
          <w:szCs w:val="17"/>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will describe in the applicable prospectus supplement the terms of the series of debt securities being offered, including:</w:t>
      </w:r>
    </w:p>
    <w:p>
      <w:pPr>
        <w:spacing w:after="0" w:line="196" w:lineRule="exact"/>
        <w:rPr>
          <w:sz w:val="20"/>
          <w:szCs w:val="20"/>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the title of the series of debt securities;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any limit upon the aggregate principal amount that may be issued;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the maturity date or 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the form of the debt securities of the series;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the applicability of any guarantees;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whether or not the debt securities will be secured or unsecured, and the terms of any secured debt;</w:t>
      </w:r>
    </w:p>
    <w:p>
      <w:pPr>
        <w:spacing w:after="0" w:line="34" w:lineRule="exact"/>
        <w:rPr>
          <w:rFonts w:ascii="MS PGothic" w:cs="MS PGothic" w:eastAsia="MS PGothic" w:hAnsi="MS PGothic"/>
          <w:sz w:val="13"/>
          <w:szCs w:val="13"/>
          <w:color w:val="auto"/>
        </w:rPr>
      </w:pPr>
    </w:p>
    <w:p>
      <w:pPr>
        <w:ind w:left="980" w:right="420" w:hanging="432"/>
        <w:spacing w:after="0" w:line="253"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whether the debt securities rank as senior debt, senior subordinated debt, subordinated debt or any combination thereof, and the terms of any subordination;</w:t>
      </w:r>
    </w:p>
    <w:p>
      <w:pPr>
        <w:spacing w:after="0" w:line="6" w:lineRule="exact"/>
        <w:rPr>
          <w:rFonts w:ascii="MS PGothic" w:cs="MS PGothic" w:eastAsia="MS PGothic" w:hAnsi="MS PGothic"/>
          <w:sz w:val="13"/>
          <w:szCs w:val="13"/>
          <w:color w:val="auto"/>
        </w:rPr>
      </w:pPr>
    </w:p>
    <w:p>
      <w:pPr>
        <w:ind w:left="980" w:right="80" w:hanging="432"/>
        <w:spacing w:after="0" w:line="244"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980" w:right="140" w:hanging="432"/>
        <w:spacing w:after="0" w:line="246" w:lineRule="auto"/>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our right, if any, to defer payment of interest and the maximum length of any such deferral period;</w:t>
      </w:r>
    </w:p>
    <w:p>
      <w:pPr>
        <w:spacing w:after="0" w:line="34" w:lineRule="exact"/>
        <w:rPr>
          <w:rFonts w:ascii="MS PGothic" w:cs="MS PGothic" w:eastAsia="MS PGothic" w:hAnsi="MS PGothic"/>
          <w:sz w:val="13"/>
          <w:szCs w:val="13"/>
          <w:color w:val="auto"/>
        </w:rPr>
      </w:pPr>
    </w:p>
    <w:p>
      <w:pPr>
        <w:jc w:val="both"/>
        <w:ind w:left="980" w:right="460" w:hanging="432"/>
        <w:spacing w:after="0" w:line="246" w:lineRule="auto"/>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6" w:lineRule="exact"/>
        <w:rPr>
          <w:rFonts w:ascii="MS PGothic" w:cs="MS PGothic" w:eastAsia="MS PGothic" w:hAnsi="MS PGothic"/>
          <w:sz w:val="13"/>
          <w:szCs w:val="13"/>
          <w:color w:val="auto"/>
        </w:rPr>
      </w:pPr>
    </w:p>
    <w:p>
      <w:pPr>
        <w:ind w:left="980" w:hanging="432"/>
        <w:spacing w:after="0" w:line="246" w:lineRule="auto"/>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6" w:lineRule="exact"/>
        <w:rPr>
          <w:rFonts w:ascii="MS PGothic" w:cs="MS PGothic" w:eastAsia="MS PGothic" w:hAnsi="MS PGothic"/>
          <w:sz w:val="13"/>
          <w:szCs w:val="13"/>
          <w:color w:val="auto"/>
        </w:rPr>
      </w:pPr>
    </w:p>
    <w:p>
      <w:pPr>
        <w:ind w:left="980" w:right="140" w:hanging="432"/>
        <w:spacing w:after="0" w:line="253" w:lineRule="auto"/>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denominations in which we will issue the series of debt securities, if other than denominations of $1,000 and any integral multiple thereof;</w:t>
      </w:r>
    </w:p>
    <w:p>
      <w:pPr>
        <w:spacing w:after="0" w:line="6" w:lineRule="exact"/>
        <w:rPr>
          <w:rFonts w:ascii="MS PGothic" w:cs="MS PGothic" w:eastAsia="MS PGothic" w:hAnsi="MS PGothic"/>
          <w:sz w:val="13"/>
          <w:szCs w:val="13"/>
          <w:color w:val="auto"/>
        </w:rPr>
      </w:pPr>
    </w:p>
    <w:p>
      <w:pPr>
        <w:ind w:left="980" w:right="120" w:hanging="432"/>
        <w:spacing w:after="0" w:line="246" w:lineRule="auto"/>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6" w:lineRule="exact"/>
        <w:rPr>
          <w:rFonts w:ascii="MS PGothic" w:cs="MS PGothic" w:eastAsia="MS PGothic" w:hAnsi="MS PGothic"/>
          <w:sz w:val="13"/>
          <w:szCs w:val="13"/>
          <w:color w:val="auto"/>
        </w:rPr>
      </w:pPr>
    </w:p>
    <w:p>
      <w:pPr>
        <w:ind w:left="980" w:right="120" w:hanging="432"/>
        <w:spacing w:after="0" w:line="246" w:lineRule="auto"/>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6" w:lineRule="exact"/>
        <w:rPr>
          <w:rFonts w:ascii="MS PGothic" w:cs="MS PGothic" w:eastAsia="MS PGothic" w:hAnsi="MS PGothic"/>
          <w:sz w:val="13"/>
          <w:szCs w:val="13"/>
          <w:color w:val="auto"/>
        </w:rPr>
      </w:pPr>
    </w:p>
    <w:p>
      <w:pPr>
        <w:ind w:left="980" w:right="40" w:hanging="432"/>
        <w:spacing w:after="0" w:line="243" w:lineRule="auto"/>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4" w:lineRule="exact"/>
        <w:rPr>
          <w:rFonts w:ascii="MS PGothic" w:cs="MS PGothic" w:eastAsia="MS PGothic" w:hAnsi="MS PGothic"/>
          <w:sz w:val="13"/>
          <w:szCs w:val="13"/>
          <w:color w:val="auto"/>
        </w:rPr>
      </w:pPr>
    </w:p>
    <w:p>
      <w:pPr>
        <w:ind w:left="980" w:right="40" w:hanging="432"/>
        <w:spacing w:after="0" w:line="253" w:lineRule="auto"/>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if other than the full principal amount thereof, the portion of the principal amount of debt securities of the series which shall be payable upon declaration of acceleration of the maturity thereof;</w:t>
      </w:r>
    </w:p>
    <w:p>
      <w:pPr>
        <w:spacing w:after="0" w:line="6" w:lineRule="exact"/>
        <w:rPr>
          <w:rFonts w:ascii="MS PGothic" w:cs="MS PGothic" w:eastAsia="MS PGothic" w:hAnsi="MS PGothic"/>
          <w:sz w:val="13"/>
          <w:szCs w:val="13"/>
          <w:color w:val="auto"/>
        </w:rPr>
      </w:pPr>
    </w:p>
    <w:p>
      <w:pPr>
        <w:ind w:left="980" w:right="640" w:hanging="432"/>
        <w:spacing w:after="0" w:line="253" w:lineRule="auto"/>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additions to or changes in the covenants applicable to the particular debt securities being issued, including, among others, the consolidation, merger or sale covenant;</w:t>
      </w:r>
    </w:p>
    <w:p>
      <w:pPr>
        <w:spacing w:after="0" w:line="6" w:lineRule="exact"/>
        <w:rPr>
          <w:rFonts w:ascii="MS PGothic" w:cs="MS PGothic" w:eastAsia="MS PGothic" w:hAnsi="MS PGothic"/>
          <w:sz w:val="13"/>
          <w:szCs w:val="13"/>
          <w:color w:val="auto"/>
        </w:rPr>
      </w:pPr>
    </w:p>
    <w:p>
      <w:pPr>
        <w:ind w:left="980" w:right="160" w:hanging="432"/>
        <w:spacing w:after="0" w:line="253" w:lineRule="auto"/>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additions to or changes in or deletions of the provisions relating to covenant defeasance and legal defeasance;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additions to or changes in the provisions relating to satisfaction and discharge of the indenture;</w:t>
      </w:r>
    </w:p>
    <w:p>
      <w:pPr>
        <w:spacing w:after="0" w:line="34" w:lineRule="exact"/>
        <w:rPr>
          <w:rFonts w:ascii="MS PGothic" w:cs="MS PGothic" w:eastAsia="MS PGothic" w:hAnsi="MS PGothic"/>
          <w:sz w:val="13"/>
          <w:szCs w:val="13"/>
          <w:color w:val="auto"/>
        </w:rPr>
      </w:pPr>
    </w:p>
    <w:p>
      <w:pPr>
        <w:ind w:left="980" w:right="240" w:hanging="432"/>
        <w:spacing w:after="0" w:line="253" w:lineRule="auto"/>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additions to or changes in the provisions relating to the modification of the indenture both with and without the consent of holders of debt securities issued under the indenture;</w:t>
      </w:r>
    </w:p>
    <w:p>
      <w:pPr>
        <w:spacing w:after="0" w:line="6" w:lineRule="exact"/>
        <w:rPr>
          <w:rFonts w:ascii="MS PGothic" w:cs="MS PGothic" w:eastAsia="MS PGothic" w:hAnsi="MS PGothic"/>
          <w:sz w:val="13"/>
          <w:szCs w:val="13"/>
          <w:color w:val="auto"/>
        </w:rPr>
      </w:pPr>
    </w:p>
    <w:p>
      <w:pPr>
        <w:ind w:left="980" w:right="420" w:hanging="432"/>
        <w:spacing w:after="0" w:line="253" w:lineRule="auto"/>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currency of payment of debt securities if other than U.S. dollars and the manner of determining the equivalent amount in U.S. dollars;</w:t>
      </w:r>
    </w:p>
    <w:p>
      <w:pPr>
        <w:spacing w:after="0" w:line="6" w:lineRule="exact"/>
        <w:rPr>
          <w:rFonts w:ascii="MS PGothic" w:cs="MS PGothic" w:eastAsia="MS PGothic" w:hAnsi="MS PGothic"/>
          <w:sz w:val="13"/>
          <w:szCs w:val="13"/>
          <w:color w:val="auto"/>
        </w:rPr>
      </w:pPr>
    </w:p>
    <w:p>
      <w:pPr>
        <w:ind w:left="980" w:right="240" w:hanging="432"/>
        <w:spacing w:after="0" w:line="253" w:lineRule="auto"/>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whether interest will be payable in cash or additional debt securities at our or the holders’ option and the terms and conditions upon which the election may be made;</w:t>
      </w:r>
    </w:p>
    <w:p>
      <w:pPr>
        <w:spacing w:after="0" w:line="6" w:lineRule="exact"/>
        <w:rPr>
          <w:rFonts w:ascii="MS PGothic" w:cs="MS PGothic" w:eastAsia="MS PGothic" w:hAnsi="MS PGothic"/>
          <w:sz w:val="13"/>
          <w:szCs w:val="13"/>
          <w:color w:val="auto"/>
        </w:rPr>
      </w:pPr>
    </w:p>
    <w:p>
      <w:pPr>
        <w:ind w:left="980" w:right="560" w:hanging="432"/>
        <w:spacing w:after="0" w:line="253" w:lineRule="auto"/>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any restrictions on transfer, sale or assignment of the debt securities of the series; and</w:t>
      </w:r>
    </w:p>
    <w:p>
      <w:pPr>
        <w:spacing w:after="0" w:line="34" w:lineRule="exact"/>
        <w:rPr>
          <w:rFonts w:ascii="MS PGothic" w:cs="MS PGothic" w:eastAsia="MS PGothic" w:hAnsi="MS PGothic"/>
          <w:sz w:val="13"/>
          <w:szCs w:val="13"/>
          <w:color w:val="auto"/>
        </w:rPr>
      </w:pPr>
    </w:p>
    <w:p>
      <w:pPr>
        <w:ind w:left="980" w:right="180" w:hanging="432"/>
        <w:spacing w:after="0" w:line="267" w:lineRule="auto"/>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or Exchange Rights</w:t>
      </w:r>
    </w:p>
    <w:p>
      <w:pPr>
        <w:spacing w:after="0" w:line="60" w:lineRule="exact"/>
        <w:rPr>
          <w:sz w:val="20"/>
          <w:szCs w:val="20"/>
          <w:color w:val="auto"/>
        </w:rPr>
      </w:pPr>
    </w:p>
    <w:p>
      <w:pPr>
        <w:ind w:left="120" w:right="20"/>
        <w:spacing w:after="0" w:line="244" w:lineRule="auto"/>
        <w:rPr>
          <w:sz w:val="20"/>
          <w:szCs w:val="20"/>
          <w:color w:val="auto"/>
        </w:rPr>
      </w:pPr>
      <w:r>
        <w:rPr>
          <w:rFonts w:ascii="Arial" w:cs="Arial" w:eastAsia="Arial" w:hAnsi="Arial"/>
          <w:sz w:val="17"/>
          <w:szCs w:val="17"/>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or Sale</w:t>
      </w:r>
    </w:p>
    <w:p>
      <w:pPr>
        <w:spacing w:after="0" w:line="60" w:lineRule="exact"/>
        <w:rPr>
          <w:sz w:val="20"/>
          <w:szCs w:val="20"/>
          <w:color w:val="auto"/>
        </w:rPr>
      </w:pPr>
    </w:p>
    <w:p>
      <w:pPr>
        <w:ind w:left="120" w:right="220"/>
        <w:spacing w:after="0" w:line="244" w:lineRule="auto"/>
        <w:rPr>
          <w:sz w:val="20"/>
          <w:szCs w:val="20"/>
          <w:color w:val="auto"/>
        </w:rPr>
      </w:pPr>
      <w:r>
        <w:rPr>
          <w:rFonts w:ascii="Arial" w:cs="Arial" w:eastAsia="Arial" w:hAnsi="Arial"/>
          <w:sz w:val="17"/>
          <w:szCs w:val="17"/>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any subsidiary of ours) must assume all of our obligations under the indenture or the debt securities, as appropriate.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73"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146" w:lineRule="exact"/>
        <w:rPr>
          <w:sz w:val="20"/>
          <w:szCs w:val="20"/>
          <w:color w:val="auto"/>
        </w:rPr>
      </w:pPr>
    </w:p>
    <w:p>
      <w:pPr>
        <w:ind w:left="980" w:right="60" w:hanging="432"/>
        <w:spacing w:after="0" w:line="243"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4" w:lineRule="exact"/>
        <w:rPr>
          <w:rFonts w:ascii="MS PGothic" w:cs="MS PGothic" w:eastAsia="MS PGothic" w:hAnsi="MS PGothic"/>
          <w:sz w:val="13"/>
          <w:szCs w:val="13"/>
          <w:color w:val="auto"/>
        </w:rPr>
      </w:pPr>
    </w:p>
    <w:p>
      <w:pPr>
        <w:ind w:left="980" w:right="60" w:hanging="432"/>
        <w:spacing w:after="0"/>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8" w:lineRule="exact"/>
        <w:rPr>
          <w:rFonts w:ascii="MS PGothic" w:cs="MS PGothic" w:eastAsia="MS PGothic" w:hAnsi="MS PGothic"/>
          <w:sz w:val="13"/>
          <w:szCs w:val="13"/>
          <w:color w:val="auto"/>
        </w:rPr>
      </w:pPr>
    </w:p>
    <w:p>
      <w:pPr>
        <w:ind w:left="980" w:right="40" w:hanging="432"/>
        <w:spacing w:after="0" w:line="243"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4" w:lineRule="exact"/>
        <w:rPr>
          <w:rFonts w:ascii="MS PGothic" w:cs="MS PGothic" w:eastAsia="MS PGothic" w:hAnsi="MS PGothic"/>
          <w:sz w:val="13"/>
          <w:szCs w:val="13"/>
          <w:color w:val="auto"/>
        </w:rPr>
      </w:pPr>
    </w:p>
    <w:p>
      <w:pPr>
        <w:ind w:left="980" w:hanging="432"/>
        <w:spacing w:after="0"/>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if specified events of bankruptcy, insolvency or reorganization occur.</w:t>
      </w:r>
    </w:p>
    <w:p>
      <w:pPr>
        <w:spacing w:after="0" w:line="156" w:lineRule="exact"/>
        <w:rPr>
          <w:sz w:val="20"/>
          <w:szCs w:val="20"/>
          <w:color w:val="auto"/>
        </w:rPr>
      </w:pPr>
    </w:p>
    <w:p>
      <w:pPr>
        <w:ind w:left="120" w:right="180"/>
        <w:spacing w:after="0" w:line="239" w:lineRule="auto"/>
        <w:rPr>
          <w:sz w:val="20"/>
          <w:szCs w:val="20"/>
          <w:color w:val="auto"/>
        </w:rPr>
      </w:pPr>
      <w:r>
        <w:rPr>
          <w:rFonts w:ascii="Arial" w:cs="Arial" w:eastAsia="Arial" w:hAnsi="Arial"/>
          <w:sz w:val="17"/>
          <w:szCs w:val="17"/>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28" w:lineRule="exact"/>
        <w:rPr>
          <w:sz w:val="20"/>
          <w:szCs w:val="20"/>
          <w:color w:val="auto"/>
        </w:rPr>
      </w:pPr>
    </w:p>
    <w:p>
      <w:pPr>
        <w:ind w:left="120"/>
        <w:spacing w:after="0" w:line="249" w:lineRule="auto"/>
        <w:rPr>
          <w:sz w:val="20"/>
          <w:szCs w:val="20"/>
          <w:color w:val="auto"/>
        </w:rPr>
      </w:pPr>
      <w:r>
        <w:rPr>
          <w:rFonts w:ascii="Arial" w:cs="Arial" w:eastAsia="Arial" w:hAnsi="Arial"/>
          <w:sz w:val="17"/>
          <w:szCs w:val="17"/>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21" w:lineRule="exact"/>
        <w:rPr>
          <w:sz w:val="20"/>
          <w:szCs w:val="20"/>
          <w:color w:val="auto"/>
        </w:rPr>
      </w:pPr>
    </w:p>
    <w:p>
      <w:pPr>
        <w:ind w:left="120" w:right="180"/>
        <w:spacing w:after="0" w:line="241" w:lineRule="auto"/>
        <w:rPr>
          <w:sz w:val="20"/>
          <w:szCs w:val="20"/>
          <w:color w:val="auto"/>
        </w:rPr>
      </w:pPr>
      <w:r>
        <w:rPr>
          <w:rFonts w:ascii="Arial" w:cs="Arial" w:eastAsia="Arial" w:hAnsi="Arial"/>
          <w:sz w:val="17"/>
          <w:szCs w:val="17"/>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the trustee, or exercising any trust or power conferred on the trustee, with respect to the debt securities of that series, provided that:</w:t>
      </w:r>
    </w:p>
    <w:p>
      <w:pPr>
        <w:spacing w:after="0" w:line="196" w:lineRule="exact"/>
        <w:rPr>
          <w:sz w:val="20"/>
          <w:szCs w:val="20"/>
          <w:color w:val="auto"/>
        </w:rPr>
      </w:pPr>
    </w:p>
    <w:p>
      <w:pPr>
        <w:ind w:left="980" w:hanging="432"/>
        <w:spacing w:after="0"/>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the direction so given by the holder is not in conflict with any law or the applicable indenture; and</w:t>
      </w:r>
    </w:p>
    <w:p>
      <w:pPr>
        <w:spacing w:after="0" w:line="34" w:lineRule="exact"/>
        <w:rPr>
          <w:rFonts w:ascii="MS PGothic" w:cs="MS PGothic" w:eastAsia="MS PGothic" w:hAnsi="MS PGothic"/>
          <w:sz w:val="13"/>
          <w:szCs w:val="13"/>
          <w:color w:val="auto"/>
        </w:rPr>
      </w:pPr>
    </w:p>
    <w:p>
      <w:pPr>
        <w:ind w:left="980" w:hanging="432"/>
        <w:spacing w:after="0" w:line="267"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subject to its duties under the Trust Indenture Act, the trustee need not take any action that might involve it in personal liability or might be unduly prejudicial to the holders not involved in the proceeding.</w:t>
      </w:r>
    </w:p>
    <w:p>
      <w:pPr>
        <w:spacing w:after="0" w:line="105"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color w:val="auto"/>
        </w:rPr>
        <w:t>A holder of the debt securities of any series will have the right to institute a proceeding under the indenture or to appoint a receiver or trustee, or to seek other remedies only if:</w:t>
      </w:r>
    </w:p>
    <w:p>
      <w:pPr>
        <w:spacing w:after="0" w:line="146" w:lineRule="exact"/>
        <w:rPr>
          <w:sz w:val="20"/>
          <w:szCs w:val="20"/>
          <w:color w:val="auto"/>
        </w:rPr>
      </w:pPr>
    </w:p>
    <w:p>
      <w:pPr>
        <w:ind w:left="980" w:hanging="432"/>
        <w:spacing w:after="0"/>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the holder has given written notice to the trustee of a continuing event of default with respect to that series;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the holders of at least 25% in aggregate principal amount of the outstanding debt securities of that series have made written request;</w:t>
      </w:r>
    </w:p>
    <w:p>
      <w:pPr>
        <w:spacing w:after="0" w:line="34" w:lineRule="exact"/>
        <w:rPr>
          <w:rFonts w:ascii="MS PGothic" w:cs="MS PGothic" w:eastAsia="MS PGothic" w:hAnsi="MS PGothic"/>
          <w:sz w:val="13"/>
          <w:szCs w:val="13"/>
          <w:color w:val="auto"/>
        </w:rPr>
      </w:pPr>
    </w:p>
    <w:p>
      <w:pPr>
        <w:ind w:left="980" w:right="340" w:hanging="432"/>
        <w:spacing w:after="0" w:line="253" w:lineRule="auto"/>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such holders have offered to the trustee indemnity satisfactory to it against the costs, expenses and liabilities to be incurred by the trustee in compliance with the request; and</w:t>
      </w:r>
    </w:p>
    <w:p>
      <w:pPr>
        <w:spacing w:after="0" w:line="6" w:lineRule="exact"/>
        <w:rPr>
          <w:rFonts w:ascii="MS PGothic" w:cs="MS PGothic" w:eastAsia="MS PGothic" w:hAnsi="MS PGothic"/>
          <w:sz w:val="13"/>
          <w:szCs w:val="13"/>
          <w:color w:val="auto"/>
        </w:rPr>
      </w:pPr>
    </w:p>
    <w:p>
      <w:pPr>
        <w:ind w:left="980" w:right="100" w:hanging="432"/>
        <w:spacing w:after="0" w:line="267" w:lineRule="auto"/>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05" w:lineRule="exact"/>
        <w:rPr>
          <w:sz w:val="20"/>
          <w:szCs w:val="20"/>
          <w:color w:val="auto"/>
        </w:rPr>
      </w:pPr>
    </w:p>
    <w:p>
      <w:pPr>
        <w:ind w:left="120" w:right="360"/>
        <w:spacing w:after="0" w:line="267" w:lineRule="auto"/>
        <w:rPr>
          <w:sz w:val="20"/>
          <w:szCs w:val="20"/>
          <w:color w:val="auto"/>
        </w:rPr>
      </w:pPr>
      <w:r>
        <w:rPr>
          <w:rFonts w:ascii="Arial" w:cs="Arial" w:eastAsia="Arial" w:hAnsi="Arial"/>
          <w:sz w:val="17"/>
          <w:szCs w:val="17"/>
          <w:color w:val="auto"/>
        </w:rPr>
        <w:t>These limitations do not apply to a suit instituted by a holder of debt securities if we default in the payment of the principal, premium, if any, or interest on, the debt securities.</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will periodically file statements with the trustee regarding our compliance with specified covenants in the indenture.</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of Indenture; Waiver</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and the trustee may change an indenture without the consent of any holders with respect to specific matters:</w:t>
      </w:r>
    </w:p>
    <w:p>
      <w:pPr>
        <w:spacing w:after="0" w:line="196" w:lineRule="exact"/>
        <w:rPr>
          <w:sz w:val="20"/>
          <w:szCs w:val="20"/>
          <w:color w:val="auto"/>
        </w:rPr>
      </w:pPr>
    </w:p>
    <w:p>
      <w:pPr>
        <w:ind w:left="980" w:hanging="432"/>
        <w:spacing w:after="0"/>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to cure any ambiguity, defect or inconsistency in the indenture or in the debt securities of any series;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to comply with the provisions described above under “</w:t>
      </w:r>
      <w:r>
        <w:rPr>
          <w:rFonts w:ascii="Arial" w:cs="Arial" w:eastAsia="Arial" w:hAnsi="Arial"/>
          <w:sz w:val="17"/>
          <w:szCs w:val="17"/>
          <w:i w:val="1"/>
          <w:iCs w:val="1"/>
          <w:color w:val="auto"/>
        </w:rPr>
        <w:t>Description of Debt Securities—Consolidation, Merger or Sale</w:t>
      </w:r>
      <w:r>
        <w:rPr>
          <w:rFonts w:ascii="Arial" w:cs="Arial" w:eastAsia="Arial" w:hAnsi="Arial"/>
          <w:sz w:val="17"/>
          <w:szCs w:val="17"/>
          <w:color w:val="auto"/>
        </w:rPr>
        <w: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to provide for uncertificated debt securities in addition to or in place of certificated debt securities;</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4" w:lineRule="exact"/>
        <w:rPr>
          <w:rFonts w:ascii="MS PGothic" w:cs="MS PGothic" w:eastAsia="MS PGothic" w:hAnsi="MS PGothic"/>
          <w:sz w:val="13"/>
          <w:szCs w:val="13"/>
          <w:color w:val="auto"/>
        </w:rPr>
      </w:pPr>
    </w:p>
    <w:p>
      <w:pPr>
        <w:ind w:left="980" w:right="420" w:hanging="432"/>
        <w:spacing w:after="0" w:line="253"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to add to, delete from or revise the conditions, limitations, and restrictions on the authorized amount, terms, or purposes of issue, authentication and delivery of debt securities, as set forth in the indenture;</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to make any change that does not adversely affect the interests of any holder of debt securities of any series in any material respect;</w:t>
      </w:r>
    </w:p>
    <w:p>
      <w:pPr>
        <w:spacing w:after="0" w:line="34" w:lineRule="exact"/>
        <w:rPr>
          <w:rFonts w:ascii="MS PGothic" w:cs="MS PGothic" w:eastAsia="MS PGothic" w:hAnsi="MS PGothic"/>
          <w:sz w:val="13"/>
          <w:szCs w:val="13"/>
          <w:color w:val="auto"/>
        </w:rPr>
      </w:pPr>
    </w:p>
    <w:p>
      <w:pPr>
        <w:ind w:left="980" w:right="180" w:hanging="432"/>
        <w:spacing w:after="0" w:line="246"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to provide for the issuance of and establish the form and terms and conditions of the debt securities of any series as provided above under “</w:t>
      </w:r>
      <w:r>
        <w:rPr>
          <w:rFonts w:ascii="Arial" w:cs="Arial" w:eastAsia="Arial" w:hAnsi="Arial"/>
          <w:sz w:val="17"/>
          <w:szCs w:val="17"/>
          <w:i w:val="1"/>
          <w:iCs w:val="1"/>
          <w:color w:val="auto"/>
        </w:rPr>
        <w:t>Description of Debt Securities—General</w:t>
      </w:r>
      <w:r>
        <w:rPr>
          <w:rFonts w:ascii="Arial" w:cs="Arial" w:eastAsia="Arial" w:hAnsi="Arial"/>
          <w:sz w:val="17"/>
          <w:szCs w:val="17"/>
          <w:color w:val="auto"/>
        </w:rPr>
        <w:t>” to establish the form of any certifications required to be furnished pursuant to the terms of the indenture or any series of debt securities, or to add to the rights of the holders of any series of debt securities;</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to evidence and provide for the acceptance of appointment under any indenture by a successor trustee;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to comply with any requirements of the SEC in connection with the qualification of any indenture under the Trust Indenture Act.</w:t>
      </w:r>
    </w:p>
    <w:p>
      <w:pPr>
        <w:spacing w:after="0" w:line="156" w:lineRule="exact"/>
        <w:rPr>
          <w:sz w:val="20"/>
          <w:szCs w:val="20"/>
          <w:color w:val="auto"/>
        </w:rPr>
      </w:pPr>
    </w:p>
    <w:p>
      <w:pPr>
        <w:ind w:left="120" w:right="80"/>
        <w:spacing w:after="0" w:line="249" w:lineRule="auto"/>
        <w:rPr>
          <w:sz w:val="20"/>
          <w:szCs w:val="20"/>
          <w:color w:val="auto"/>
        </w:rPr>
      </w:pPr>
      <w:r>
        <w:rPr>
          <w:rFonts w:ascii="Arial" w:cs="Arial" w:eastAsia="Arial" w:hAnsi="Arial"/>
          <w:sz w:val="17"/>
          <w:szCs w:val="17"/>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applicable to a particular series of debt securities, we and the trustee may make the following changes only with the consent of each holder of any outstanding debt securities affected:</w:t>
      </w:r>
    </w:p>
    <w:p>
      <w:pPr>
        <w:spacing w:after="0" w:line="146" w:lineRule="exact"/>
        <w:rPr>
          <w:sz w:val="20"/>
          <w:szCs w:val="20"/>
          <w:color w:val="auto"/>
        </w:rPr>
      </w:pPr>
    </w:p>
    <w:p>
      <w:pPr>
        <w:ind w:left="980" w:hanging="432"/>
        <w:spacing w:after="0"/>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extending the fixed maturity of any debt securities of any series;</w:t>
      </w:r>
    </w:p>
    <w:p>
      <w:pPr>
        <w:spacing w:after="0" w:line="34" w:lineRule="exact"/>
        <w:rPr>
          <w:rFonts w:ascii="MS PGothic" w:cs="MS PGothic" w:eastAsia="MS PGothic" w:hAnsi="MS PGothic"/>
          <w:sz w:val="13"/>
          <w:szCs w:val="13"/>
          <w:color w:val="auto"/>
        </w:rPr>
      </w:pPr>
    </w:p>
    <w:p>
      <w:pPr>
        <w:ind w:left="980" w:right="360" w:hanging="432"/>
        <w:spacing w:after="0" w:line="253"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reducing the principal amount, reducing the rate of or extending the time of payment of interest, or reducing any premium payable upon the redemption of any series of any debt securities; or</w:t>
      </w:r>
    </w:p>
    <w:p>
      <w:pPr>
        <w:spacing w:after="0" w:line="6" w:lineRule="exact"/>
        <w:rPr>
          <w:rFonts w:ascii="MS PGothic" w:cs="MS PGothic" w:eastAsia="MS PGothic" w:hAnsi="MS PGothic"/>
          <w:sz w:val="13"/>
          <w:szCs w:val="13"/>
          <w:color w:val="auto"/>
        </w:rPr>
      </w:pPr>
    </w:p>
    <w:p>
      <w:pPr>
        <w:ind w:left="980" w:right="100" w:hanging="432"/>
        <w:spacing w:after="0" w:line="267"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reducing the percentage of debt securities, the holders of which are required to consent to any amendment, supplement, modification or waiver.</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Discharge</w:t>
      </w:r>
    </w:p>
    <w:p>
      <w:pPr>
        <w:spacing w:after="0" w:line="60"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color w:val="auto"/>
        </w:rPr>
        <w:t>Each indenture provides that we can elect to be discharged from our obligations with respect to one or more series of debt securities, except for specified obligations, including obligations to:</w:t>
      </w:r>
    </w:p>
    <w:p>
      <w:pPr>
        <w:spacing w:after="0" w:line="146" w:lineRule="exact"/>
        <w:rPr>
          <w:sz w:val="20"/>
          <w:szCs w:val="20"/>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provide for payment;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register the transfer or exchange of debt securities of the series;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replace stolen, lost or mutilated debt securities of the series;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pay principal of and premium and interest on any debt securities of the series;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maintain paying agencies;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hold monies for payment in trust;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recover excess money held by the trustee;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compensate and indemnify the trustee;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appoint any successor trustee.</w:t>
      </w:r>
    </w:p>
    <w:p>
      <w:pPr>
        <w:spacing w:after="0" w:line="156" w:lineRule="exact"/>
        <w:rPr>
          <w:sz w:val="20"/>
          <w:szCs w:val="20"/>
          <w:color w:val="auto"/>
        </w:rPr>
      </w:pPr>
    </w:p>
    <w:p>
      <w:pPr>
        <w:ind w:left="120" w:right="620"/>
        <w:spacing w:after="0" w:line="267" w:lineRule="auto"/>
        <w:rPr>
          <w:sz w:val="20"/>
          <w:szCs w:val="20"/>
          <w:color w:val="auto"/>
        </w:rPr>
      </w:pPr>
      <w:r>
        <w:rPr>
          <w:rFonts w:ascii="Arial" w:cs="Arial" w:eastAsia="Arial" w:hAnsi="Arial"/>
          <w:sz w:val="17"/>
          <w:szCs w:val="17"/>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Exchange and Transfer</w:t>
      </w:r>
    </w:p>
    <w:p>
      <w:pPr>
        <w:spacing w:after="0" w:line="60" w:lineRule="exact"/>
        <w:rPr>
          <w:sz w:val="20"/>
          <w:szCs w:val="20"/>
          <w:color w:val="auto"/>
        </w:rPr>
      </w:pPr>
    </w:p>
    <w:p>
      <w:pPr>
        <w:ind w:left="120" w:right="20"/>
        <w:spacing w:after="0" w:line="239" w:lineRule="auto"/>
        <w:rPr>
          <w:sz w:val="20"/>
          <w:szCs w:val="20"/>
          <w:color w:val="auto"/>
        </w:rPr>
      </w:pPr>
      <w:r>
        <w:rPr>
          <w:rFonts w:ascii="Arial" w:cs="Arial" w:eastAsia="Arial" w:hAnsi="Arial"/>
          <w:sz w:val="17"/>
          <w:szCs w:val="17"/>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28" w:lineRule="exact"/>
        <w:rPr>
          <w:sz w:val="20"/>
          <w:szCs w:val="20"/>
          <w:color w:val="auto"/>
        </w:rPr>
      </w:pPr>
    </w:p>
    <w:p>
      <w:pPr>
        <w:jc w:val="both"/>
        <w:ind w:left="120" w:right="420"/>
        <w:spacing w:after="0" w:line="249" w:lineRule="auto"/>
        <w:rPr>
          <w:sz w:val="20"/>
          <w:szCs w:val="20"/>
          <w:color w:val="auto"/>
        </w:rPr>
      </w:pPr>
      <w:r>
        <w:rPr>
          <w:rFonts w:ascii="Arial" w:cs="Arial" w:eastAsia="Arial" w:hAnsi="Arial"/>
          <w:sz w:val="17"/>
          <w:szCs w:val="17"/>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21"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26" w:lineRule="exact"/>
        <w:rPr>
          <w:sz w:val="20"/>
          <w:szCs w:val="20"/>
          <w:color w:val="auto"/>
        </w:rPr>
      </w:pPr>
    </w:p>
    <w:p>
      <w:pPr>
        <w:ind w:left="120"/>
        <w:spacing w:after="0" w:line="244" w:lineRule="auto"/>
        <w:rPr>
          <w:sz w:val="20"/>
          <w:szCs w:val="20"/>
          <w:color w:val="auto"/>
        </w:rPr>
      </w:pPr>
      <w:r>
        <w:rPr>
          <w:rFonts w:ascii="Arial" w:cs="Arial" w:eastAsia="Arial" w:hAnsi="Arial"/>
          <w:sz w:val="17"/>
          <w:szCs w:val="17"/>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If we elect to redeem the debt securities of any series, we will not be required to:</w:t>
      </w:r>
    </w:p>
    <w:p>
      <w:pPr>
        <w:spacing w:after="0" w:line="196" w:lineRule="exact"/>
        <w:rPr>
          <w:sz w:val="20"/>
          <w:szCs w:val="20"/>
          <w:color w:val="auto"/>
        </w:rPr>
      </w:pPr>
    </w:p>
    <w:p>
      <w:pPr>
        <w:jc w:val="both"/>
        <w:ind w:left="980" w:right="120" w:hanging="432"/>
        <w:spacing w:after="0" w:line="246" w:lineRule="auto"/>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6" w:lineRule="exact"/>
        <w:rPr>
          <w:rFonts w:ascii="MS PGothic" w:cs="MS PGothic" w:eastAsia="MS PGothic" w:hAnsi="MS PGothic"/>
          <w:sz w:val="13"/>
          <w:szCs w:val="13"/>
          <w:color w:val="auto"/>
        </w:rPr>
      </w:pPr>
    </w:p>
    <w:p>
      <w:pPr>
        <w:ind w:left="980" w:right="40" w:hanging="432"/>
        <w:spacing w:after="0" w:line="267" w:lineRule="auto"/>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register the transfer of or exchange any debt securities so selected for redemption, in whole or in part, except the unredeemed portion of any debt securities we are redeeming in part.</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Concerning the Trustee</w:t>
      </w:r>
    </w:p>
    <w:p>
      <w:pPr>
        <w:spacing w:after="0" w:line="100"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and Paying Agents</w:t>
      </w:r>
    </w:p>
    <w:p>
      <w:pPr>
        <w:spacing w:after="0" w:line="60" w:lineRule="exact"/>
        <w:rPr>
          <w:sz w:val="20"/>
          <w:szCs w:val="20"/>
          <w:color w:val="auto"/>
        </w:rPr>
      </w:pPr>
    </w:p>
    <w:p>
      <w:pPr>
        <w:ind w:left="120" w:right="460"/>
        <w:spacing w:after="0" w:line="249" w:lineRule="auto"/>
        <w:rPr>
          <w:sz w:val="20"/>
          <w:szCs w:val="20"/>
          <w:color w:val="auto"/>
        </w:rPr>
      </w:pPr>
      <w:r>
        <w:rPr>
          <w:rFonts w:ascii="Arial" w:cs="Arial" w:eastAsia="Arial" w:hAnsi="Arial"/>
          <w:sz w:val="17"/>
          <w:szCs w:val="17"/>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21"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28" w:lineRule="exact"/>
        <w:rPr>
          <w:sz w:val="20"/>
          <w:szCs w:val="20"/>
          <w:color w:val="auto"/>
        </w:rPr>
      </w:pPr>
    </w:p>
    <w:p>
      <w:pPr>
        <w:ind w:left="120" w:right="320"/>
        <w:spacing w:after="0" w:line="249" w:lineRule="auto"/>
        <w:rPr>
          <w:sz w:val="20"/>
          <w:szCs w:val="20"/>
          <w:color w:val="auto"/>
        </w:rPr>
      </w:pPr>
      <w:r>
        <w:rPr>
          <w:rFonts w:ascii="Arial" w:cs="Arial" w:eastAsia="Arial" w:hAnsi="Arial"/>
          <w:sz w:val="17"/>
          <w:szCs w:val="17"/>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60" w:lineRule="exact"/>
        <w:rPr>
          <w:sz w:val="20"/>
          <w:szCs w:val="20"/>
          <w:color w:val="auto"/>
        </w:rPr>
      </w:pPr>
    </w:p>
    <w:p>
      <w:pPr>
        <w:ind w:left="120" w:right="480"/>
        <w:spacing w:after="0" w:line="267" w:lineRule="auto"/>
        <w:rPr>
          <w:sz w:val="20"/>
          <w:szCs w:val="20"/>
          <w:color w:val="auto"/>
        </w:rPr>
      </w:pPr>
      <w:r>
        <w:rPr>
          <w:rFonts w:ascii="Arial" w:cs="Arial" w:eastAsia="Arial" w:hAnsi="Arial"/>
          <w:sz w:val="17"/>
          <w:szCs w:val="17"/>
          <w:color w:val="auto"/>
        </w:rPr>
        <w:t>The indenture and the debt securities will be governed by and construed in accordance with the laws of the state of New York, except to the extent that the Trust Indenture Act is applicable.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WARRANTS</w:t>
      </w:r>
    </w:p>
    <w:p>
      <w:pPr>
        <w:spacing w:after="0" w:line="318"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i w:val="1"/>
          <w:iCs w:val="1"/>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60" w:lineRule="exact"/>
        <w:rPr>
          <w:sz w:val="20"/>
          <w:szCs w:val="20"/>
          <w:color w:val="auto"/>
        </w:rPr>
      </w:pPr>
    </w:p>
    <w:p>
      <w:pPr>
        <w:jc w:val="both"/>
        <w:ind w:left="120" w:right="100"/>
        <w:spacing w:after="0" w:line="249" w:lineRule="auto"/>
        <w:rPr>
          <w:sz w:val="20"/>
          <w:szCs w:val="20"/>
          <w:color w:val="auto"/>
        </w:rPr>
      </w:pPr>
      <w:r>
        <w:rPr>
          <w:rFonts w:ascii="Arial" w:cs="Arial" w:eastAsia="Arial" w:hAnsi="Arial"/>
          <w:sz w:val="17"/>
          <w:szCs w:val="17"/>
          <w:color w:val="auto"/>
        </w:rPr>
        <w:t>We may issue warrants for the purchase of common stock, preferred stock and/or debt securities in one or more series. We may issue warrants independently or together with common stock, preferred stock and debt securities, and the warrants may be attached to or separate from these securities.</w:t>
      </w:r>
    </w:p>
    <w:p>
      <w:pPr>
        <w:spacing w:after="0" w:line="121" w:lineRule="exact"/>
        <w:rPr>
          <w:sz w:val="20"/>
          <w:szCs w:val="20"/>
          <w:color w:val="auto"/>
        </w:rPr>
      </w:pPr>
    </w:p>
    <w:p>
      <w:pPr>
        <w:jc w:val="both"/>
        <w:ind w:left="120" w:right="220"/>
        <w:spacing w:after="0" w:line="249" w:lineRule="auto"/>
        <w:rPr>
          <w:sz w:val="20"/>
          <w:szCs w:val="20"/>
          <w:color w:val="auto"/>
        </w:rPr>
      </w:pPr>
      <w:r>
        <w:rPr>
          <w:rFonts w:ascii="Arial" w:cs="Arial" w:eastAsia="Arial" w:hAnsi="Arial"/>
          <w:sz w:val="17"/>
          <w:szCs w:val="17"/>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will describe in the applicable prospectus supplement the terms of the series of warrants, including:</w:t>
      </w:r>
    </w:p>
    <w:p>
      <w:pPr>
        <w:spacing w:after="0" w:line="196" w:lineRule="exact"/>
        <w:rPr>
          <w:sz w:val="20"/>
          <w:szCs w:val="20"/>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the offering price and aggregate number of warrants offered;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the currency for which the warrants may be purchased;</w:t>
      </w:r>
    </w:p>
    <w:p>
      <w:pPr>
        <w:spacing w:after="0" w:line="34" w:lineRule="exact"/>
        <w:rPr>
          <w:rFonts w:ascii="MS PGothic" w:cs="MS PGothic" w:eastAsia="MS PGothic" w:hAnsi="MS PGothic"/>
          <w:sz w:val="13"/>
          <w:szCs w:val="13"/>
          <w:color w:val="auto"/>
        </w:rPr>
      </w:pPr>
    </w:p>
    <w:p>
      <w:pPr>
        <w:ind w:left="980" w:right="160" w:hanging="432"/>
        <w:spacing w:after="0" w:line="253"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if applicable, the designation and terms of the securities with which the warrants are issued and the number of warrants issued with each such security or each principal amount of such security;</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if applicable, the date on and after which the warrants and the related securities will be separately transferable;</w:t>
      </w:r>
    </w:p>
    <w:p>
      <w:pPr>
        <w:spacing w:after="0" w:line="34" w:lineRule="exact"/>
        <w:rPr>
          <w:rFonts w:ascii="MS PGothic" w:cs="MS PGothic" w:eastAsia="MS PGothic" w:hAnsi="MS PGothic"/>
          <w:sz w:val="13"/>
          <w:szCs w:val="13"/>
          <w:color w:val="auto"/>
        </w:rPr>
      </w:pPr>
    </w:p>
    <w:p>
      <w:pPr>
        <w:jc w:val="both"/>
        <w:ind w:left="980" w:right="160" w:hanging="432"/>
        <w:spacing w:after="0" w:line="246"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 w:lineRule="exact"/>
        <w:rPr>
          <w:rFonts w:ascii="MS PGothic" w:cs="MS PGothic" w:eastAsia="MS PGothic" w:hAnsi="MS PGothic"/>
          <w:sz w:val="13"/>
          <w:szCs w:val="13"/>
          <w:color w:val="auto"/>
        </w:rPr>
      </w:pPr>
    </w:p>
    <w:p>
      <w:pPr>
        <w:ind w:left="980" w:right="40" w:hanging="432"/>
        <w:spacing w:after="0" w:line="253"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the effect of any merger, consolidation, sale or other disposition of our business on the warrant agreement and the warrants;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the terms of any rights to redeem or call the warrants;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any provisions for changes to or adjustments in the exercise price or number of securities issuable upon exercise of the warrants;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the periods during which, and places at which, the warrants are exercisable;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the manner of exercise;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the dates on which the right to exercise the warrants will commence and expire;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the manner in which the warrant agreement and warrants may be modified;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federal income tax consequences of holding or exercising the warrants;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the terms of the securities issuable upon exercise of the warrants;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any other specific terms, preferences, rights or limitations of or restrictions on the warrants.</w:t>
      </w:r>
    </w:p>
    <w:p>
      <w:pPr>
        <w:spacing w:after="0" w:line="15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040"/>
          </w:cols>
          <w:pgMar w:left="320" w:top="455" w:right="5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UNITS</w:t>
      </w:r>
    </w:p>
    <w:p>
      <w:pPr>
        <w:spacing w:after="0" w:line="31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We may issue units comprised of one or more of the other securities that may be offered under this prospectus,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33" w:lineRule="exact"/>
        <w:rPr>
          <w:sz w:val="20"/>
          <w:szCs w:val="20"/>
          <w:color w:val="auto"/>
        </w:rPr>
      </w:pPr>
    </w:p>
    <w:p>
      <w:pPr>
        <w:ind w:left="120" w:right="60"/>
        <w:spacing w:after="0" w:line="244" w:lineRule="auto"/>
        <w:rPr>
          <w:sz w:val="20"/>
          <w:szCs w:val="20"/>
          <w:color w:val="auto"/>
        </w:rPr>
      </w:pPr>
      <w:r>
        <w:rPr>
          <w:rFonts w:ascii="Arial" w:cs="Arial" w:eastAsia="Arial" w:hAnsi="Arial"/>
          <w:sz w:val="17"/>
          <w:szCs w:val="17"/>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164" w:lineRule="exact"/>
        <w:rPr>
          <w:sz w:val="20"/>
          <w:szCs w:val="20"/>
          <w:color w:val="auto"/>
        </w:rPr>
      </w:pPr>
    </w:p>
    <w:p>
      <w:pPr>
        <w:ind w:left="980" w:right="340" w:hanging="432"/>
        <w:spacing w:after="0" w:line="253"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the designation and terms of the units and of the securities comprising the units, including whether and under what circumstances those securities may be held or transferred separately;</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any provisions of the governing unit agreement;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the price or prices at which such units will be issued;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the applicable United States federal income tax considerations relating to the units;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any provisions for the issuance, payment, settlement, transfer or exchange of the units or of the securities comprising the units;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any other terms of the units and of the securities comprising the units.</w:t>
      </w:r>
    </w:p>
    <w:p>
      <w:pPr>
        <w:spacing w:after="0" w:line="156" w:lineRule="exact"/>
        <w:rPr>
          <w:sz w:val="20"/>
          <w:szCs w:val="20"/>
          <w:color w:val="auto"/>
        </w:rPr>
      </w:pPr>
    </w:p>
    <w:p>
      <w:pPr>
        <w:ind w:left="120" w:right="100"/>
        <w:spacing w:after="0" w:line="267" w:lineRule="auto"/>
        <w:rPr>
          <w:sz w:val="20"/>
          <w:szCs w:val="20"/>
          <w:color w:val="auto"/>
        </w:rPr>
      </w:pPr>
      <w:r>
        <w:rPr>
          <w:rFonts w:ascii="Arial" w:cs="Arial" w:eastAsia="Arial" w:hAnsi="Arial"/>
          <w:sz w:val="17"/>
          <w:szCs w:val="17"/>
          <w:color w:val="auto"/>
        </w:rPr>
        <w:t>The provisions described in this section, as well as those described under “</w:t>
      </w:r>
      <w:r>
        <w:rPr>
          <w:rFonts w:ascii="Arial" w:cs="Arial" w:eastAsia="Arial" w:hAnsi="Arial"/>
          <w:sz w:val="17"/>
          <w:szCs w:val="17"/>
          <w:i w:val="1"/>
          <w:iCs w:val="1"/>
          <w:color w:val="auto"/>
        </w:rPr>
        <w:t>Description of Capital Stock</w:t>
      </w:r>
      <w:r>
        <w:rPr>
          <w:rFonts w:ascii="Arial" w:cs="Arial" w:eastAsia="Arial" w:hAnsi="Arial"/>
          <w:sz w:val="17"/>
          <w:szCs w:val="17"/>
          <w:color w:val="auto"/>
        </w:rPr>
        <w:t>,” and “</w:t>
      </w:r>
      <w:r>
        <w:rPr>
          <w:rFonts w:ascii="Arial" w:cs="Arial" w:eastAsia="Arial" w:hAnsi="Arial"/>
          <w:sz w:val="17"/>
          <w:szCs w:val="17"/>
          <w:i w:val="1"/>
          <w:iCs w:val="1"/>
          <w:color w:val="auto"/>
        </w:rPr>
        <w:t>Description of Warrants</w:t>
      </w:r>
      <w:r>
        <w:rPr>
          <w:rFonts w:ascii="Arial" w:cs="Arial" w:eastAsia="Arial" w:hAnsi="Arial"/>
          <w:sz w:val="17"/>
          <w:szCs w:val="17"/>
          <w:color w:val="auto"/>
        </w:rPr>
        <w:t>” will apply to the securities included in each unit, to the extent relevant and as may be updated in any prospectus supplements.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in Series</w:t>
      </w:r>
    </w:p>
    <w:p>
      <w:pPr>
        <w:spacing w:after="0" w:line="60"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 Agreements</w:t>
      </w:r>
    </w:p>
    <w:p>
      <w:pPr>
        <w:spacing w:after="0" w:line="60" w:lineRule="exact"/>
        <w:rPr>
          <w:sz w:val="20"/>
          <w:szCs w:val="20"/>
          <w:color w:val="auto"/>
        </w:rPr>
      </w:pPr>
    </w:p>
    <w:p>
      <w:pPr>
        <w:ind w:left="120" w:right="180"/>
        <w:spacing w:after="0" w:line="249" w:lineRule="auto"/>
        <w:rPr>
          <w:sz w:val="20"/>
          <w:szCs w:val="20"/>
          <w:color w:val="auto"/>
        </w:rPr>
      </w:pPr>
      <w:r>
        <w:rPr>
          <w:rFonts w:ascii="Arial" w:cs="Arial" w:eastAsia="Arial" w:hAnsi="Arial"/>
          <w:sz w:val="17"/>
          <w:szCs w:val="17"/>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provisions will generally apply to all unit agreements unless otherwise stated in the applicable prospectus supplement:</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without Consent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and the applicable unit agent may amend any unit or unit agreement without the consent of any holder:</w:t>
      </w:r>
    </w:p>
    <w:p>
      <w:pPr>
        <w:spacing w:after="0" w:line="196" w:lineRule="exact"/>
        <w:rPr>
          <w:sz w:val="20"/>
          <w:szCs w:val="20"/>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to cure any ambiguity;</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100"/>
          </w:cols>
          <w:pgMar w:left="320" w:top="455"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any provisions of the governing unit agreement that differ from those described below;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to correct or supplement any defective or inconsistent provision; or</w:t>
      </w:r>
    </w:p>
    <w:p>
      <w:pPr>
        <w:spacing w:after="0" w:line="34" w:lineRule="exact"/>
        <w:rPr>
          <w:rFonts w:ascii="MS PGothic" w:cs="MS PGothic" w:eastAsia="MS PGothic" w:hAnsi="MS PGothic"/>
          <w:sz w:val="13"/>
          <w:szCs w:val="13"/>
          <w:color w:val="auto"/>
        </w:rPr>
      </w:pPr>
    </w:p>
    <w:p>
      <w:pPr>
        <w:ind w:left="980" w:hanging="432"/>
        <w:spacing w:after="0" w:line="267" w:lineRule="auto"/>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to make any other change that we believe is necessary or desirable and will not adversely affect the interests of the affected holders in any material respect.</w:t>
      </w:r>
    </w:p>
    <w:p>
      <w:pPr>
        <w:spacing w:after="0" w:line="105" w:lineRule="exact"/>
        <w:rPr>
          <w:sz w:val="20"/>
          <w:szCs w:val="20"/>
          <w:color w:val="auto"/>
        </w:rPr>
      </w:pPr>
    </w:p>
    <w:p>
      <w:pPr>
        <w:ind w:left="120" w:right="120"/>
        <w:spacing w:after="0" w:line="244" w:lineRule="auto"/>
        <w:rPr>
          <w:sz w:val="20"/>
          <w:szCs w:val="20"/>
          <w:color w:val="auto"/>
        </w:rPr>
      </w:pPr>
      <w:r>
        <w:rPr>
          <w:rFonts w:ascii="Arial" w:cs="Arial" w:eastAsia="Arial" w:hAnsi="Arial"/>
          <w:sz w:val="17"/>
          <w:szCs w:val="17"/>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with Consent</w:t>
      </w:r>
    </w:p>
    <w:p>
      <w:pPr>
        <w:spacing w:after="0" w:line="60" w:lineRule="exact"/>
        <w:rPr>
          <w:sz w:val="20"/>
          <w:szCs w:val="20"/>
          <w:color w:val="auto"/>
        </w:rPr>
      </w:pPr>
    </w:p>
    <w:p>
      <w:pPr>
        <w:ind w:left="120" w:right="280"/>
        <w:spacing w:after="0" w:line="267" w:lineRule="auto"/>
        <w:rPr>
          <w:sz w:val="20"/>
          <w:szCs w:val="20"/>
          <w:color w:val="auto"/>
        </w:rPr>
      </w:pPr>
      <w:r>
        <w:rPr>
          <w:rFonts w:ascii="Arial" w:cs="Arial" w:eastAsia="Arial" w:hAnsi="Arial"/>
          <w:sz w:val="17"/>
          <w:szCs w:val="17"/>
          <w:color w:val="auto"/>
        </w:rPr>
        <w:t>We may not amend any particular unit or a unit agreement with respect to any particular unit unless we obtain the consent of the holder of that unit, if the amendment would:</w:t>
      </w:r>
    </w:p>
    <w:p>
      <w:pPr>
        <w:spacing w:after="0" w:line="146" w:lineRule="exact"/>
        <w:rPr>
          <w:sz w:val="20"/>
          <w:szCs w:val="20"/>
          <w:color w:val="auto"/>
        </w:rPr>
      </w:pPr>
    </w:p>
    <w:p>
      <w:pPr>
        <w:ind w:left="980" w:right="220" w:hanging="432"/>
        <w:spacing w:after="0" w:line="253" w:lineRule="auto"/>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6" w:lineRule="exact"/>
        <w:rPr>
          <w:rFonts w:ascii="MS PGothic" w:cs="MS PGothic" w:eastAsia="MS PGothic" w:hAnsi="MS PGothic"/>
          <w:sz w:val="13"/>
          <w:szCs w:val="13"/>
          <w:color w:val="auto"/>
        </w:rPr>
      </w:pPr>
    </w:p>
    <w:p>
      <w:pPr>
        <w:ind w:left="980" w:right="320" w:hanging="432"/>
        <w:spacing w:after="0" w:line="267" w:lineRule="auto"/>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other change to a particular unit agreement and the units issued under that agreement would require the following approval:</w:t>
      </w:r>
    </w:p>
    <w:p>
      <w:pPr>
        <w:spacing w:after="0" w:line="196" w:lineRule="exact"/>
        <w:rPr>
          <w:sz w:val="20"/>
          <w:szCs w:val="20"/>
          <w:color w:val="auto"/>
        </w:rPr>
      </w:pPr>
    </w:p>
    <w:p>
      <w:pPr>
        <w:ind w:left="980" w:right="80" w:hanging="432"/>
        <w:spacing w:after="0" w:line="253"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If the change affects only the units of a particular series issued under that agreement, the change must be approved by the holders of a majority of the outstanding units of that series; or</w:t>
      </w:r>
    </w:p>
    <w:p>
      <w:pPr>
        <w:spacing w:after="0" w:line="6" w:lineRule="exact"/>
        <w:rPr>
          <w:rFonts w:ascii="MS PGothic" w:cs="MS PGothic" w:eastAsia="MS PGothic" w:hAnsi="MS PGothic"/>
          <w:sz w:val="13"/>
          <w:szCs w:val="13"/>
          <w:color w:val="auto"/>
        </w:rPr>
      </w:pPr>
    </w:p>
    <w:p>
      <w:pPr>
        <w:jc w:val="both"/>
        <w:ind w:left="980" w:right="80" w:hanging="432"/>
        <w:spacing w:after="0" w:line="249"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21"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color w:val="auto"/>
        </w:rPr>
        <w:t>These provisions regarding changes with majority approval also apply to changes affecting any securities issued under a unit agreement, as the governing document.</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each case, the required approval must be given by written consent.</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 Agreements Will Not Be Qualified under Trust Indenture Act</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 unit agreement will be qualified as an indenture, and no unit agent will be required to qualify as a trustee, under the Trust Indenture Act.</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Therefore, holders of units issued under unit agreements will not have the protections of the Trust Indenture Act with respect to their units.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Mergers and Similar Transactions Permitted; No Restrictive Covenants or Events of Default</w:t>
      </w:r>
    </w:p>
    <w:p>
      <w:pPr>
        <w:spacing w:after="0" w:line="73" w:lineRule="exact"/>
        <w:rPr>
          <w:sz w:val="20"/>
          <w:szCs w:val="20"/>
          <w:color w:val="auto"/>
        </w:rPr>
      </w:pPr>
    </w:p>
    <w:p>
      <w:pPr>
        <w:ind w:left="120" w:right="100"/>
        <w:spacing w:after="0" w:line="244" w:lineRule="auto"/>
        <w:rPr>
          <w:sz w:val="20"/>
          <w:szCs w:val="20"/>
          <w:color w:val="auto"/>
        </w:rPr>
      </w:pPr>
      <w:r>
        <w:rPr>
          <w:rFonts w:ascii="Arial" w:cs="Arial" w:eastAsia="Arial" w:hAnsi="Arial"/>
          <w:sz w:val="17"/>
          <w:szCs w:val="17"/>
          <w:color w:val="auto"/>
        </w:rPr>
        <w:t>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23" w:lineRule="exact"/>
        <w:rPr>
          <w:sz w:val="20"/>
          <w:szCs w:val="20"/>
          <w:color w:val="auto"/>
        </w:rPr>
      </w:pPr>
    </w:p>
    <w:p>
      <w:pPr>
        <w:ind w:left="120" w:right="60"/>
        <w:spacing w:after="0" w:line="267" w:lineRule="auto"/>
        <w:rPr>
          <w:sz w:val="20"/>
          <w:szCs w:val="20"/>
          <w:color w:val="auto"/>
        </w:rPr>
      </w:pPr>
      <w:r>
        <w:rPr>
          <w:rFonts w:ascii="Arial" w:cs="Arial" w:eastAsia="Arial" w:hAnsi="Arial"/>
          <w:sz w:val="17"/>
          <w:szCs w:val="17"/>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unit agreements and the units will be governed by New York law.</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Exchange and Transfer</w:t>
      </w:r>
    </w:p>
    <w:p>
      <w:pPr>
        <w:spacing w:after="0" w:line="60"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Each unit and all securities comprising the unit will be issued in the same form.</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If we issue any units in registered, non-global form, the following will apply to them.</w:t>
      </w:r>
    </w:p>
    <w:p>
      <w:pPr>
        <w:spacing w:after="0" w:line="156" w:lineRule="exact"/>
        <w:rPr>
          <w:sz w:val="20"/>
          <w:szCs w:val="20"/>
          <w:color w:val="auto"/>
        </w:rPr>
      </w:pPr>
    </w:p>
    <w:p>
      <w:pPr>
        <w:ind w:left="120" w:right="480"/>
        <w:spacing w:after="0" w:line="267" w:lineRule="auto"/>
        <w:rPr>
          <w:sz w:val="20"/>
          <w:szCs w:val="20"/>
          <w:color w:val="auto"/>
        </w:rPr>
      </w:pPr>
      <w:r>
        <w:rPr>
          <w:rFonts w:ascii="Arial" w:cs="Arial" w:eastAsia="Arial" w:hAnsi="Arial"/>
          <w:sz w:val="17"/>
          <w:szCs w:val="17"/>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146" w:lineRule="exact"/>
        <w:rPr>
          <w:sz w:val="20"/>
          <w:szCs w:val="20"/>
          <w:color w:val="auto"/>
        </w:rPr>
      </w:pPr>
    </w:p>
    <w:p>
      <w:pPr>
        <w:ind w:left="980" w:right="600" w:hanging="432"/>
        <w:spacing w:after="0" w:line="253" w:lineRule="auto"/>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6"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4" w:lineRule="exact"/>
        <w:rPr>
          <w:rFonts w:ascii="MS PGothic" w:cs="MS PGothic" w:eastAsia="MS PGothic" w:hAnsi="MS PGothic"/>
          <w:sz w:val="13"/>
          <w:szCs w:val="13"/>
          <w:color w:val="auto"/>
        </w:rPr>
      </w:pPr>
    </w:p>
    <w:p>
      <w:pPr>
        <w:ind w:left="980" w:right="80" w:hanging="432"/>
        <w:spacing w:after="0" w:line="239" w:lineRule="auto"/>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Only the depositary will be entitled to transfer or exchange a unit in global form, since it will be the sole holder of the unit.</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Payments and Notices</w:t>
      </w:r>
    </w:p>
    <w:p>
      <w:pPr>
        <w:spacing w:after="0" w:line="60" w:lineRule="exact"/>
        <w:rPr>
          <w:sz w:val="20"/>
          <w:szCs w:val="20"/>
          <w:color w:val="auto"/>
        </w:rPr>
      </w:pPr>
    </w:p>
    <w:p>
      <w:pPr>
        <w:ind w:left="120" w:right="720"/>
        <w:spacing w:after="0" w:line="267" w:lineRule="auto"/>
        <w:rPr>
          <w:sz w:val="20"/>
          <w:szCs w:val="20"/>
          <w:color w:val="auto"/>
        </w:rPr>
      </w:pPr>
      <w:r>
        <w:rPr>
          <w:rFonts w:ascii="Arial" w:cs="Arial" w:eastAsia="Arial" w:hAnsi="Arial"/>
          <w:sz w:val="17"/>
          <w:szCs w:val="17"/>
          <w:color w:val="auto"/>
        </w:rPr>
        <w:t>In making payments and giving notices with respect to our units, we will follow the procedures as described in the applicable prospectus supplement.</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080"/>
          </w:cols>
          <w:pgMar w:left="320" w:top="455" w:right="4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316" w:lineRule="exact"/>
        <w:rPr>
          <w:sz w:val="20"/>
          <w:szCs w:val="20"/>
          <w:color w:val="auto"/>
        </w:rPr>
      </w:pPr>
    </w:p>
    <w:p>
      <w:pPr>
        <w:ind w:left="120" w:right="200"/>
        <w:spacing w:after="0" w:line="238" w:lineRule="auto"/>
        <w:rPr>
          <w:sz w:val="20"/>
          <w:szCs w:val="20"/>
          <w:color w:val="auto"/>
        </w:rPr>
      </w:pPr>
      <w:r>
        <w:rPr>
          <w:rFonts w:ascii="Arial" w:cs="Arial" w:eastAsia="Arial" w:hAnsi="Arial"/>
          <w:sz w:val="17"/>
          <w:szCs w:val="17"/>
          <w:color w:val="auto"/>
        </w:rPr>
        <w:t>We may sell the securities offered through this prospectus and any accompanying prospectus supplement, if required, in any of the following ways: (i) to or through underwriters or dealers, (ii) directly to purchasers, including our affiliates, (iii) through agents, (iv) in an “at the market offering,” within the meaning of Rule 415(a)(4) of the Securities Act, to or through market makers or into an existing market for the securities; or</w:t>
      </w:r>
    </w:p>
    <w:p>
      <w:pPr>
        <w:spacing w:after="0" w:line="1" w:lineRule="exact"/>
        <w:rPr>
          <w:sz w:val="20"/>
          <w:szCs w:val="20"/>
          <w:color w:val="auto"/>
        </w:rPr>
      </w:pPr>
    </w:p>
    <w:p>
      <w:pPr>
        <w:jc w:val="both"/>
        <w:ind w:left="120" w:right="320" w:hanging="4"/>
        <w:spacing w:after="0"/>
        <w:tabs>
          <w:tab w:leader="none" w:pos="367"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through a combination of any of these methods or any other method permitted by law. The securities may be distributed at a fixed price or prices, which may be changed, market prices prevailing at the time of sale, prices related to the prevailing market prices, or negotiated prices, either:</w:t>
      </w:r>
    </w:p>
    <w:p>
      <w:pPr>
        <w:spacing w:after="0" w:line="167" w:lineRule="exact"/>
        <w:rPr>
          <w:rFonts w:ascii="Arial" w:cs="Arial" w:eastAsia="Arial" w:hAnsi="Arial"/>
          <w:sz w:val="17"/>
          <w:szCs w:val="17"/>
          <w:color w:val="auto"/>
        </w:rPr>
      </w:pPr>
    </w:p>
    <w:p>
      <w:pPr>
        <w:ind w:left="980" w:right="360" w:hanging="432"/>
        <w:spacing w:after="0" w:line="253" w:lineRule="auto"/>
        <w:tabs>
          <w:tab w:leader="none" w:pos="980" w:val="left"/>
        </w:tabs>
        <w:numPr>
          <w:ilvl w:val="1"/>
          <w:numId w:val="40"/>
        </w:numPr>
        <w:rPr>
          <w:rFonts w:ascii="MS PGothic" w:cs="MS PGothic" w:eastAsia="MS PGothic" w:hAnsi="MS PGothic"/>
          <w:sz w:val="13"/>
          <w:szCs w:val="13"/>
          <w:color w:val="auto"/>
        </w:rPr>
      </w:pPr>
      <w:r>
        <w:rPr>
          <w:rFonts w:ascii="Arial" w:cs="Arial" w:eastAsia="Arial" w:hAnsi="Arial"/>
          <w:sz w:val="17"/>
          <w:szCs w:val="17"/>
          <w:color w:val="auto"/>
        </w:rPr>
        <w:t>on or through the facilities of The Nasdaq Global Market or any other securities exchange or quotation or trading service on which such securities may be listed, quoted or traded at the time of sale; and/or</w:t>
      </w:r>
    </w:p>
    <w:p>
      <w:pPr>
        <w:spacing w:after="0" w:line="6" w:lineRule="exact"/>
        <w:rPr>
          <w:rFonts w:ascii="MS PGothic" w:cs="MS PGothic" w:eastAsia="MS PGothic" w:hAnsi="MS PGothic"/>
          <w:sz w:val="13"/>
          <w:szCs w:val="13"/>
          <w:color w:val="auto"/>
        </w:rPr>
      </w:pPr>
    </w:p>
    <w:p>
      <w:pPr>
        <w:ind w:left="980" w:right="40" w:hanging="432"/>
        <w:spacing w:after="0" w:line="267" w:lineRule="auto"/>
        <w:tabs>
          <w:tab w:leader="none" w:pos="980" w:val="left"/>
        </w:tabs>
        <w:numPr>
          <w:ilvl w:val="1"/>
          <w:numId w:val="40"/>
        </w:numPr>
        <w:rPr>
          <w:rFonts w:ascii="MS PGothic" w:cs="MS PGothic" w:eastAsia="MS PGothic" w:hAnsi="MS PGothic"/>
          <w:sz w:val="13"/>
          <w:szCs w:val="13"/>
          <w:color w:val="auto"/>
        </w:rPr>
      </w:pPr>
      <w:r>
        <w:rPr>
          <w:rFonts w:ascii="Arial" w:cs="Arial" w:eastAsia="Arial" w:hAnsi="Arial"/>
          <w:sz w:val="17"/>
          <w:szCs w:val="17"/>
          <w:color w:val="auto"/>
        </w:rPr>
        <w:t>to or through a market maker otherwise than on The Nasdaq Global Market or such other securities exchanges or quotation or trading services.</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addition, we may issue the securities as a dividend or distribution or in a subscription rights offering to our existing security holders.</w:t>
      </w:r>
    </w:p>
    <w:p>
      <w:pPr>
        <w:spacing w:after="0" w:line="156"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distribution of the securities may be effected from time to time in one or more transactions:</w:t>
      </w:r>
    </w:p>
    <w:p>
      <w:pPr>
        <w:spacing w:after="0" w:line="196" w:lineRule="exact"/>
        <w:rPr>
          <w:sz w:val="20"/>
          <w:szCs w:val="20"/>
          <w:color w:val="auto"/>
        </w:rPr>
      </w:pPr>
    </w:p>
    <w:p>
      <w:pPr>
        <w:ind w:left="980" w:hanging="432"/>
        <w:spacing w:after="0"/>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at a fixed price, or prices, which may be changed from time to time;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at market prices prevailing at the time of sale;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at prices related to such prevailing market prices;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at negotiated prices.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Each prospectus supplement will describe the method of distribution of the securities and any applicable restrictions.</w:t>
      </w:r>
    </w:p>
    <w:p>
      <w:pPr>
        <w:spacing w:after="0" w:line="156" w:lineRule="exact"/>
        <w:rPr>
          <w:sz w:val="20"/>
          <w:szCs w:val="20"/>
          <w:color w:val="auto"/>
        </w:rPr>
      </w:pPr>
    </w:p>
    <w:p>
      <w:pPr>
        <w:ind w:left="120" w:right="260"/>
        <w:spacing w:after="0" w:line="267" w:lineRule="auto"/>
        <w:rPr>
          <w:sz w:val="20"/>
          <w:szCs w:val="20"/>
          <w:color w:val="auto"/>
        </w:rPr>
      </w:pPr>
      <w:r>
        <w:rPr>
          <w:rFonts w:ascii="Arial" w:cs="Arial" w:eastAsia="Arial" w:hAnsi="Arial"/>
          <w:sz w:val="17"/>
          <w:szCs w:val="17"/>
          <w:color w:val="auto"/>
        </w:rPr>
        <w:t>The prospectus supplement with respect to the securities of a particular series will describe the terms of the offering of the securities, including the following:</w:t>
      </w:r>
    </w:p>
    <w:p>
      <w:pPr>
        <w:spacing w:after="0" w:line="146" w:lineRule="exact"/>
        <w:rPr>
          <w:sz w:val="20"/>
          <w:szCs w:val="20"/>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the name of the agent or any underwriters;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the public offering or purchase price;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any discounts and commissions to be allowed or paid to the agent or underwriters;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all other items constituting underwriting compensation;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any discounts and commissions to be allowed or paid to dealers;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any exchanges on which the securities will be listed.</w:t>
      </w:r>
    </w:p>
    <w:p>
      <w:pPr>
        <w:spacing w:after="0" w:line="156" w:lineRule="exact"/>
        <w:rPr>
          <w:sz w:val="20"/>
          <w:szCs w:val="20"/>
          <w:color w:val="auto"/>
        </w:rPr>
      </w:pPr>
    </w:p>
    <w:p>
      <w:pPr>
        <w:ind w:left="120" w:right="700"/>
        <w:spacing w:after="0" w:line="249" w:lineRule="auto"/>
        <w:rPr>
          <w:sz w:val="20"/>
          <w:szCs w:val="20"/>
          <w:color w:val="auto"/>
        </w:rPr>
      </w:pPr>
      <w:r>
        <w:rPr>
          <w:rFonts w:ascii="Arial" w:cs="Arial" w:eastAsia="Arial" w:hAnsi="Arial"/>
          <w:sz w:val="17"/>
          <w:szCs w:val="17"/>
          <w:color w:val="auto"/>
        </w:rPr>
        <w:t>If any underwriters or agents are used in the sale of the securities in respect of which this prospectus is delivered, we will enter into an underwriting agreement, sale agreement or other agreement with them at the time of sale to them, and we will set forth in the prospectus supplement relating to such offering the names of the underwriters or agents and the terms of the related agreement with them.</w:t>
      </w:r>
    </w:p>
    <w:p>
      <w:pPr>
        <w:spacing w:after="0" w:line="121" w:lineRule="exact"/>
        <w:rPr>
          <w:sz w:val="20"/>
          <w:szCs w:val="20"/>
          <w:color w:val="auto"/>
        </w:rPr>
      </w:pPr>
    </w:p>
    <w:p>
      <w:pPr>
        <w:ind w:left="120" w:right="100"/>
        <w:spacing w:after="0" w:line="249" w:lineRule="auto"/>
        <w:rPr>
          <w:sz w:val="20"/>
          <w:szCs w:val="20"/>
          <w:color w:val="auto"/>
        </w:rPr>
      </w:pPr>
      <w:r>
        <w:rPr>
          <w:rFonts w:ascii="Arial" w:cs="Arial" w:eastAsia="Arial" w:hAnsi="Arial"/>
          <w:sz w:val="17"/>
          <w:szCs w:val="17"/>
          <w:color w:val="auto"/>
        </w:rPr>
        <w:t>In connection with the offering of securities, we may grant to the underwriters an option to purchase additional securities with an additional underwriting commission, as may be set forth in the accompanying prospectus supplement. If we grant any such option, the terms of such option will be set forth in the prospectus supplement for such securities.</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00"/>
        <w:spacing w:after="0" w:line="249" w:lineRule="auto"/>
        <w:rPr>
          <w:sz w:val="20"/>
          <w:szCs w:val="20"/>
          <w:color w:val="auto"/>
        </w:rPr>
      </w:pPr>
      <w:r>
        <w:rPr>
          <w:rFonts w:ascii="Arial" w:cs="Arial" w:eastAsia="Arial" w:hAnsi="Arial"/>
          <w:sz w:val="17"/>
          <w:szCs w:val="17"/>
          <w:color w:val="auto"/>
        </w:rPr>
        <w:t>If a dealer is used in the sale of the securities in respect of which the prospectus is delivered, we will sell such securities to the dealer, as principal. The dealer, who may be deemed to be an “underwriter” as that term is defined in the Securities Act, may then resell such securities to the public at varying prices to be determined by such dealer at the time of resale.</w:t>
      </w:r>
    </w:p>
    <w:p>
      <w:pPr>
        <w:spacing w:after="0" w:line="121" w:lineRule="exact"/>
        <w:rPr>
          <w:sz w:val="20"/>
          <w:szCs w:val="20"/>
          <w:color w:val="auto"/>
        </w:rPr>
      </w:pPr>
    </w:p>
    <w:p>
      <w:pPr>
        <w:ind w:left="120" w:right="80"/>
        <w:spacing w:after="0" w:line="244" w:lineRule="auto"/>
        <w:rPr>
          <w:sz w:val="20"/>
          <w:szCs w:val="20"/>
          <w:color w:val="auto"/>
        </w:rPr>
      </w:pPr>
      <w:r>
        <w:rPr>
          <w:rFonts w:ascii="Arial" w:cs="Arial" w:eastAsia="Arial" w:hAnsi="Arial"/>
          <w:sz w:val="17"/>
          <w:szCs w:val="17"/>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23" w:lineRule="exact"/>
        <w:rPr>
          <w:sz w:val="20"/>
          <w:szCs w:val="20"/>
          <w:color w:val="auto"/>
        </w:rPr>
      </w:pPr>
    </w:p>
    <w:p>
      <w:pPr>
        <w:ind w:left="120" w:right="320"/>
        <w:spacing w:after="0" w:line="249" w:lineRule="auto"/>
        <w:rPr>
          <w:sz w:val="20"/>
          <w:szCs w:val="20"/>
          <w:color w:val="auto"/>
        </w:rPr>
      </w:pPr>
      <w:r>
        <w:rPr>
          <w:rFonts w:ascii="Arial" w:cs="Arial" w:eastAsia="Arial" w:hAnsi="Arial"/>
          <w:sz w:val="17"/>
          <w:szCs w:val="17"/>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21"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69" w:lineRule="exact"/>
        <w:rPr>
          <w:sz w:val="20"/>
          <w:szCs w:val="20"/>
          <w:color w:val="auto"/>
        </w:rPr>
      </w:pPr>
    </w:p>
    <w:p>
      <w:pPr>
        <w:ind w:left="980" w:hanging="432"/>
        <w:spacing w:after="0" w:line="253" w:lineRule="auto"/>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the purchase by an institution of the securities covered under that contract shall not at the time of delivery be prohibited under the laws of the jurisdiction to which that institution is subject; and</w:t>
      </w:r>
    </w:p>
    <w:p>
      <w:pPr>
        <w:spacing w:after="0" w:line="6" w:lineRule="exact"/>
        <w:rPr>
          <w:rFonts w:ascii="MS PGothic" w:cs="MS PGothic" w:eastAsia="MS PGothic" w:hAnsi="MS PGothic"/>
          <w:sz w:val="13"/>
          <w:szCs w:val="13"/>
          <w:color w:val="auto"/>
        </w:rPr>
      </w:pPr>
    </w:p>
    <w:p>
      <w:pPr>
        <w:ind w:left="980" w:right="120" w:hanging="432"/>
        <w:spacing w:after="0" w:line="249" w:lineRule="auto"/>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21" w:lineRule="exact"/>
        <w:rPr>
          <w:sz w:val="20"/>
          <w:szCs w:val="20"/>
          <w:color w:val="auto"/>
        </w:rPr>
      </w:pPr>
    </w:p>
    <w:p>
      <w:pPr>
        <w:ind w:left="120" w:right="140"/>
        <w:spacing w:after="0" w:line="241" w:lineRule="auto"/>
        <w:rPr>
          <w:sz w:val="20"/>
          <w:szCs w:val="20"/>
          <w:color w:val="auto"/>
        </w:rPr>
      </w:pPr>
      <w:r>
        <w:rPr>
          <w:rFonts w:ascii="Arial" w:cs="Arial" w:eastAsia="Arial" w:hAnsi="Arial"/>
          <w:sz w:val="17"/>
          <w:szCs w:val="17"/>
          <w:color w:val="auto"/>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spacing w:after="0" w:line="126" w:lineRule="exact"/>
        <w:rPr>
          <w:sz w:val="20"/>
          <w:szCs w:val="20"/>
          <w:color w:val="auto"/>
        </w:rPr>
      </w:pPr>
    </w:p>
    <w:p>
      <w:pPr>
        <w:ind w:left="120" w:right="160"/>
        <w:spacing w:after="0" w:line="249" w:lineRule="auto"/>
        <w:rPr>
          <w:sz w:val="20"/>
          <w:szCs w:val="20"/>
          <w:color w:val="auto"/>
        </w:rPr>
      </w:pPr>
      <w:r>
        <w:rPr>
          <w:rFonts w:ascii="Arial" w:cs="Arial" w:eastAsia="Arial" w:hAnsi="Arial"/>
          <w:sz w:val="17"/>
          <w:szCs w:val="17"/>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21"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33" w:lineRule="exact"/>
        <w:rPr>
          <w:sz w:val="20"/>
          <w:szCs w:val="20"/>
          <w:color w:val="auto"/>
        </w:rPr>
      </w:pPr>
    </w:p>
    <w:p>
      <w:pPr>
        <w:ind w:left="120" w:right="100"/>
        <w:spacing w:after="0" w:line="267" w:lineRule="auto"/>
        <w:rPr>
          <w:sz w:val="20"/>
          <w:szCs w:val="20"/>
          <w:color w:val="auto"/>
        </w:rPr>
      </w:pPr>
      <w:r>
        <w:rPr>
          <w:rFonts w:ascii="Arial" w:cs="Arial" w:eastAsia="Arial" w:hAnsi="Arial"/>
          <w:sz w:val="17"/>
          <w:szCs w:val="17"/>
          <w:color w:val="auto"/>
        </w:rPr>
        <w:t>We may engage in at the market offerings into an existing trading market in accordance with Rule 415(a)(4) under the Securities Act. In addition, we may enter into derivative transactions with third parties, or sell securities not</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covered by this prospectus to third parties in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33"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first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w:t>
      </w:r>
    </w:p>
    <w:p>
      <w:pPr>
        <w:spacing w:after="0" w:line="128" w:lineRule="exact"/>
        <w:rPr>
          <w:sz w:val="20"/>
          <w:szCs w:val="20"/>
          <w:color w:val="auto"/>
        </w:rPr>
      </w:pPr>
    </w:p>
    <w:p>
      <w:pPr>
        <w:jc w:val="both"/>
        <w:ind w:left="120" w:right="40"/>
        <w:spacing w:after="0" w:line="249" w:lineRule="auto"/>
        <w:rPr>
          <w:sz w:val="20"/>
          <w:szCs w:val="20"/>
          <w:color w:val="auto"/>
        </w:rPr>
      </w:pPr>
      <w:r>
        <w:rPr>
          <w:rFonts w:ascii="Arial" w:cs="Arial" w:eastAsia="Arial" w:hAnsi="Arial"/>
          <w:sz w:val="17"/>
          <w:szCs w:val="17"/>
          <w:color w:val="auto"/>
        </w:rPr>
        <w:t>The securities may be new issues of securities and may have no established trading market, other than the shares of Common Stock, which are listed on Nasdaq Global Market. The securities may or may not be listed on a national securities exchange. We can make no assurance as to the liquidity of or the existence of trading markets for any of the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specific terms of any lock-up provisions in respect of any given offering will be described in the applicable prospectus supplement.</w:t>
      </w:r>
    </w:p>
    <w:p>
      <w:pPr>
        <w:spacing w:after="0" w:line="156"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7"/>
          <w:szCs w:val="17"/>
          <w:color w:val="auto"/>
        </w:rPr>
        <w:t>Any underwriters, dealers and agents may engage in transactions with us, or perform services for us, in the ordinary course of business for which they receive compensation.</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anticipated date of delivery of offered securities will be set forth in the applicable prospectus supplement relating to each offer.</w:t>
      </w:r>
    </w:p>
    <w:p>
      <w:pPr>
        <w:spacing w:after="0" w:line="15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100"/>
          </w:cols>
          <w:pgMar w:left="320" w:top="455"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316" w:lineRule="exact"/>
        <w:rPr>
          <w:sz w:val="20"/>
          <w:szCs w:val="20"/>
          <w:color w:val="auto"/>
        </w:rPr>
      </w:pPr>
    </w:p>
    <w:p>
      <w:pPr>
        <w:jc w:val="both"/>
        <w:ind w:left="120" w:right="500"/>
        <w:spacing w:after="0" w:line="249" w:lineRule="auto"/>
        <w:rPr>
          <w:sz w:val="20"/>
          <w:szCs w:val="20"/>
          <w:color w:val="auto"/>
        </w:rPr>
      </w:pPr>
      <w:r>
        <w:rPr>
          <w:rFonts w:ascii="Arial" w:cs="Arial" w:eastAsia="Arial" w:hAnsi="Arial"/>
          <w:sz w:val="17"/>
          <w:szCs w:val="17"/>
          <w:color w:val="auto"/>
        </w:rPr>
        <w:t>Unless the applicable prospectus supplement indicates otherwise, the validity of the securities in respect of which this prospectus is being delivered will be passed upon by Goodwin Procter LLP, Boston, Massachusetts. Additional legal matters may be passed upon for us or any underwriters, dealers or agents, by counsel that we will name in the applicable prospectus supplement.</w:t>
      </w:r>
    </w:p>
    <w:p>
      <w:pPr>
        <w:spacing w:after="0" w:line="39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316" w:lineRule="exact"/>
        <w:rPr>
          <w:sz w:val="20"/>
          <w:szCs w:val="20"/>
          <w:color w:val="auto"/>
        </w:rPr>
      </w:pPr>
    </w:p>
    <w:p>
      <w:pPr>
        <w:ind w:left="120" w:right="180"/>
        <w:spacing w:after="0" w:line="239"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2024 have been so incorporated in reliance on the report (which contains an explanatory paragraph relating to the Company’s incurrence of significant operating losses and expectation to continue generating operating losses and negative cash flows from operations for the foreseeable future as described in Note 1 to the financial statements)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16" w:lineRule="exact"/>
        <w:rPr>
          <w:sz w:val="20"/>
          <w:szCs w:val="20"/>
          <w:color w:val="auto"/>
        </w:rPr>
      </w:pPr>
    </w:p>
    <w:p>
      <w:pPr>
        <w:ind w:left="120" w:right="320"/>
        <w:spacing w:after="0" w:line="249" w:lineRule="auto"/>
        <w:rPr>
          <w:sz w:val="20"/>
          <w:szCs w:val="20"/>
          <w:color w:val="auto"/>
        </w:rPr>
      </w:pPr>
      <w:r>
        <w:rPr>
          <w:rFonts w:ascii="Arial" w:cs="Arial" w:eastAsia="Arial" w:hAnsi="Arial"/>
          <w:sz w:val="17"/>
          <w:szCs w:val="17"/>
          <w:color w:val="auto"/>
        </w:rPr>
        <w:t>We file annual, quarterly and current reports, proxy statements and other information with the SEC. Our SEC filings are available to the public over the Internet at the SEC’s website at www.sec.gov and on our investor website at https://ir.tangotx.com/. Our website is not a part of this prospectus and is not incorporated by reference in this prospectus.</w:t>
      </w:r>
    </w:p>
    <w:p>
      <w:pPr>
        <w:spacing w:after="0" w:line="121"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We have the authority to designate and issue more than one class or series of stock having various preferences, conversion and other rights, voting powers, restrictions, limitations as to dividends, qualifications, and terms and conditions of redemption. See “</w:t>
      </w:r>
      <w:r>
        <w:rPr>
          <w:rFonts w:ascii="Arial" w:cs="Arial" w:eastAsia="Arial" w:hAnsi="Arial"/>
          <w:sz w:val="17"/>
          <w:szCs w:val="17"/>
          <w:i w:val="1"/>
          <w:iCs w:val="1"/>
          <w:color w:val="auto"/>
        </w:rPr>
        <w:t>Description of Capital Stock</w:t>
      </w:r>
      <w:r>
        <w:rPr>
          <w:rFonts w:ascii="Arial" w:cs="Arial" w:eastAsia="Arial" w:hAnsi="Arial"/>
          <w:sz w:val="17"/>
          <w:szCs w:val="17"/>
          <w:color w:val="auto"/>
        </w:rPr>
        <w:t>.” We will furnish a full statement of the relative rights and preferences of each class or series of our stock which has been so designated and any restrictions on the ownership or transfer of our stock to any stockholder upon request and without charge. Written requests for such copies should be directed to Tango Therapeutics, Inc., 201 Brookline Avenue, Suite 901, Boston, MA 02215, Attention: Corporate Secretary.</w:t>
      </w:r>
    </w:p>
    <w:p>
      <w:pPr>
        <w:spacing w:after="0" w:line="126" w:lineRule="exact"/>
        <w:rPr>
          <w:sz w:val="20"/>
          <w:szCs w:val="20"/>
          <w:color w:val="auto"/>
        </w:rPr>
      </w:pPr>
    </w:p>
    <w:p>
      <w:pPr>
        <w:ind w:left="120" w:right="80"/>
        <w:spacing w:after="0" w:line="241" w:lineRule="auto"/>
        <w:rPr>
          <w:sz w:val="20"/>
          <w:szCs w:val="20"/>
          <w:color w:val="auto"/>
        </w:rPr>
      </w:pPr>
      <w:r>
        <w:rPr>
          <w:rFonts w:ascii="Arial" w:cs="Arial" w:eastAsia="Arial" w:hAnsi="Arial"/>
          <w:sz w:val="17"/>
          <w:szCs w:val="17"/>
          <w:color w:val="auto"/>
        </w:rPr>
        <w:t>This prospectus is part of a registration statement on Form S-3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BY REFERENCE</w:t>
      </w:r>
    </w:p>
    <w:p>
      <w:pPr>
        <w:spacing w:after="0" w:line="31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Securities Exchange Act of 1934, as amended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w:t>
      </w:r>
    </w:p>
    <w:p>
      <w:pPr>
        <w:spacing w:after="0" w:line="170" w:lineRule="exact"/>
        <w:rPr>
          <w:sz w:val="20"/>
          <w:szCs w:val="20"/>
          <w:color w:val="auto"/>
        </w:rPr>
      </w:pPr>
    </w:p>
    <w:p>
      <w:pPr>
        <w:ind w:left="980" w:hanging="432"/>
        <w:spacing w:after="0"/>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Annual Report on </w:t>
      </w:r>
      <w:hyperlink r:id="rId53">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fiscal year ended December 31, 2024, filed with the SEC on February 27, 2025;</w:t>
      </w:r>
    </w:p>
    <w:p>
      <w:pPr>
        <w:spacing w:after="0" w:line="34" w:lineRule="exact"/>
        <w:rPr>
          <w:rFonts w:ascii="Arial" w:cs="Arial" w:eastAsia="Arial" w:hAnsi="Arial"/>
          <w:sz w:val="17"/>
          <w:szCs w:val="17"/>
          <w:color w:val="auto"/>
        </w:rPr>
      </w:pPr>
    </w:p>
    <w:p>
      <w:pPr>
        <w:jc w:val="both"/>
        <w:ind w:left="980" w:right="200" w:hanging="432"/>
        <w:spacing w:after="0" w:line="246"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The information specifically incorporated by reference into our Annual Report on </w:t>
      </w:r>
      <w:hyperlink r:id="rId53">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December 31, 2024 from our amended definitive proxy statement on </w:t>
      </w:r>
      <w:hyperlink r:id="rId92">
        <w:r>
          <w:rPr>
            <w:rFonts w:ascii="Arial" w:cs="Arial" w:eastAsia="Arial" w:hAnsi="Arial"/>
            <w:sz w:val="17"/>
            <w:szCs w:val="17"/>
            <w:u w:val="single" w:color="auto"/>
            <w:color w:val="0000EE"/>
          </w:rPr>
          <w:t>Schedule 14A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(other than information furnished rather than filed) filed with the SEC on April 24, 2025;</w:t>
      </w:r>
    </w:p>
    <w:p>
      <w:pPr>
        <w:spacing w:after="0" w:line="6" w:lineRule="exact"/>
        <w:rPr>
          <w:rFonts w:ascii="Arial" w:cs="Arial" w:eastAsia="Arial" w:hAnsi="Arial"/>
          <w:sz w:val="17"/>
          <w:szCs w:val="17"/>
          <w:color w:val="auto"/>
        </w:rPr>
      </w:pPr>
    </w:p>
    <w:p>
      <w:pPr>
        <w:ind w:left="980" w:hanging="432"/>
        <w:spacing w:after="0"/>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Quarterly Report on </w:t>
      </w:r>
      <w:hyperlink r:id="rId93">
        <w:r>
          <w:rPr>
            <w:rFonts w:ascii="Arial" w:cs="Arial" w:eastAsia="Arial" w:hAnsi="Arial"/>
            <w:sz w:val="17"/>
            <w:szCs w:val="17"/>
            <w:u w:val="single" w:color="auto"/>
            <w:color w:val="0000EE"/>
          </w:rPr>
          <w:t>Form 10-Q</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quarter ended March 31, 2025, filed with the SEC on May 12, 2025; and</w:t>
      </w:r>
    </w:p>
    <w:p>
      <w:pPr>
        <w:spacing w:after="0" w:line="34" w:lineRule="exact"/>
        <w:rPr>
          <w:rFonts w:ascii="Arial" w:cs="Arial" w:eastAsia="Arial" w:hAnsi="Arial"/>
          <w:sz w:val="17"/>
          <w:szCs w:val="17"/>
          <w:color w:val="auto"/>
        </w:rPr>
      </w:pPr>
    </w:p>
    <w:p>
      <w:pPr>
        <w:jc w:val="both"/>
        <w:ind w:left="980" w:right="60" w:hanging="432"/>
        <w:spacing w:after="0" w:line="249"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contained in our Registration Statement on </w:t>
      </w:r>
      <w:hyperlink r:id="rId60">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filed on September 2, 2020, including any amendments or reports filed for the purpose of updating such description, including </w:t>
      </w:r>
      <w:hyperlink r:id="rId61">
        <w:r>
          <w:rPr>
            <w:rFonts w:ascii="Arial" w:cs="Arial" w:eastAsia="Arial" w:hAnsi="Arial"/>
            <w:sz w:val="17"/>
            <w:szCs w:val="17"/>
            <w:u w:val="single" w:color="auto"/>
            <w:color w:val="0000EE"/>
          </w:rPr>
          <w:t>Exhibit 4.2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our Annual Report on Form 10-K for the year ended December 31, 2024.</w:t>
      </w:r>
    </w:p>
    <w:p>
      <w:pPr>
        <w:spacing w:after="0" w:line="121" w:lineRule="exact"/>
        <w:rPr>
          <w:rFonts w:ascii="MS PGothic" w:cs="MS PGothic" w:eastAsia="MS PGothic" w:hAnsi="MS PGothic"/>
          <w:sz w:val="13"/>
          <w:szCs w:val="13"/>
          <w:color w:val="auto"/>
        </w:rPr>
      </w:pPr>
    </w:p>
    <w:p>
      <w:pPr>
        <w:ind w:left="120" w:right="500"/>
        <w:spacing w:after="0" w:line="267" w:lineRule="auto"/>
        <w:rPr>
          <w:sz w:val="20"/>
          <w:szCs w:val="20"/>
          <w:color w:val="auto"/>
        </w:rPr>
      </w:pPr>
      <w:r>
        <w:rPr>
          <w:rFonts w:ascii="Arial" w:cs="Arial" w:eastAsia="Arial" w:hAnsi="Arial"/>
          <w:sz w:val="17"/>
          <w:szCs w:val="17"/>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05" w:lineRule="exact"/>
        <w:rPr>
          <w:rFonts w:ascii="MS PGothic" w:cs="MS PGothic" w:eastAsia="MS PGothic" w:hAnsi="MS PGothic"/>
          <w:sz w:val="13"/>
          <w:szCs w:val="13"/>
          <w:color w:val="auto"/>
        </w:rPr>
      </w:pPr>
    </w:p>
    <w:p>
      <w:pPr>
        <w:ind w:left="120" w:right="40"/>
        <w:spacing w:after="0" w:line="267" w:lineRule="auto"/>
        <w:rPr>
          <w:sz w:val="20"/>
          <w:szCs w:val="20"/>
          <w:color w:val="auto"/>
        </w:rPr>
      </w:pPr>
      <w:r>
        <w:rPr>
          <w:rFonts w:ascii="Arial" w:cs="Arial" w:eastAsia="Arial" w:hAnsi="Arial"/>
          <w:sz w:val="17"/>
          <w:szCs w:val="17"/>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05" w:lineRule="exact"/>
        <w:rPr>
          <w:rFonts w:ascii="MS PGothic" w:cs="MS PGothic" w:eastAsia="MS PGothic" w:hAnsi="MS PGothic"/>
          <w:sz w:val="13"/>
          <w:szCs w:val="13"/>
          <w:color w:val="auto"/>
        </w:rPr>
      </w:pPr>
    </w:p>
    <w:p>
      <w:pPr>
        <w:ind w:left="120"/>
        <w:spacing w:after="0" w:line="249" w:lineRule="auto"/>
        <w:rPr>
          <w:sz w:val="20"/>
          <w:szCs w:val="20"/>
          <w:color w:val="auto"/>
        </w:rPr>
      </w:pPr>
      <w:r>
        <w:rPr>
          <w:rFonts w:ascii="Arial" w:cs="Arial" w:eastAsia="Arial" w:hAnsi="Arial"/>
          <w:sz w:val="17"/>
          <w:szCs w:val="17"/>
          <w:color w:val="auto"/>
        </w:rPr>
        <w:t>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or the registration statement of which this prospectus is a part.</w:t>
      </w:r>
    </w:p>
    <w:p>
      <w:pPr>
        <w:spacing w:after="0" w:line="121" w:lineRule="exact"/>
        <w:rPr>
          <w:rFonts w:ascii="MS PGothic" w:cs="MS PGothic" w:eastAsia="MS PGothic" w:hAnsi="MS PGothic"/>
          <w:sz w:val="13"/>
          <w:szCs w:val="13"/>
          <w:color w:val="auto"/>
        </w:rPr>
      </w:pPr>
    </w:p>
    <w:p>
      <w:pPr>
        <w:ind w:left="120"/>
        <w:spacing w:after="0"/>
        <w:rPr>
          <w:sz w:val="20"/>
          <w:szCs w:val="20"/>
          <w:color w:val="auto"/>
        </w:rPr>
      </w:pPr>
      <w:r>
        <w:rPr>
          <w:rFonts w:ascii="Arial" w:cs="Arial" w:eastAsia="Arial" w:hAnsi="Arial"/>
          <w:sz w:val="17"/>
          <w:szCs w:val="17"/>
          <w:color w:val="auto"/>
        </w:rPr>
        <w:t>You may request a copy of these filings, at no cost, by writing or telephoning us at the following address or telephone number:</w:t>
      </w:r>
    </w:p>
    <w:p>
      <w:pPr>
        <w:spacing w:after="0" w:line="156" w:lineRule="exact"/>
        <w:rPr>
          <w:rFonts w:ascii="MS PGothic" w:cs="MS PGothic" w:eastAsia="MS PGothic" w:hAnsi="MS PGothic"/>
          <w:sz w:val="13"/>
          <w:szCs w:val="13"/>
          <w:color w:val="auto"/>
        </w:rPr>
      </w:pPr>
    </w:p>
    <w:p>
      <w:pPr>
        <w:jc w:val="center"/>
        <w:ind w:right="-119"/>
        <w:spacing w:after="0"/>
        <w:rPr>
          <w:sz w:val="20"/>
          <w:szCs w:val="20"/>
          <w:color w:val="auto"/>
        </w:rPr>
      </w:pPr>
      <w:r>
        <w:rPr>
          <w:rFonts w:ascii="Arial" w:cs="Arial" w:eastAsia="Arial" w:hAnsi="Arial"/>
          <w:sz w:val="17"/>
          <w:szCs w:val="17"/>
          <w:color w:val="auto"/>
        </w:rPr>
        <w:t>201 Brookline Avenue, Suite 901</w:t>
      </w:r>
    </w:p>
    <w:p>
      <w:pPr>
        <w:spacing w:after="0" w:line="3" w:lineRule="exact"/>
        <w:rPr>
          <w:rFonts w:ascii="MS PGothic" w:cs="MS PGothic" w:eastAsia="MS PGothic" w:hAnsi="MS PGothic"/>
          <w:sz w:val="13"/>
          <w:szCs w:val="13"/>
          <w:color w:val="auto"/>
        </w:rPr>
      </w:pPr>
    </w:p>
    <w:p>
      <w:pPr>
        <w:jc w:val="center"/>
        <w:ind w:right="-119"/>
        <w:spacing w:after="0"/>
        <w:rPr>
          <w:sz w:val="20"/>
          <w:szCs w:val="20"/>
          <w:color w:val="auto"/>
        </w:rPr>
      </w:pPr>
      <w:r>
        <w:rPr>
          <w:rFonts w:ascii="Arial" w:cs="Arial" w:eastAsia="Arial" w:hAnsi="Arial"/>
          <w:sz w:val="17"/>
          <w:szCs w:val="17"/>
          <w:color w:val="auto"/>
        </w:rPr>
        <w:t>Boston, MA 02215</w:t>
      </w:r>
    </w:p>
    <w:p>
      <w:pPr>
        <w:jc w:val="center"/>
        <w:ind w:right="-119"/>
        <w:spacing w:after="0" w:line="232" w:lineRule="auto"/>
        <w:rPr>
          <w:sz w:val="20"/>
          <w:szCs w:val="20"/>
          <w:color w:val="auto"/>
        </w:rPr>
      </w:pPr>
      <w:r>
        <w:rPr>
          <w:rFonts w:ascii="Arial" w:cs="Arial" w:eastAsia="Arial" w:hAnsi="Arial"/>
          <w:sz w:val="17"/>
          <w:szCs w:val="17"/>
          <w:color w:val="auto"/>
        </w:rPr>
        <w:t>Attn: Corporate Secretary</w:t>
      </w:r>
    </w:p>
    <w:p>
      <w:pPr>
        <w:ind w:left="5480" w:hanging="440"/>
        <w:spacing w:after="0"/>
        <w:tabs>
          <w:tab w:leader="none" w:pos="54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320-4900</w:t>
      </w:r>
    </w:p>
    <w:p>
      <w:pPr>
        <w:spacing w:after="0" w:line="134"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6"/>
          <w:szCs w:val="16"/>
          <w:color w:val="auto"/>
        </w:rPr>
        <w:t>25</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40"/>
          <w:szCs w:val="40"/>
          <w:b w:val="1"/>
          <w:bCs w:val="1"/>
          <w:color w:val="auto"/>
        </w:rPr>
        <w:t>Tango Therapeutics, Inc.</w:t>
      </w: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21,023,337 Shares of Common Stock</w:t>
      </w:r>
    </w:p>
    <w:p>
      <w:pPr>
        <w:spacing w:after="0" w:line="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Pre-funded Warrants to Purchase 3,226,458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2934335</wp:posOffset>
            </wp:positionV>
            <wp:extent cx="1474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405765</wp:posOffset>
            </wp:positionV>
            <wp:extent cx="2297430" cy="7112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229743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383"/>
        </w:trPr>
        <w:tc>
          <w:tcPr>
            <w:tcW w:w="4340" w:type="dxa"/>
            <w:vAlign w:val="bottom"/>
          </w:tcPr>
          <w:p>
            <w:pPr>
              <w:spacing w:after="0"/>
              <w:rPr>
                <w:sz w:val="20"/>
                <w:szCs w:val="20"/>
                <w:color w:val="auto"/>
              </w:rPr>
            </w:pPr>
            <w:r>
              <w:rPr>
                <w:rFonts w:ascii="Times New Roman" w:cs="Times New Roman" w:eastAsia="Times New Roman" w:hAnsi="Times New Roman"/>
                <w:sz w:val="29"/>
                <w:szCs w:val="29"/>
                <w:b w:val="1"/>
                <w:bCs w:val="1"/>
                <w:color w:val="auto"/>
              </w:rPr>
              <w:t>Leerink Partners</w:t>
            </w:r>
          </w:p>
        </w:tc>
        <w:tc>
          <w:tcPr>
            <w:tcW w:w="2320" w:type="dxa"/>
            <w:vAlign w:val="bottom"/>
          </w:tcPr>
          <w:p>
            <w:pPr>
              <w:spacing w:after="0"/>
              <w:rPr>
                <w:sz w:val="24"/>
                <w:szCs w:val="24"/>
                <w:color w:val="auto"/>
              </w:rPr>
            </w:pPr>
          </w:p>
        </w:tc>
        <w:tc>
          <w:tcPr>
            <w:tcW w:w="4360" w:type="dxa"/>
            <w:vAlign w:val="bottom"/>
          </w:tcPr>
          <w:p>
            <w:pPr>
              <w:ind w:left="3480"/>
              <w:spacing w:after="0"/>
              <w:rPr>
                <w:sz w:val="20"/>
                <w:szCs w:val="20"/>
                <w:color w:val="auto"/>
              </w:rPr>
            </w:pPr>
            <w:r>
              <w:rPr>
                <w:rFonts w:ascii="Times New Roman" w:cs="Times New Roman" w:eastAsia="Times New Roman" w:hAnsi="Times New Roman"/>
                <w:sz w:val="29"/>
                <w:szCs w:val="29"/>
                <w:b w:val="1"/>
                <w:bCs w:val="1"/>
                <w:color w:val="auto"/>
                <w:w w:val="97"/>
              </w:rPr>
              <w:t>Cantor</w:t>
            </w:r>
          </w:p>
        </w:tc>
      </w:tr>
      <w:tr>
        <w:trPr>
          <w:trHeight w:val="344"/>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360" w:type="dxa"/>
            <w:vAlign w:val="bottom"/>
          </w:tcPr>
          <w:p>
            <w:pPr>
              <w:spacing w:after="0"/>
              <w:rPr>
                <w:sz w:val="24"/>
                <w:szCs w:val="24"/>
                <w:color w:val="auto"/>
              </w:rPr>
            </w:pPr>
          </w:p>
        </w:tc>
      </w:tr>
      <w:tr>
        <w:trPr>
          <w:trHeight w:val="425"/>
        </w:trPr>
        <w:tc>
          <w:tcPr>
            <w:tcW w:w="4340" w:type="dxa"/>
            <w:vAlign w:val="bottom"/>
          </w:tcPr>
          <w:p>
            <w:pPr>
              <w:spacing w:after="0"/>
              <w:rPr>
                <w:sz w:val="24"/>
                <w:szCs w:val="24"/>
                <w:color w:val="auto"/>
              </w:rPr>
            </w:pPr>
          </w:p>
        </w:tc>
        <w:tc>
          <w:tcPr>
            <w:tcW w:w="668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October 23, 2025</w:t>
            </w:r>
          </w:p>
        </w:tc>
      </w:tr>
      <w:tr>
        <w:trPr>
          <w:trHeight w:val="648"/>
        </w:trPr>
        <w:tc>
          <w:tcPr>
            <w:tcW w:w="43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r>
        <w:trPr>
          <w:trHeight w:val="95"/>
        </w:trPr>
        <w:tc>
          <w:tcPr>
            <w:tcW w:w="434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4360" w:type="dxa"/>
            <w:vAlign w:val="bottom"/>
            <w:tcBorders>
              <w:bottom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1)"/>
      <w:numFmt w:val="lowerLetter"/>
      <w:start w:val="2"/>
    </w:lvl>
  </w:abstractNum>
  <w:abstractNum w:abstractNumId="12">
    <w:nsid w:val="2901D82"/>
    <w:multiLevelType w:val="hybridMultilevel"/>
    <w:lvl w:ilvl="0">
      <w:lvlJc w:val="left"/>
      <w:lvlText w:val="(%1)"/>
      <w:numFmt w:val="decimal"/>
      <w:start w:val="3"/>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1."/>
      <w:numFmt w:val="upperLetter"/>
      <w:start w:val="1"/>
    </w:lvl>
  </w:abstractNum>
  <w:abstractNum w:abstractNumId="15">
    <w:nsid w:val="1E7FF521"/>
    <w:multiLevelType w:val="hybridMultilevel"/>
    <w:lvl w:ilvl="0">
      <w:lvlJc w:val="left"/>
      <w:lvlText w:val="%1."/>
      <w:numFmt w:val="upperLetter"/>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1)"/>
      <w:numFmt w:val="lowerRoman"/>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1)"/>
      <w:numFmt w:val="lowerRoman"/>
      <w:start w:val="5"/>
    </w:lvl>
    <w:lvl w:ilvl="1">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1)"/>
      <w:numFmt w:val="decimal"/>
      <w:start w:val="85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jpe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jpeg"/><Relationship Id="rId100" Type="http://schemas.openxmlformats.org/officeDocument/2006/relationships/image" Target="media/image82.png"/><Relationship Id="rId53" Type="http://schemas.openxmlformats.org/officeDocument/2006/relationships/hyperlink" Target="http://www.sec.gov/ix?doc=/Archives/edgar/data/1819133/000095017025028353/tngx-20241231.htm" TargetMode="External"/><Relationship Id="rId54" Type="http://schemas.openxmlformats.org/officeDocument/2006/relationships/hyperlink" Target="http://www.sec.gov/ix?doc=/Archives/edgar/data/1819133/000095017025056230/tngx-20250421.htm" TargetMode="External"/><Relationship Id="rId55" Type="http://schemas.openxmlformats.org/officeDocument/2006/relationships/hyperlink" Target="http://www.sec.gov/ix?doc=/Archives/edgar/data/1819133/000095017025068549/tngx-20250331.htm" TargetMode="External"/><Relationship Id="rId56" Type="http://schemas.openxmlformats.org/officeDocument/2006/relationships/hyperlink" Target="http://www.sec.gov/ix?doc=/Archives/edgar/data/1819133/000095017025102392/tngx-20250630.htm" TargetMode="External"/><Relationship Id="rId57" Type="http://schemas.openxmlformats.org/officeDocument/2006/relationships/hyperlink" Target="http://www.sec.gov/ix?doc=/Archives/edgar/data/1819133/000119312525137032/d926935d8k.htm" TargetMode="External"/><Relationship Id="rId58" Type="http://schemas.openxmlformats.org/officeDocument/2006/relationships/hyperlink" Target="http://www.sec.gov/ix?doc=/Archives/edgar/data/1819133/000119312525187680/d88761d8k.htm" TargetMode="External"/><Relationship Id="rId59" Type="http://schemas.openxmlformats.org/officeDocument/2006/relationships/hyperlink" Target="http://www.sec.gov/ix?doc=/Archives/edgar/data/1819133/000119312525247658/d88744d8k.htm" TargetMode="External"/><Relationship Id="rId60" Type="http://schemas.openxmlformats.org/officeDocument/2006/relationships/hyperlink" Target="http://www.sec.gov/Archives/edgar/data/1819133/000121390020024994/ea126358-8a12b_bctgacquis.htm" TargetMode="External"/><Relationship Id="rId61" Type="http://schemas.openxmlformats.org/officeDocument/2006/relationships/hyperlink" Target="http://www.sec.gov/Archives/edgar/data/1819133/000095017023009854/tngx-ex4_2.htm" TargetMode="External"/><Relationship Id="rId92" Type="http://schemas.openxmlformats.org/officeDocument/2006/relationships/hyperlink" Target="http://www.sec.gov/ix?doc=/Archives/edgar/data/1819133/000095017025057632/tngx-20250424.htm" TargetMode="External"/><Relationship Id="rId93" Type="http://schemas.openxmlformats.org/officeDocument/2006/relationships/hyperlink" Target="http://www.sec.gov/ix?doc=/Archives/edgar/data/0001819133/000095017025068549/tngx-202503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2025-10-24T05:20:10Z</dcterms:created>
  <dcterms:modified xsi:type="dcterms:W3CDTF">2025-10-24T05:20:10Z</dcterms:modified>
</cp:coreProperties>
</file>