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3160" w:right="1620" w:hanging="3139"/>
        <w:spacing w:after="0" w:line="383" w:lineRule="auto"/>
        <w:tabs>
          <w:tab w:leader="none" w:pos="5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TANGO THERAPEUTICS, INC.</w:t>
      </w:r>
    </w:p>
    <w:p>
      <w:pPr>
        <w:sectPr>
          <w:pgSz w:w="11900" w:h="16838" w:orient="portrait"/>
          <w:cols w:equalWidth="0" w:num="1">
            <w:col w:w="11240"/>
          </w:cols>
          <w:pgMar w:left="320" w:top="665"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700" w:space="240"/>
            <w:col w:w="330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89"/>
              </w:rPr>
              <w:t>201 Brookline Ave., Suite 901</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1"/>
              </w:rPr>
              <w:t>Boston, MA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ind w:left="540"/>
              <w:spacing w:after="0"/>
              <w:rPr>
                <w:sz w:val="20"/>
                <w:szCs w:val="20"/>
                <w:color w:val="auto"/>
              </w:rPr>
            </w:pPr>
            <w:r>
              <w:rPr>
                <w:rFonts w:ascii="Arial" w:cs="Arial" w:eastAsia="Arial" w:hAnsi="Arial"/>
                <w:sz w:val="18"/>
                <w:szCs w:val="18"/>
                <w:b w:val="1"/>
                <w:bCs w:val="1"/>
                <w:color w:val="auto"/>
              </w:rPr>
              <w:t>02215</w:t>
            </w:r>
          </w:p>
        </w:tc>
        <w:tc>
          <w:tcPr>
            <w:tcW w:w="0" w:type="dxa"/>
            <w:vAlign w:val="bottom"/>
          </w:tcPr>
          <w:p>
            <w:pPr>
              <w:spacing w:after="0"/>
              <w:rPr>
                <w:sz w:val="1"/>
                <w:szCs w:val="1"/>
                <w:color w:val="auto"/>
              </w:rPr>
            </w:pPr>
          </w:p>
        </w:tc>
      </w:tr>
      <w:tr>
        <w:trPr>
          <w:trHeight w:val="173"/>
        </w:trPr>
        <w:tc>
          <w:tcPr>
            <w:tcW w:w="4500" w:type="dxa"/>
            <w:vAlign w:val="bottom"/>
            <w:gridSpan w:val="2"/>
          </w:tcPr>
          <w:p>
            <w:pPr>
              <w:jc w:val="center"/>
              <w:ind w:left="105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140" w:type="dxa"/>
            <w:vAlign w:val="bottom"/>
            <w:gridSpan w:val="2"/>
            <w:vMerge w:val="restart"/>
          </w:tcPr>
          <w:p>
            <w:pPr>
              <w:jc w:val="center"/>
              <w:ind w:left="10"/>
              <w:spacing w:after="0"/>
              <w:rPr>
                <w:sz w:val="20"/>
                <w:szCs w:val="20"/>
                <w:color w:val="auto"/>
              </w:rPr>
            </w:pPr>
            <w:r>
              <w:rPr>
                <w:rFonts w:ascii="Arial" w:cs="Arial" w:eastAsia="Arial" w:hAnsi="Arial"/>
                <w:sz w:val="18"/>
                <w:szCs w:val="18"/>
                <w:b w:val="1"/>
                <w:bCs w:val="1"/>
                <w:color w:val="auto"/>
                <w:w w:val="90"/>
              </w:rPr>
              <w:t>(857) 320-4900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80" w:type="dxa"/>
            <w:vAlign w:val="bottom"/>
          </w:tcPr>
          <w:p>
            <w:pPr>
              <w:ind w:left="480"/>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7"/>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500" w:type="dxa"/>
            <w:vAlign w:val="bottom"/>
            <w:gridSpan w:val="2"/>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5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5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2"/>
                <w:szCs w:val="22"/>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TNGX</w:t>
            </w:r>
          </w:p>
        </w:tc>
        <w:tc>
          <w:tcPr>
            <w:tcW w:w="140" w:type="dxa"/>
            <w:vAlign w:val="bottom"/>
            <w:gridSpan w:val="2"/>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Nasdaq Global Market</w:t>
            </w:r>
          </w:p>
        </w:tc>
        <w:tc>
          <w:tcPr>
            <w:tcW w:w="0" w:type="dxa"/>
            <w:vAlign w:val="bottom"/>
          </w:tcPr>
          <w:p>
            <w:pPr>
              <w:spacing w:after="0"/>
              <w:rPr>
                <w:sz w:val="1"/>
                <w:szCs w:val="1"/>
                <w:color w:val="auto"/>
              </w:rPr>
            </w:pPr>
          </w:p>
        </w:tc>
      </w:tr>
    </w:tbl>
    <w:p>
      <w:pPr>
        <w:spacing w:after="0" w:line="111"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16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4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2, 2023, the registrant had 88,467,269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FINANCIAL INFORMATION</w:t>
            </w:r>
          </w:p>
        </w:tc>
        <w:tc>
          <w:tcPr>
            <w:tcW w:w="702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6340" w:type="dxa"/>
            <w:vAlign w:val="bottom"/>
            <w:gridSpan w:val="8"/>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1120" w:type="dxa"/>
            <w:vAlign w:val="bottom"/>
            <w:tcBorders>
              <w:top w:val="single" w:sz="8" w:color="0000FF"/>
            </w:tcBorders>
            <w:gridSpan w:val="2"/>
          </w:tcPr>
          <w:p>
            <w:pPr>
              <w:spacing w:after="0"/>
              <w:rPr>
                <w:sz w:val="19"/>
                <w:szCs w:val="19"/>
                <w:color w:val="auto"/>
              </w:rPr>
            </w:pPr>
          </w:p>
        </w:tc>
        <w:tc>
          <w:tcPr>
            <w:tcW w:w="376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560" w:type="dxa"/>
            <w:vAlign w:val="bottom"/>
            <w:gridSpan w:val="7"/>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4480" w:type="dxa"/>
            <w:vAlign w:val="bottom"/>
            <w:gridSpan w:val="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00" w:type="dxa"/>
            <w:vAlign w:val="bottom"/>
            <w:gridSpan w:val="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7500" w:type="dxa"/>
            <w:vAlign w:val="bottom"/>
            <w:gridSpan w:val="1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2"/>
          </w:tcPr>
          <w:p>
            <w:pPr>
              <w:spacing w:after="0"/>
              <w:rPr>
                <w:sz w:val="24"/>
                <w:szCs w:val="24"/>
                <w:color w:val="auto"/>
              </w:rPr>
            </w:pPr>
          </w:p>
        </w:tc>
        <w:tc>
          <w:tcPr>
            <w:tcW w:w="740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2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3"/>
          </w:tcPr>
          <w:p>
            <w:pPr>
              <w:spacing w:after="0"/>
              <w:rPr>
                <w:sz w:val="19"/>
                <w:szCs w:val="19"/>
                <w:color w:val="auto"/>
              </w:rPr>
            </w:pPr>
          </w:p>
        </w:tc>
        <w:tc>
          <w:tcPr>
            <w:tcW w:w="6960" w:type="dxa"/>
            <w:vAlign w:val="bottom"/>
            <w:gridSpan w:val="10"/>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7960" w:type="dxa"/>
            <w:vAlign w:val="bottom"/>
            <w:gridSpan w:val="1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ind w:right="60" w:firstLine="599"/>
        <w:spacing w:after="0" w:line="263"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2022. These risks include, among others, the following (which is not an exhaustive list of all such risks):</w:t>
      </w:r>
    </w:p>
    <w:p>
      <w:pPr>
        <w:spacing w:after="0" w:line="116" w:lineRule="exact"/>
        <w:rPr>
          <w:sz w:val="20"/>
          <w:szCs w:val="20"/>
          <w:color w:val="auto"/>
        </w:rPr>
      </w:pPr>
    </w:p>
    <w:p>
      <w:pPr>
        <w:ind w:left="1100" w:right="140" w:hanging="505"/>
        <w:spacing w:after="0" w:line="286" w:lineRule="auto"/>
        <w:tabs>
          <w:tab w:leader="none" w:pos="11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219" w:lineRule="exact"/>
        <w:rPr>
          <w:rFonts w:ascii="Arial" w:cs="Arial" w:eastAsia="Arial" w:hAnsi="Arial"/>
          <w:sz w:val="17"/>
          <w:szCs w:val="17"/>
          <w:color w:val="auto"/>
        </w:rPr>
      </w:pPr>
    </w:p>
    <w:p>
      <w:pPr>
        <w:ind w:left="1100" w:right="40" w:hanging="507"/>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224" w:lineRule="exact"/>
        <w:rPr>
          <w:rFonts w:ascii="Arial" w:cs="Arial" w:eastAsia="Arial" w:hAnsi="Arial"/>
          <w:sz w:val="18"/>
          <w:szCs w:val="18"/>
          <w:color w:val="auto"/>
        </w:rPr>
      </w:pPr>
    </w:p>
    <w:p>
      <w:pPr>
        <w:ind w:left="1100" w:right="20" w:hanging="502"/>
        <w:spacing w:after="0" w:line="311"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202" w:lineRule="exact"/>
        <w:rPr>
          <w:rFonts w:ascii="Arial" w:cs="Arial" w:eastAsia="Arial" w:hAnsi="Arial"/>
          <w:sz w:val="16"/>
          <w:szCs w:val="16"/>
          <w:color w:val="auto"/>
        </w:rPr>
      </w:pPr>
    </w:p>
    <w:p>
      <w:pPr>
        <w:ind w:left="1100" w:right="140" w:hanging="505"/>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224" w:lineRule="exact"/>
        <w:rPr>
          <w:rFonts w:ascii="Arial" w:cs="Arial" w:eastAsia="Arial" w:hAnsi="Arial"/>
          <w:sz w:val="18"/>
          <w:szCs w:val="18"/>
          <w:color w:val="auto"/>
        </w:rPr>
      </w:pPr>
    </w:p>
    <w:p>
      <w:pPr>
        <w:ind w:left="1100" w:right="200" w:hanging="498"/>
        <w:spacing w:after="0" w:line="263"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237" w:lineRule="exact"/>
        <w:rPr>
          <w:rFonts w:ascii="Arial" w:cs="Arial" w:eastAsia="Arial" w:hAnsi="Arial"/>
          <w:sz w:val="18"/>
          <w:szCs w:val="18"/>
          <w:color w:val="auto"/>
        </w:rPr>
      </w:pPr>
    </w:p>
    <w:p>
      <w:pPr>
        <w:ind w:left="1100" w:right="120" w:hanging="498"/>
        <w:spacing w:after="0" w:line="259"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240" w:lineRule="exact"/>
        <w:rPr>
          <w:rFonts w:ascii="Arial" w:cs="Arial" w:eastAsia="Arial" w:hAnsi="Arial"/>
          <w:sz w:val="18"/>
          <w:szCs w:val="18"/>
          <w:color w:val="auto"/>
        </w:rPr>
      </w:pPr>
    </w:p>
    <w:p>
      <w:pPr>
        <w:ind w:left="1100" w:right="440" w:hanging="505"/>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 Further, our current and potential future collaborations may not realize the anticipated benefits.</w:t>
      </w:r>
    </w:p>
    <w:p>
      <w:pPr>
        <w:spacing w:after="0" w:line="224" w:lineRule="exact"/>
        <w:rPr>
          <w:rFonts w:ascii="Arial" w:cs="Arial" w:eastAsia="Arial" w:hAnsi="Arial"/>
          <w:sz w:val="18"/>
          <w:szCs w:val="18"/>
          <w:color w:val="auto"/>
        </w:rPr>
      </w:pPr>
    </w:p>
    <w:p>
      <w:pPr>
        <w:ind w:left="1100" w:right="260" w:hanging="498"/>
        <w:spacing w:after="0" w:line="342"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77" w:lineRule="exact"/>
        <w:rPr>
          <w:rFonts w:ascii="Arial" w:cs="Arial" w:eastAsia="Arial" w:hAnsi="Arial"/>
          <w:sz w:val="16"/>
          <w:szCs w:val="16"/>
          <w:color w:val="auto"/>
        </w:rPr>
      </w:pPr>
    </w:p>
    <w:p>
      <w:pPr>
        <w:ind w:left="1100" w:right="80" w:hanging="498"/>
        <w:spacing w:after="0" w:line="259"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40" w:lineRule="exact"/>
        <w:rPr>
          <w:rFonts w:ascii="Arial" w:cs="Arial" w:eastAsia="Arial" w:hAnsi="Arial"/>
          <w:sz w:val="18"/>
          <w:szCs w:val="18"/>
          <w:color w:val="auto"/>
        </w:rPr>
      </w:pPr>
    </w:p>
    <w:p>
      <w:pPr>
        <w:ind w:left="1100" w:right="200" w:hanging="507"/>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210" w:lineRule="exact"/>
        <w:rPr>
          <w:rFonts w:ascii="Arial" w:cs="Arial" w:eastAsia="Arial" w:hAnsi="Arial"/>
          <w:sz w:val="18"/>
          <w:szCs w:val="18"/>
          <w:color w:val="auto"/>
        </w:rPr>
      </w:pPr>
    </w:p>
    <w:p>
      <w:pPr>
        <w:ind w:left="1100" w:right="480" w:hanging="498"/>
        <w:spacing w:after="0" w:line="263"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237" w:lineRule="exact"/>
        <w:rPr>
          <w:rFonts w:ascii="Arial" w:cs="Arial" w:eastAsia="Arial" w:hAnsi="Arial"/>
          <w:sz w:val="18"/>
          <w:szCs w:val="18"/>
          <w:color w:val="auto"/>
        </w:rPr>
      </w:pPr>
    </w:p>
    <w:p>
      <w:pPr>
        <w:ind w:left="1100" w:hanging="500"/>
        <w:spacing w:after="0" w:line="263"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37" w:lineRule="exact"/>
        <w:rPr>
          <w:rFonts w:ascii="Arial" w:cs="Arial" w:eastAsia="Arial" w:hAnsi="Arial"/>
          <w:sz w:val="18"/>
          <w:szCs w:val="18"/>
          <w:color w:val="auto"/>
        </w:rPr>
      </w:pPr>
    </w:p>
    <w:p>
      <w:pPr>
        <w:ind w:left="1100" w:right="80" w:hanging="500"/>
        <w:spacing w:after="0" w:line="263"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1100" w:right="240" w:hanging="505"/>
        <w:spacing w:after="0" w:line="263"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237" w:lineRule="exact"/>
        <w:rPr>
          <w:rFonts w:ascii="Arial" w:cs="Arial" w:eastAsia="Arial" w:hAnsi="Arial"/>
          <w:sz w:val="18"/>
          <w:szCs w:val="18"/>
          <w:color w:val="auto"/>
        </w:rPr>
      </w:pPr>
    </w:p>
    <w:p>
      <w:pPr>
        <w:ind w:left="1100" w:right="120" w:hanging="498"/>
        <w:spacing w:after="0" w:line="25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40" w:lineRule="exact"/>
        <w:rPr>
          <w:rFonts w:ascii="Arial" w:cs="Arial" w:eastAsia="Arial" w:hAnsi="Arial"/>
          <w:sz w:val="18"/>
          <w:szCs w:val="18"/>
          <w:color w:val="auto"/>
        </w:rPr>
      </w:pPr>
    </w:p>
    <w:p>
      <w:pPr>
        <w:ind w:left="1100" w:right="40" w:hanging="500"/>
        <w:spacing w:after="0" w:line="25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40" w:lineRule="exact"/>
        <w:rPr>
          <w:rFonts w:ascii="Arial" w:cs="Arial" w:eastAsia="Arial" w:hAnsi="Arial"/>
          <w:sz w:val="18"/>
          <w:szCs w:val="18"/>
          <w:color w:val="auto"/>
        </w:rPr>
      </w:pPr>
    </w:p>
    <w:p>
      <w:pPr>
        <w:ind w:left="1100" w:right="380" w:hanging="502"/>
        <w:spacing w:after="0" w:line="30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00" w:lineRule="exact"/>
        <w:rPr>
          <w:rFonts w:ascii="Arial" w:cs="Arial" w:eastAsia="Arial" w:hAnsi="Arial"/>
          <w:sz w:val="17"/>
          <w:szCs w:val="17"/>
          <w:color w:val="auto"/>
        </w:rPr>
      </w:pPr>
    </w:p>
    <w:p>
      <w:pPr>
        <w:ind w:left="1100" w:right="80" w:hanging="502"/>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224" w:lineRule="exact"/>
        <w:rPr>
          <w:rFonts w:ascii="Arial" w:cs="Arial" w:eastAsia="Arial" w:hAnsi="Arial"/>
          <w:sz w:val="18"/>
          <w:szCs w:val="18"/>
          <w:color w:val="auto"/>
        </w:rPr>
      </w:pPr>
    </w:p>
    <w:p>
      <w:pPr>
        <w:ind w:left="1100" w:right="20" w:hanging="502"/>
        <w:spacing w:after="0" w:line="263"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firstLine="495"/>
        <w:spacing w:after="0" w:line="271" w:lineRule="auto"/>
        <w:rPr>
          <w:sz w:val="20"/>
          <w:szCs w:val="20"/>
          <w:color w:val="auto"/>
        </w:rPr>
      </w:pPr>
      <w:r>
        <w:rPr>
          <w:rFonts w:ascii="Arial" w:cs="Arial" w:eastAsia="Arial" w:hAnsi="Arial"/>
          <w:sz w:val="17"/>
          <w:szCs w:val="17"/>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11" w:lineRule="exact"/>
        <w:rPr>
          <w:sz w:val="20"/>
          <w:szCs w:val="20"/>
          <w:color w:val="auto"/>
        </w:rPr>
      </w:pPr>
    </w:p>
    <w:p>
      <w:pPr>
        <w:ind w:left="1100" w:hanging="502"/>
        <w:spacing w:after="0" w:line="259"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and initiation and completion of studies or clinical trials and related preparatory work, and the period during which the results of the clinical trials (including initial and final trial results) will become available;</w:t>
      </w:r>
    </w:p>
    <w:p>
      <w:pPr>
        <w:spacing w:after="0" w:line="240" w:lineRule="exact"/>
        <w:rPr>
          <w:rFonts w:ascii="Arial" w:cs="Arial" w:eastAsia="Arial" w:hAnsi="Arial"/>
          <w:sz w:val="18"/>
          <w:szCs w:val="18"/>
          <w:color w:val="auto"/>
        </w:rPr>
      </w:pPr>
    </w:p>
    <w:p>
      <w:pPr>
        <w:ind w:left="1100" w:right="220" w:hanging="502"/>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 and the ability to identify clinical trial investigators to use our product candidates in trials);</w:t>
      </w:r>
    </w:p>
    <w:p>
      <w:pPr>
        <w:spacing w:after="0" w:line="224" w:lineRule="exact"/>
        <w:rPr>
          <w:rFonts w:ascii="Arial" w:cs="Arial" w:eastAsia="Arial" w:hAnsi="Arial"/>
          <w:sz w:val="18"/>
          <w:szCs w:val="18"/>
          <w:color w:val="auto"/>
        </w:rPr>
      </w:pPr>
    </w:p>
    <w:p>
      <w:pPr>
        <w:ind w:left="1100" w:right="280" w:hanging="502"/>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224" w:lineRule="exact"/>
        <w:rPr>
          <w:rFonts w:ascii="Arial" w:cs="Arial" w:eastAsia="Arial" w:hAnsi="Arial"/>
          <w:sz w:val="18"/>
          <w:szCs w:val="18"/>
          <w:color w:val="auto"/>
        </w:rPr>
      </w:pPr>
    </w:p>
    <w:p>
      <w:pPr>
        <w:ind w:left="1100" w:hanging="502"/>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210" w:lineRule="exact"/>
        <w:rPr>
          <w:rFonts w:ascii="Arial" w:cs="Arial" w:eastAsia="Arial" w:hAnsi="Arial"/>
          <w:sz w:val="18"/>
          <w:szCs w:val="18"/>
          <w:color w:val="auto"/>
        </w:rPr>
      </w:pPr>
    </w:p>
    <w:p>
      <w:pPr>
        <w:ind w:left="1100" w:right="160" w:hanging="502"/>
        <w:spacing w:after="0" w:line="263"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2026);</w:t>
      </w:r>
    </w:p>
    <w:p>
      <w:pPr>
        <w:spacing w:after="0" w:line="237" w:lineRule="exact"/>
        <w:rPr>
          <w:rFonts w:ascii="Arial" w:cs="Arial" w:eastAsia="Arial" w:hAnsi="Arial"/>
          <w:sz w:val="18"/>
          <w:szCs w:val="18"/>
          <w:color w:val="auto"/>
        </w:rPr>
      </w:pPr>
    </w:p>
    <w:p>
      <w:pPr>
        <w:ind w:left="1100" w:hanging="50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 w:name="page5"/>
    <w:bookmarkEnd w:id="4"/>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279" w:lineRule="exact"/>
        <w:rPr>
          <w:rFonts w:ascii="Arial" w:cs="Arial" w:eastAsia="Arial" w:hAnsi="Arial"/>
          <w:sz w:val="18"/>
          <w:szCs w:val="18"/>
          <w:color w:val="auto"/>
        </w:rPr>
      </w:pPr>
    </w:p>
    <w:p>
      <w:pPr>
        <w:ind w:left="1100" w:right="40" w:hanging="502"/>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24" w:lineRule="exact"/>
        <w:rPr>
          <w:rFonts w:ascii="Arial" w:cs="Arial" w:eastAsia="Arial" w:hAnsi="Arial"/>
          <w:sz w:val="18"/>
          <w:szCs w:val="18"/>
          <w:color w:val="auto"/>
        </w:rPr>
      </w:pPr>
    </w:p>
    <w:p>
      <w:pPr>
        <w:ind w:left="1100" w:right="160" w:hanging="502"/>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(if approved) and any other approved products;</w:t>
      </w:r>
    </w:p>
    <w:p>
      <w:pPr>
        <w:spacing w:after="0" w:line="224"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265" w:lineRule="exact"/>
        <w:rPr>
          <w:rFonts w:ascii="Arial" w:cs="Arial" w:eastAsia="Arial" w:hAnsi="Arial"/>
          <w:sz w:val="18"/>
          <w:szCs w:val="18"/>
          <w:color w:val="auto"/>
        </w:rPr>
      </w:pPr>
    </w:p>
    <w:p>
      <w:pPr>
        <w:ind w:left="1100" w:right="520" w:hanging="502"/>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including pricing regulations by U.S. (such as CMS) and foreign regulatory authorities;</w:t>
      </w:r>
    </w:p>
    <w:p>
      <w:pPr>
        <w:spacing w:after="0" w:line="224"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79" w:lineRule="exact"/>
        <w:rPr>
          <w:rFonts w:ascii="Arial" w:cs="Arial" w:eastAsia="Arial" w:hAnsi="Arial"/>
          <w:sz w:val="18"/>
          <w:szCs w:val="18"/>
          <w:color w:val="auto"/>
        </w:rPr>
      </w:pPr>
    </w:p>
    <w:p>
      <w:pPr>
        <w:ind w:left="1100" w:right="20" w:hanging="502"/>
        <w:spacing w:after="0" w:line="342" w:lineRule="auto"/>
        <w:tabs>
          <w:tab w:leader="none" w:pos="114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77" w:lineRule="exact"/>
        <w:rPr>
          <w:rFonts w:ascii="Arial" w:cs="Arial" w:eastAsia="Arial" w:hAnsi="Arial"/>
          <w:sz w:val="16"/>
          <w:szCs w:val="16"/>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79" w:lineRule="exact"/>
        <w:rPr>
          <w:rFonts w:ascii="Arial" w:cs="Arial" w:eastAsia="Arial" w:hAnsi="Arial"/>
          <w:sz w:val="18"/>
          <w:szCs w:val="18"/>
          <w:color w:val="auto"/>
        </w:rPr>
      </w:pPr>
    </w:p>
    <w:p>
      <w:pPr>
        <w:ind w:left="1100" w:hanging="5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industry;</w:t>
      </w:r>
    </w:p>
    <w:p>
      <w:pPr>
        <w:spacing w:after="0" w:line="279" w:lineRule="exact"/>
        <w:rPr>
          <w:rFonts w:ascii="Arial" w:cs="Arial" w:eastAsia="Arial" w:hAnsi="Arial"/>
          <w:sz w:val="18"/>
          <w:szCs w:val="18"/>
          <w:color w:val="auto"/>
        </w:rPr>
      </w:pPr>
    </w:p>
    <w:p>
      <w:pPr>
        <w:ind w:left="1100" w:right="60" w:hanging="502"/>
        <w:spacing w:after="0" w:line="342"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77" w:lineRule="exact"/>
        <w:rPr>
          <w:rFonts w:ascii="Arial" w:cs="Arial" w:eastAsia="Arial" w:hAnsi="Arial"/>
          <w:sz w:val="16"/>
          <w:szCs w:val="16"/>
          <w:color w:val="auto"/>
        </w:rPr>
      </w:pPr>
    </w:p>
    <w:p>
      <w:pPr>
        <w:ind w:left="1100" w:right="120" w:hanging="502"/>
        <w:spacing w:after="0" w:line="308" w:lineRule="auto"/>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uncertainties, including those identified in Part II, Item 1A of this Quarterly Report on Form 10-Q and in Part I, Item 1A of our Annual Report on Form 10-K for the year ended December 31, 2022 - In both cases, see section titled “Risk Factors.”</w:t>
      </w:r>
    </w:p>
    <w:p>
      <w:pPr>
        <w:spacing w:after="0" w:line="160"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The forward-looking statements contained in Part I, Item 1A of our Annual Report on Form 10-K for the year ended December 31, 2022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2022. Should one or more of these risks or uncertainties materialize, or should any of our assumptions prove incorrect, actual results may vary in material respects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t>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DEFINED TERMS IN THIS QUARTERLY REPORT ON FORM 10-Q</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Unless the context otherwise requires in this Quarterly Report on Form 10-Q for the three and six months ended June 30, 2023, we use the following defined terms:</w:t>
      </w:r>
    </w:p>
    <w:p>
      <w:pPr>
        <w:spacing w:after="0" w:line="6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"we", "our" and "us" mean Tango Therapeutics, Inc. and its wholly-owned subsidiaries;</w:t>
      </w:r>
    </w:p>
    <w:p>
      <w:pPr>
        <w:spacing w:after="0" w:line="117" w:lineRule="exact"/>
        <w:rPr>
          <w:rFonts w:ascii="Arial" w:cs="Arial" w:eastAsia="Arial" w:hAnsi="Arial"/>
          <w:sz w:val="18"/>
          <w:szCs w:val="18"/>
          <w:color w:val="auto"/>
        </w:rPr>
      </w:pPr>
    </w:p>
    <w:p>
      <w:pPr>
        <w:ind w:left="1020" w:right="56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 Tango Therapeutics, Inc.);</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"CoREST” means Co-repressor of Repressor Element-1 Silencing Transcription;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“Gilead” means Gilead Sciences, Inc.;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“GBM” means glioblastoma;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“HRD+” means homologous recombination deficient;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“MTA” means methylthioadenosine;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“MTAP” means methylthioadenosine phosphorylase;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“NSCLC” means non-small cell lung cancer;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“PRMT5” means protein arginine methyltransferase 5;</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Report" means this Quarterly Report on Form 10-Q for the three and six months ended June 30, 2023;</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“SDMA” means symmetric di-methylation of specific arginine;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“STK11” means serine-threonine kinase 11;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Arial" w:cs="Arial" w:eastAsia="Arial" w:hAnsi="Arial"/>
          <w:sz w:val="18"/>
          <w:szCs w:val="18"/>
          <w:color w:val="auto"/>
        </w:rPr>
        <w:t>W</w:t>
      </w:r>
      <w:r>
        <w:rPr>
          <w:rFonts w:ascii="Arial" w:cs="Arial" w:eastAsia="Arial" w:hAnsi="Arial"/>
          <w:sz w:val="17"/>
          <w:szCs w:val="17"/>
          <w:color w:val="auto"/>
        </w:rPr>
        <w:t>e also make available, free of charge on our website, the reports filed with the SEC by our executive officers, directors and 10% stockholders pursuant to Section 16 under the Exchange Act as soon as reasonably practicable a</w:t>
      </w:r>
      <w:r>
        <w:rPr>
          <w:rFonts w:ascii="Arial" w:cs="Arial" w:eastAsia="Arial" w:hAnsi="Arial"/>
          <w:sz w:val="18"/>
          <w:szCs w:val="18"/>
          <w:color w:val="auto"/>
        </w:rPr>
        <w:t>f</w:t>
      </w:r>
      <w:r>
        <w:rPr>
          <w:rFonts w:ascii="Arial" w:cs="Arial" w:eastAsia="Arial" w:hAnsi="Arial"/>
          <w:sz w:val="17"/>
          <w:szCs w:val="17"/>
          <w:color w:val="auto"/>
        </w:rPr>
        <w:t>ter copies of those filings are provided to us by those persons</w:t>
      </w:r>
      <w:r>
        <w:rPr>
          <w:rFonts w:ascii="Arial" w:cs="Arial" w:eastAsia="Arial" w:hAnsi="Arial"/>
          <w:sz w:val="18"/>
          <w:szCs w:val="18"/>
          <w:color w:val="auto"/>
        </w:rPr>
        <w:t>. A</w:t>
      </w:r>
      <w:r>
        <w:rPr>
          <w:rFonts w:ascii="Arial" w:cs="Arial" w:eastAsia="Arial" w:hAnsi="Arial"/>
          <w:sz w:val="17"/>
          <w:szCs w:val="17"/>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firstLine="509"/>
        <w:spacing w:after="0" w:line="257" w:lineRule="auto"/>
        <w:rPr>
          <w:sz w:val="20"/>
          <w:szCs w:val="20"/>
          <w:color w:val="auto"/>
        </w:rPr>
      </w:pPr>
      <w:r>
        <w:rPr>
          <w:rFonts w:ascii="Arial" w:cs="Arial" w:eastAsia="Arial" w:hAnsi="Arial"/>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left="4060"/>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6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66,052</w:t>
            </w:r>
          </w:p>
        </w:tc>
        <w:tc>
          <w:tcPr>
            <w:tcW w:w="2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59,968</w:t>
            </w: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244,600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306,165</w:t>
            </w: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FF0FC"/>
          </w:tcPr>
          <w:p>
            <w:pPr>
              <w:spacing w:after="0"/>
              <w:rPr>
                <w:sz w:val="20"/>
                <w:szCs w:val="20"/>
                <w:color w:val="auto"/>
              </w:rPr>
            </w:pPr>
          </w:p>
        </w:tc>
      </w:tr>
      <w:tr>
        <w:trPr>
          <w:trHeight w:val="223"/>
        </w:trPr>
        <w:tc>
          <w:tcPr>
            <w:tcW w:w="68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9,035</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w:t>
            </w:r>
          </w:p>
        </w:tc>
        <w:tc>
          <w:tcPr>
            <w:tcW w:w="120" w:type="dxa"/>
            <w:vAlign w:val="bottom"/>
          </w:tcPr>
          <w:p>
            <w:pPr>
              <w:spacing w:after="0"/>
              <w:rPr>
                <w:sz w:val="19"/>
                <w:szCs w:val="19"/>
                <w:color w:val="auto"/>
              </w:rPr>
            </w:pPr>
          </w:p>
        </w:tc>
      </w:tr>
      <w:tr>
        <w:trPr>
          <w:trHeight w:val="229"/>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320,543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375,272</w:t>
            </w:r>
          </w:p>
        </w:tc>
        <w:tc>
          <w:tcPr>
            <w:tcW w:w="120" w:type="dxa"/>
            <w:vAlign w:val="bottom"/>
            <w:shd w:val="clear" w:color="auto" w:fill="CFF0FC"/>
          </w:tcPr>
          <w:p>
            <w:pPr>
              <w:spacing w:after="0"/>
              <w:rPr>
                <w:sz w:val="19"/>
                <w:szCs w:val="19"/>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10,884</w:t>
            </w: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45,325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46,886</w:t>
            </w: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6"/>
                <w:szCs w:val="16"/>
                <w:color w:val="auto"/>
              </w:rPr>
              <w:t>Restricted cash, net of current portion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9"/>
                <w:szCs w:val="19"/>
                <w:color w:val="auto"/>
              </w:rPr>
            </w:pPr>
          </w:p>
        </w:tc>
      </w:tr>
      <w:tr>
        <w:trPr>
          <w:trHeight w:val="233"/>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379,328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436,470</w:t>
            </w:r>
          </w:p>
        </w:tc>
        <w:tc>
          <w:tcPr>
            <w:tcW w:w="120" w:type="dxa"/>
            <w:vAlign w:val="bottom"/>
          </w:tcPr>
          <w:p>
            <w:pPr>
              <w:spacing w:after="0"/>
              <w:rPr>
                <w:sz w:val="19"/>
                <w:szCs w:val="19"/>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4,453</w:t>
            </w: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17,495</w:t>
            </w: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33,848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31,792</w:t>
            </w:r>
          </w:p>
        </w:tc>
        <w:tc>
          <w:tcPr>
            <w:tcW w:w="120" w:type="dxa"/>
            <w:vAlign w:val="bottom"/>
          </w:tcPr>
          <w:p>
            <w:pPr>
              <w:spacing w:after="0"/>
              <w:rPr>
                <w:sz w:val="19"/>
                <w:szCs w:val="19"/>
                <w:color w:val="auto"/>
              </w:rPr>
            </w:pPr>
          </w:p>
        </w:tc>
      </w:tr>
      <w:tr>
        <w:trPr>
          <w:trHeight w:val="233"/>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Income tax payable</w:t>
            </w: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20"/>
                <w:szCs w:val="20"/>
                <w:color w:val="auto"/>
              </w:rPr>
            </w:pPr>
          </w:p>
        </w:tc>
      </w:tr>
      <w:tr>
        <w:trPr>
          <w:trHeight w:val="220"/>
        </w:trPr>
        <w:tc>
          <w:tcPr>
            <w:tcW w:w="6880" w:type="dxa"/>
            <w:vAlign w:val="bottom"/>
            <w:tcBorders>
              <w:top w:val="single" w:sz="8" w:color="CFF0FC"/>
            </w:tcBorders>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53,633</w:t>
            </w: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55,545</w:t>
            </w:r>
          </w:p>
        </w:tc>
        <w:tc>
          <w:tcPr>
            <w:tcW w:w="120" w:type="dxa"/>
            <w:vAlign w:val="bottom"/>
            <w:tcBorders>
              <w:top w:val="single" w:sz="8" w:color="CFF0FC"/>
            </w:tcBorders>
          </w:tcPr>
          <w:p>
            <w:pPr>
              <w:spacing w:after="0"/>
              <w:rPr>
                <w:sz w:val="19"/>
                <w:szCs w:val="19"/>
                <w:color w:val="auto"/>
              </w:rPr>
            </w:pPr>
          </w:p>
        </w:tc>
      </w:tr>
      <w:tr>
        <w:trPr>
          <w:trHeight w:val="23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38,082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39,361</w:t>
            </w:r>
          </w:p>
        </w:tc>
        <w:tc>
          <w:tcPr>
            <w:tcW w:w="120" w:type="dxa"/>
            <w:vAlign w:val="bottom"/>
            <w:shd w:val="clear" w:color="auto" w:fill="CFF0FC"/>
          </w:tcPr>
          <w:p>
            <w:pPr>
              <w:spacing w:after="0"/>
              <w:rPr>
                <w:sz w:val="20"/>
                <w:szCs w:val="20"/>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74,668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92,088</w:t>
            </w:r>
          </w:p>
        </w:tc>
        <w:tc>
          <w:tcPr>
            <w:tcW w:w="120" w:type="dxa"/>
            <w:vAlign w:val="bottom"/>
          </w:tcPr>
          <w:p>
            <w:pPr>
              <w:spacing w:after="0"/>
              <w:rPr>
                <w:sz w:val="19"/>
                <w:szCs w:val="19"/>
                <w:color w:val="auto"/>
              </w:rPr>
            </w:pPr>
          </w:p>
        </w:tc>
      </w:tr>
      <w:tr>
        <w:trPr>
          <w:trHeight w:val="230"/>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166,383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186,994</w:t>
            </w:r>
          </w:p>
        </w:tc>
        <w:tc>
          <w:tcPr>
            <w:tcW w:w="120" w:type="dxa"/>
            <w:vAlign w:val="bottom"/>
            <w:shd w:val="clear" w:color="auto" w:fill="CFF0FC"/>
          </w:tcPr>
          <w:p>
            <w:pPr>
              <w:spacing w:after="0"/>
              <w:rPr>
                <w:sz w:val="19"/>
                <w:szCs w:val="19"/>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0"/>
        </w:trPr>
        <w:tc>
          <w:tcPr>
            <w:tcW w:w="6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6"/>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 shares issued</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6"/>
        </w:trPr>
        <w:tc>
          <w:tcPr>
            <w:tcW w:w="6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outstanding as of June 30, 2023 and December 31, 2022, respectively</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688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200,000,000 shares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authorized at June 30, 2023 and December 31, 2022;</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88,462,844 and 88,179,374 shares issued and outstanding as of</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6"/>
        </w:trPr>
        <w:tc>
          <w:tcPr>
            <w:tcW w:w="6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June 30, 2023 and December 31, 2022, respectively</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spacing w:after="0"/>
              <w:rPr>
                <w:sz w:val="19"/>
                <w:szCs w:val="19"/>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532,604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522,605</w:t>
            </w:r>
          </w:p>
        </w:tc>
        <w:tc>
          <w:tcPr>
            <w:tcW w:w="120" w:type="dxa"/>
            <w:vAlign w:val="bottom"/>
          </w:tcPr>
          <w:p>
            <w:pPr>
              <w:spacing w:after="0"/>
              <w:rPr>
                <w:sz w:val="19"/>
                <w:szCs w:val="19"/>
                <w:color w:val="auto"/>
              </w:rPr>
            </w:pPr>
          </w:p>
        </w:tc>
      </w:tr>
      <w:tr>
        <w:trPr>
          <w:trHeight w:val="23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(1,517 )</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(3,705 )</w:t>
            </w:r>
          </w:p>
        </w:tc>
      </w:tr>
      <w:tr>
        <w:trPr>
          <w:trHeight w:val="223"/>
        </w:trPr>
        <w:tc>
          <w:tcPr>
            <w:tcW w:w="6880" w:type="dxa"/>
            <w:vAlign w:val="bottom"/>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(318,230 )</w:t>
            </w:r>
          </w:p>
        </w:tc>
        <w:tc>
          <w:tcPr>
            <w:tcW w:w="2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(269,512 )</w:t>
            </w:r>
          </w:p>
        </w:tc>
      </w:tr>
      <w:tr>
        <w:trPr>
          <w:trHeight w:val="223"/>
        </w:trPr>
        <w:tc>
          <w:tcPr>
            <w:tcW w:w="68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212,945</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249,476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379,328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436,470</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-3676650</wp:posOffset>
            </wp:positionV>
            <wp:extent cx="7747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-3676650</wp:posOffset>
            </wp:positionV>
            <wp:extent cx="7747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-2493645</wp:posOffset>
            </wp:positionV>
            <wp:extent cx="774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-2493645</wp:posOffset>
            </wp:positionV>
            <wp:extent cx="774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-179070</wp:posOffset>
            </wp:positionV>
            <wp:extent cx="774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-179070</wp:posOffset>
            </wp:positionV>
            <wp:extent cx="7747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18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6"/>
                <w:szCs w:val="16"/>
                <w:color w:val="auto"/>
              </w:rPr>
            </w:pPr>
          </w:p>
        </w:tc>
        <w:tc>
          <w:tcPr>
            <w:tcW w:w="228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50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r>
      <w:tr>
        <w:trPr>
          <w:trHeight w:val="23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20" w:type="dxa"/>
            <w:vAlign w:val="bottom"/>
            <w:shd w:val="clear" w:color="auto" w:fill="CFF0FC"/>
          </w:tcPr>
          <w:p>
            <w:pPr>
              <w:spacing w:after="0"/>
              <w:rPr>
                <w:sz w:val="20"/>
                <w:szCs w:val="20"/>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License revenue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236"/>
        </w:trPr>
        <w:tc>
          <w:tcPr>
            <w:tcW w:w="5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23,741</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48,071</w:t>
            </w: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w:t>
            </w:r>
          </w:p>
        </w:tc>
        <w:tc>
          <w:tcPr>
            <w:tcW w:w="120" w:type="dxa"/>
            <w:vAlign w:val="bottom"/>
          </w:tcPr>
          <w:p>
            <w:pPr>
              <w:spacing w:after="0"/>
              <w:rPr>
                <w:sz w:val="20"/>
                <w:szCs w:val="20"/>
                <w:color w:val="auto"/>
              </w:rPr>
            </w:pPr>
          </w:p>
        </w:tc>
      </w:tr>
      <w:tr>
        <w:trPr>
          <w:trHeight w:val="237"/>
        </w:trPr>
        <w:tc>
          <w:tcPr>
            <w:tcW w:w="50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30,973</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6"/>
        </w:trPr>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(23,247 )</w:t>
            </w:r>
          </w:p>
        </w:tc>
        <w:tc>
          <w:tcPr>
            <w:tcW w:w="14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(25,202 )</w:t>
            </w:r>
          </w:p>
        </w:tc>
        <w:tc>
          <w:tcPr>
            <w:tcW w:w="16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(53,534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(50,581 )</w:t>
            </w:r>
          </w:p>
        </w:tc>
      </w:tr>
      <w:tr>
        <w:trPr>
          <w:trHeight w:val="24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000" w:type="dxa"/>
            <w:vAlign w:val="bottom"/>
          </w:tcPr>
          <w:p>
            <w:pPr>
              <w:ind w:left="360"/>
              <w:spacing w:after="0"/>
              <w:rPr>
                <w:sz w:val="20"/>
                <w:szCs w:val="20"/>
                <w:color w:val="auto"/>
              </w:rPr>
            </w:pPr>
            <w:r>
              <w:rPr>
                <w:rFonts w:ascii="Arial" w:cs="Arial" w:eastAsia="Arial" w:hAnsi="Arial"/>
                <w:sz w:val="18"/>
                <w:szCs w:val="18"/>
                <w:color w:val="auto"/>
              </w:rPr>
              <w:t>Total other income, net</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(20,646</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(24,855</w:t>
            </w:r>
          </w:p>
        </w:tc>
        <w:tc>
          <w:tcPr>
            <w:tcW w:w="3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(48,654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(50,063</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(64 )</w:t>
            </w:r>
          </w:p>
        </w:tc>
        <w:tc>
          <w:tcPr>
            <w:tcW w:w="14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(24,858</w:t>
            </w:r>
          </w:p>
        </w:tc>
        <w:tc>
          <w:tcPr>
            <w:tcW w:w="3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(0.23 )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(0.28 )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(0.55 )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(0.57 )</w:t>
            </w:r>
          </w:p>
        </w:tc>
      </w:tr>
      <w:tr>
        <w:trPr>
          <w:trHeight w:val="215"/>
        </w:trPr>
        <w:tc>
          <w:tcPr>
            <w:tcW w:w="5000" w:type="dxa"/>
            <w:vAlign w:val="bottom"/>
          </w:tcPr>
          <w:p>
            <w:pPr>
              <w:spacing w:after="0"/>
              <w:rPr>
                <w:sz w:val="20"/>
                <w:szCs w:val="20"/>
                <w:color w:val="auto"/>
              </w:rPr>
            </w:pPr>
            <w:r>
              <w:rPr>
                <w:rFonts w:ascii="Arial" w:cs="Arial" w:eastAsia="Arial" w:hAnsi="Arial"/>
                <w:sz w:val="18"/>
                <w:szCs w:val="18"/>
                <w:color w:val="auto"/>
                <w:w w:val="94"/>
              </w:rPr>
              <w:t>Weighted average number of common shares outstanding – basic</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and diluted</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88,354,590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87,839,804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88,281,368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87,775,440</w:t>
            </w:r>
          </w:p>
        </w:tc>
        <w:tc>
          <w:tcPr>
            <w:tcW w:w="120" w:type="dxa"/>
            <w:vAlign w:val="bottom"/>
          </w:tcPr>
          <w:p>
            <w:pPr>
              <w:spacing w:after="0"/>
              <w:rPr>
                <w:sz w:val="20"/>
                <w:szCs w:val="20"/>
                <w:color w:val="auto"/>
              </w:rPr>
            </w:pPr>
          </w:p>
        </w:tc>
      </w:tr>
      <w:tr>
        <w:trPr>
          <w:trHeight w:val="250"/>
        </w:trPr>
        <w:tc>
          <w:tcPr>
            <w:tcW w:w="5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(20,710 )</w:t>
            </w:r>
          </w:p>
        </w:tc>
        <w:tc>
          <w:tcPr>
            <w:tcW w:w="14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(24,858 )</w:t>
            </w:r>
          </w:p>
        </w:tc>
        <w:tc>
          <w:tcPr>
            <w:tcW w:w="16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(48,718 )</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(50,066 )</w:t>
            </w:r>
          </w:p>
        </w:tc>
      </w:tr>
      <w:tr>
        <w:trPr>
          <w:trHeight w:val="24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(937 )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(3,582 )</w:t>
            </w:r>
          </w:p>
        </w:tc>
      </w:tr>
      <w:tr>
        <w:trPr>
          <w:trHeight w:val="277"/>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(25,795</w:t>
            </w:r>
          </w:p>
        </w:tc>
        <w:tc>
          <w:tcPr>
            <w:tcW w:w="3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-3316605</wp:posOffset>
            </wp:positionV>
            <wp:extent cx="7747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-3316605</wp:posOffset>
            </wp:positionV>
            <wp:extent cx="7747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-3316605</wp:posOffset>
            </wp:positionV>
            <wp:extent cx="7747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-3316605</wp:posOffset>
            </wp:positionV>
            <wp:extent cx="7747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-2682240</wp:posOffset>
            </wp:positionV>
            <wp:extent cx="7747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-2682240</wp:posOffset>
            </wp:positionV>
            <wp:extent cx="7747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-2682240</wp:posOffset>
            </wp:positionV>
            <wp:extent cx="7747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-2056765</wp:posOffset>
            </wp:positionV>
            <wp:extent cx="774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-2056765</wp:posOffset>
            </wp:positionV>
            <wp:extent cx="77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-2056765</wp:posOffset>
            </wp:positionV>
            <wp:extent cx="7747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-2056765</wp:posOffset>
            </wp:positionV>
            <wp:extent cx="7747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-1414145</wp:posOffset>
            </wp:positionV>
            <wp:extent cx="7747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-1414145</wp:posOffset>
            </wp:positionV>
            <wp:extent cx="7747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-1414145</wp:posOffset>
            </wp:positionV>
            <wp:extent cx="7747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-1414145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-24765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w w:val="98"/>
              </w:rPr>
              <w:t>Accumulated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68"/>
        </w:trPr>
        <w:tc>
          <w:tcPr>
            <w:tcW w:w="2960" w:type="dxa"/>
            <w:vAlign w:val="bottom"/>
          </w:tcPr>
          <w:p>
            <w:pPr>
              <w:spacing w:after="0"/>
              <w:rPr>
                <w:sz w:val="14"/>
                <w:szCs w:val="14"/>
                <w:color w:val="auto"/>
              </w:rPr>
            </w:pPr>
          </w:p>
        </w:tc>
        <w:tc>
          <w:tcPr>
            <w:tcW w:w="21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9"/>
              </w:rPr>
              <w:t>Paid-in</w:t>
            </w:r>
          </w:p>
        </w:tc>
        <w:tc>
          <w:tcPr>
            <w:tcW w:w="12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w w:val="94"/>
              </w:rPr>
              <w:t>Capital</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w w:val="78"/>
              </w:rPr>
              <w:t>Loss</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87"/>
              </w:rPr>
              <w:t>Deficit</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88,179,374</w:t>
            </w:r>
          </w:p>
        </w:tc>
        <w:tc>
          <w:tcPr>
            <w:tcW w:w="1140" w:type="dxa"/>
            <w:vAlign w:val="bottom"/>
            <w:tcBorders>
              <w:left w:val="single" w:sz="8" w:color="CFF0FC"/>
            </w:tcBorders>
            <w:gridSpan w:val="2"/>
            <w:shd w:val="clear" w:color="auto" w:fill="CFF0FC"/>
          </w:tcPr>
          <w:p>
            <w:pPr>
              <w:jc w:val="right"/>
              <w:ind w:right="7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460" w:type="dxa"/>
            <w:vAlign w:val="bottom"/>
            <w:gridSpan w:val="2"/>
            <w:shd w:val="clear" w:color="auto" w:fill="CFF0FC"/>
          </w:tcPr>
          <w:p>
            <w:pPr>
              <w:jc w:val="right"/>
              <w:ind w:right="41"/>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522,605</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(3,705 )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(269,512 )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249,476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3"/>
                <w:szCs w:val="13"/>
                <w:color w:val="auto"/>
                <w:w w:val="98"/>
              </w:rPr>
              <w:t>Issuance of common stock from exercise of options</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tcPr>
          <w:p>
            <w:pPr>
              <w:ind w:left="20"/>
              <w:spacing w:after="0"/>
              <w:rPr>
                <w:sz w:val="20"/>
                <w:szCs w:val="20"/>
                <w:color w:val="auto"/>
              </w:rPr>
            </w:pPr>
            <w:r>
              <w:rPr>
                <w:rFonts w:ascii="Arial" w:cs="Arial" w:eastAsia="Arial" w:hAnsi="Arial"/>
                <w:sz w:val="13"/>
                <w:szCs w:val="13"/>
                <w:color w:val="auto"/>
              </w:rPr>
              <w:t>and employee stock 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30,590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4,219</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(28,008 )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(28,008 )</w:t>
            </w:r>
          </w:p>
        </w:tc>
        <w:tc>
          <w:tcPr>
            <w:tcW w:w="0" w:type="dxa"/>
            <w:vAlign w:val="bottom"/>
          </w:tcPr>
          <w:p>
            <w:pPr>
              <w:spacing w:after="0"/>
              <w:rPr>
                <w:sz w:val="1"/>
                <w:szCs w:val="1"/>
                <w:color w:val="auto"/>
              </w:rPr>
            </w:pPr>
          </w:p>
        </w:tc>
      </w:tr>
      <w:tr>
        <w:trPr>
          <w:trHeight w:val="20"/>
        </w:trPr>
        <w:tc>
          <w:tcPr>
            <w:tcW w:w="296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20" w:type="dxa"/>
            <w:vAlign w:val="bottom"/>
          </w:tcPr>
          <w:p>
            <w:pPr>
              <w:jc w:val="right"/>
              <w:spacing w:after="0"/>
              <w:rPr>
                <w:sz w:val="20"/>
                <w:szCs w:val="20"/>
                <w:color w:val="auto"/>
              </w:rPr>
            </w:pPr>
            <w:r>
              <w:rPr>
                <w:rFonts w:ascii="Arial" w:cs="Arial" w:eastAsia="Arial" w:hAnsi="Arial"/>
                <w:sz w:val="13"/>
                <w:szCs w:val="13"/>
                <w:color w:val="auto"/>
              </w:rPr>
              <w:t>88,209,964</w:t>
            </w:r>
          </w:p>
        </w:tc>
        <w:tc>
          <w:tcPr>
            <w:tcW w:w="28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88</w:t>
            </w:r>
          </w:p>
        </w:tc>
        <w:tc>
          <w:tcPr>
            <w:tcW w:w="280" w:type="dxa"/>
            <w:vAlign w:val="bottom"/>
          </w:tcPr>
          <w:p>
            <w:pPr>
              <w:spacing w:after="0"/>
              <w:rPr>
                <w:sz w:val="14"/>
                <w:szCs w:val="14"/>
                <w:color w:val="auto"/>
              </w:rPr>
            </w:pP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526,897</w:t>
            </w:r>
          </w:p>
        </w:tc>
        <w:tc>
          <w:tcPr>
            <w:tcW w:w="320" w:type="dxa"/>
            <w:vAlign w:val="bottom"/>
          </w:tcPr>
          <w:p>
            <w:pPr>
              <w:spacing w:after="0"/>
              <w:rPr>
                <w:sz w:val="14"/>
                <w:szCs w:val="14"/>
                <w:color w:val="auto"/>
              </w:rPr>
            </w:pPr>
          </w:p>
        </w:tc>
        <w:tc>
          <w:tcPr>
            <w:tcW w:w="12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(2,201 )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(297,520 )</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227,264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60" w:type="dxa"/>
            <w:vAlign w:val="bottom"/>
            <w:tcBorders>
              <w:right w:val="single" w:sz="8" w:color="CFF0FC"/>
            </w:tcBorders>
            <w:shd w:val="clear" w:color="auto" w:fill="CFF0FC"/>
          </w:tcPr>
          <w:p>
            <w:pPr>
              <w:ind w:left="20"/>
              <w:spacing w:after="0" w:line="132" w:lineRule="exact"/>
              <w:rPr>
                <w:sz w:val="20"/>
                <w:szCs w:val="20"/>
                <w:color w:val="auto"/>
              </w:rPr>
            </w:pPr>
            <w:r>
              <w:rPr>
                <w:rFonts w:ascii="Arial" w:cs="Arial" w:eastAsia="Arial" w:hAnsi="Arial"/>
                <w:sz w:val="13"/>
                <w:szCs w:val="13"/>
                <w:color w:val="auto"/>
                <w:w w:val="98"/>
              </w:rPr>
              <w:t>Issuance of common stock from exercise of options</w:t>
            </w:r>
          </w:p>
        </w:tc>
        <w:tc>
          <w:tcPr>
            <w:tcW w:w="1020" w:type="dxa"/>
            <w:vAlign w:val="bottom"/>
            <w:shd w:val="clear" w:color="auto" w:fill="CFF0FC"/>
          </w:tcPr>
          <w:p>
            <w:pPr>
              <w:spacing w:after="0"/>
              <w:rPr>
                <w:sz w:val="11"/>
                <w:szCs w:val="11"/>
                <w:color w:val="auto"/>
              </w:rPr>
            </w:pPr>
          </w:p>
        </w:tc>
        <w:tc>
          <w:tcPr>
            <w:tcW w:w="280" w:type="dxa"/>
            <w:vAlign w:val="bottom"/>
            <w:tcBorders>
              <w:left w:val="single" w:sz="8" w:color="CFF0FC"/>
              <w:right w:val="single" w:sz="8" w:color="CFF0FC"/>
            </w:tcBorders>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20" w:type="dxa"/>
            <w:vAlign w:val="bottom"/>
            <w:tcBorders>
              <w:left w:val="single" w:sz="8" w:color="CFF0FC"/>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8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and employee stock purchase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252,880</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5,121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28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(20,710 )</w:t>
            </w:r>
          </w:p>
        </w:tc>
        <w:tc>
          <w:tcPr>
            <w:tcW w:w="16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(20,710 )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88,462,844</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jc w:val="right"/>
              <w:ind w:right="720"/>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532,604</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(1,517 )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(318,230 )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212,945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60" w:type="dxa"/>
            <w:vAlign w:val="bottom"/>
          </w:tcPr>
          <w:p>
            <w:pPr>
              <w:spacing w:after="0"/>
              <w:rPr>
                <w:sz w:val="14"/>
                <w:szCs w:val="14"/>
                <w:color w:val="auto"/>
              </w:rPr>
            </w:pPr>
          </w:p>
        </w:tc>
        <w:tc>
          <w:tcPr>
            <w:tcW w:w="2160" w:type="dxa"/>
            <w:vAlign w:val="bottom"/>
            <w:gridSpan w:val="3"/>
            <w:vMerge w:val="restart"/>
          </w:tcPr>
          <w:p>
            <w:pPr>
              <w:jc w:val="right"/>
              <w:ind w:right="50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2"/>
              </w:rPr>
              <w:t>Capital</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78"/>
              </w:rPr>
              <w:t>Loss</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5"/>
              </w:rPr>
              <w:t>Deficit</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87,598,184</w:t>
            </w:r>
          </w:p>
        </w:tc>
        <w:tc>
          <w:tcPr>
            <w:tcW w:w="1140" w:type="dxa"/>
            <w:vAlign w:val="bottom"/>
            <w:tcBorders>
              <w:left w:val="single" w:sz="8" w:color="CFF0FC"/>
            </w:tcBorders>
            <w:gridSpan w:val="2"/>
            <w:shd w:val="clear" w:color="auto" w:fill="CFF0FC"/>
          </w:tcPr>
          <w:p>
            <w:pPr>
              <w:jc w:val="right"/>
              <w:ind w:right="7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460" w:type="dxa"/>
            <w:vAlign w:val="bottom"/>
            <w:gridSpan w:val="2"/>
            <w:shd w:val="clear" w:color="auto" w:fill="CFF0FC"/>
          </w:tcPr>
          <w:p>
            <w:pPr>
              <w:jc w:val="right"/>
              <w:ind w:right="61"/>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506,760</w:t>
            </w:r>
          </w:p>
        </w:tc>
        <w:tc>
          <w:tcPr>
            <w:tcW w:w="32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(765 )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(161,336 )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344,747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tcPr>
          <w:p>
            <w:pPr>
              <w:ind w:left="20"/>
              <w:spacing w:after="0"/>
              <w:rPr>
                <w:sz w:val="20"/>
                <w:szCs w:val="20"/>
                <w:color w:val="auto"/>
              </w:rPr>
            </w:pPr>
            <w:r>
              <w:rPr>
                <w:rFonts w:ascii="Arial" w:cs="Arial" w:eastAsia="Arial" w:hAnsi="Arial"/>
                <w:sz w:val="13"/>
                <w:szCs w:val="13"/>
                <w:color w:val="auto"/>
              </w:rPr>
              <w:t>options and employee stock 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111,315</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3,205</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3"/>
                <w:szCs w:val="13"/>
                <w:color w:val="auto"/>
              </w:rPr>
              <w:t>Business combination and PIPE financing,</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(2,645 )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(2,645 )</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(25,208 )</w:t>
            </w:r>
          </w:p>
        </w:tc>
        <w:tc>
          <w:tcPr>
            <w:tcW w:w="16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(25,208 )</w:t>
            </w:r>
          </w:p>
        </w:tc>
        <w:tc>
          <w:tcPr>
            <w:tcW w:w="0" w:type="dxa"/>
            <w:vAlign w:val="bottom"/>
          </w:tcPr>
          <w:p>
            <w:pPr>
              <w:spacing w:after="0"/>
              <w:rPr>
                <w:sz w:val="1"/>
                <w:szCs w:val="1"/>
                <w:color w:val="auto"/>
              </w:rPr>
            </w:pPr>
          </w:p>
        </w:tc>
      </w:tr>
      <w:tr>
        <w:trPr>
          <w:trHeight w:val="20"/>
        </w:trPr>
        <w:tc>
          <w:tcPr>
            <w:tcW w:w="29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87,709,499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jc w:val="right"/>
              <w:ind w:right="74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6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510,222</w:t>
            </w: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(3,410 )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(186,544 )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320,356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60" w:type="dxa"/>
            <w:vAlign w:val="bottom"/>
            <w:tcBorders>
              <w:top w:val="single" w:sz="8" w:color="CFF0FC"/>
            </w:tcBorders>
          </w:tcPr>
          <w:p>
            <w:pPr>
              <w:ind w:left="20"/>
              <w:spacing w:after="0" w:line="132" w:lineRule="exact"/>
              <w:rPr>
                <w:sz w:val="20"/>
                <w:szCs w:val="20"/>
                <w:color w:val="auto"/>
              </w:rPr>
            </w:pPr>
            <w:r>
              <w:rPr>
                <w:rFonts w:ascii="Arial" w:cs="Arial" w:eastAsia="Arial" w:hAnsi="Arial"/>
                <w:sz w:val="13"/>
                <w:szCs w:val="13"/>
                <w:color w:val="auto"/>
              </w:rPr>
              <w:t>Issuance of common stock from exercise of</w:t>
            </w:r>
          </w:p>
        </w:tc>
        <w:tc>
          <w:tcPr>
            <w:tcW w:w="10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60" w:type="dxa"/>
            <w:vAlign w:val="bottom"/>
          </w:tcPr>
          <w:p>
            <w:pPr>
              <w:ind w:left="20"/>
              <w:spacing w:after="0"/>
              <w:rPr>
                <w:sz w:val="20"/>
                <w:szCs w:val="20"/>
                <w:color w:val="auto"/>
              </w:rPr>
            </w:pPr>
            <w:r>
              <w:rPr>
                <w:rFonts w:ascii="Arial" w:cs="Arial" w:eastAsia="Arial" w:hAnsi="Arial"/>
                <w:sz w:val="13"/>
                <w:szCs w:val="13"/>
                <w:color w:val="auto"/>
              </w:rPr>
              <w:t>options and employee stock purchase plan</w:t>
            </w:r>
          </w:p>
        </w:tc>
        <w:tc>
          <w:tcPr>
            <w:tcW w:w="1020" w:type="dxa"/>
            <w:vAlign w:val="bottom"/>
          </w:tcPr>
          <w:p>
            <w:pPr>
              <w:jc w:val="right"/>
              <w:spacing w:after="0"/>
              <w:rPr>
                <w:sz w:val="20"/>
                <w:szCs w:val="20"/>
                <w:color w:val="auto"/>
              </w:rPr>
            </w:pPr>
            <w:r>
              <w:rPr>
                <w:rFonts w:ascii="Arial" w:cs="Arial" w:eastAsia="Arial" w:hAnsi="Arial"/>
                <w:sz w:val="13"/>
                <w:szCs w:val="13"/>
                <w:color w:val="auto"/>
              </w:rPr>
              <w:t>288,450</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 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3,425</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(937 )</w:t>
            </w:r>
          </w:p>
        </w:tc>
        <w:tc>
          <w:tcPr>
            <w:tcW w:w="1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(937 )</w:t>
            </w:r>
          </w:p>
        </w:tc>
        <w:tc>
          <w:tcPr>
            <w:tcW w:w="0" w:type="dxa"/>
            <w:vAlign w:val="bottom"/>
          </w:tcPr>
          <w:p>
            <w:pPr>
              <w:spacing w:after="0"/>
              <w:rPr>
                <w:sz w:val="1"/>
                <w:szCs w:val="1"/>
                <w:color w:val="auto"/>
              </w:rPr>
            </w:pPr>
          </w:p>
        </w:tc>
      </w:tr>
      <w:tr>
        <w:trPr>
          <w:trHeight w:val="175"/>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(24,858 )</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(24,858 )</w:t>
            </w:r>
          </w:p>
        </w:tc>
        <w:tc>
          <w:tcPr>
            <w:tcW w:w="0" w:type="dxa"/>
            <w:vAlign w:val="bottom"/>
          </w:tcPr>
          <w:p>
            <w:pPr>
              <w:spacing w:after="0"/>
              <w:rPr>
                <w:sz w:val="1"/>
                <w:szCs w:val="1"/>
                <w:color w:val="auto"/>
              </w:rPr>
            </w:pPr>
          </w:p>
        </w:tc>
      </w:tr>
      <w:tr>
        <w:trPr>
          <w:trHeight w:val="20"/>
        </w:trPr>
        <w:tc>
          <w:tcPr>
            <w:tcW w:w="296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20" w:type="dxa"/>
            <w:vAlign w:val="bottom"/>
          </w:tcPr>
          <w:p>
            <w:pPr>
              <w:jc w:val="right"/>
              <w:spacing w:after="0"/>
              <w:rPr>
                <w:sz w:val="20"/>
                <w:szCs w:val="20"/>
                <w:color w:val="auto"/>
              </w:rPr>
            </w:pPr>
            <w:r>
              <w:rPr>
                <w:rFonts w:ascii="Arial" w:cs="Arial" w:eastAsia="Arial" w:hAnsi="Arial"/>
                <w:sz w:val="13"/>
                <w:szCs w:val="13"/>
                <w:color w:val="auto"/>
              </w:rPr>
              <w:t>87,997,949</w:t>
            </w:r>
          </w:p>
        </w:tc>
        <w:tc>
          <w:tcPr>
            <w:tcW w:w="280" w:type="dxa"/>
            <w:vAlign w:val="bottom"/>
          </w:tcPr>
          <w:p>
            <w:pPr>
              <w:spacing w:after="0"/>
              <w:rPr>
                <w:sz w:val="14"/>
                <w:szCs w:val="14"/>
                <w:color w:val="auto"/>
              </w:rPr>
            </w:pPr>
          </w:p>
        </w:tc>
        <w:tc>
          <w:tcPr>
            <w:tcW w:w="860" w:type="dxa"/>
            <w:vAlign w:val="bottom"/>
          </w:tcPr>
          <w:p>
            <w:pPr>
              <w:jc w:val="right"/>
              <w:ind w:right="74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88</w:t>
            </w:r>
          </w:p>
        </w:tc>
        <w:tc>
          <w:tcPr>
            <w:tcW w:w="28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514,365</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(4,347 )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(211,402 )</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298,704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-3102610</wp:posOffset>
            </wp:positionV>
            <wp:extent cx="8572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-3102610</wp:posOffset>
            </wp:positionV>
            <wp:extent cx="8572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-3102610</wp:posOffset>
            </wp:positionV>
            <wp:extent cx="8572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-3102610</wp:posOffset>
            </wp:positionV>
            <wp:extent cx="7683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-3102610</wp:posOffset>
            </wp:positionV>
            <wp:extent cx="8572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-3102610</wp:posOffset>
            </wp:positionV>
            <wp:extent cx="8572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-2296795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-2279650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-2296795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-2279650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-2296795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-2279650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-2296795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-2279650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-2296795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-2279650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-2296795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-710565</wp:posOffset>
            </wp:positionV>
            <wp:extent cx="4612005"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12005" cy="23114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-145415</wp:posOffset>
            </wp:positionV>
            <wp:extent cx="7683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747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-145415</wp:posOffset>
            </wp:positionV>
            <wp:extent cx="857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-145415</wp:posOffset>
            </wp:positionV>
            <wp:extent cx="7747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7747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6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(48,718 )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(50,066 )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6,630</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amortization on marketable securities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(1,769 )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(2,462 )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(12,646 )</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38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(7 )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(2,356 )</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(4,245 )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4,260</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(1,461 )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(875 )</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(15,364 )</w:t>
            </w: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(7,529 )</w:t>
            </w:r>
          </w:p>
        </w:tc>
      </w:tr>
      <w:tr>
        <w:trPr>
          <w:trHeight w:val="243"/>
        </w:trPr>
        <w:tc>
          <w:tcPr>
            <w:tcW w:w="76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(59,380</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(1,284 )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(3,372 )</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168,833</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97,640</w:t>
            </w:r>
          </w:p>
        </w:tc>
        <w:tc>
          <w:tcPr>
            <w:tcW w:w="140" w:type="dxa"/>
            <w:vAlign w:val="bottom"/>
          </w:tcPr>
          <w:p>
            <w:pPr>
              <w:spacing w:after="0"/>
              <w:rPr>
                <w:sz w:val="20"/>
                <w:szCs w:val="20"/>
                <w:color w:val="auto"/>
              </w:rPr>
            </w:pPr>
          </w:p>
        </w:tc>
      </w:tr>
      <w:tr>
        <w:trPr>
          <w:trHeight w:val="24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(103,311 )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(70,492 )</w:t>
            </w:r>
          </w:p>
        </w:tc>
      </w:tr>
      <w:tr>
        <w:trPr>
          <w:trHeight w:val="237"/>
        </w:trPr>
        <w:tc>
          <w:tcPr>
            <w:tcW w:w="76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64,238</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23,776</w:t>
            </w:r>
          </w:p>
        </w:tc>
        <w:tc>
          <w:tcPr>
            <w:tcW w:w="140" w:type="dxa"/>
            <w:vAlign w:val="bottom"/>
            <w:tcBorders>
              <w:top w:val="single" w:sz="8" w:color="CFF0FC"/>
            </w:tcBorders>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20" w:type="dxa"/>
            <w:vAlign w:val="bottom"/>
          </w:tcPr>
          <w:p>
            <w:pPr>
              <w:ind w:left="200"/>
              <w:spacing w:after="0"/>
              <w:rPr>
                <w:sz w:val="20"/>
                <w:szCs w:val="20"/>
                <w:color w:val="auto"/>
              </w:rPr>
            </w:pPr>
            <w:r>
              <w:rPr>
                <w:rFonts w:ascii="Arial" w:cs="Arial" w:eastAsia="Arial" w:hAnsi="Arial"/>
                <w:sz w:val="18"/>
                <w:szCs w:val="18"/>
                <w:color w:val="auto"/>
                <w:w w:val="95"/>
              </w:rPr>
              <w:t>Proceeds from issuance of common stock upon exercise of stock options and purchase of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under ESPP</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20"/>
                <w:szCs w:val="20"/>
                <w:color w:val="auto"/>
              </w:rPr>
            </w:pPr>
          </w:p>
        </w:tc>
      </w:tr>
      <w:tr>
        <w:trPr>
          <w:trHeight w:val="243"/>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Business Combination and PIPE Financing transaction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36"/>
        </w:trPr>
        <w:tc>
          <w:tcPr>
            <w:tcW w:w="76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Borders>
              <w:top w:val="single" w:sz="8" w:color="CFF0FC"/>
            </w:tcBorders>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(36,452 )</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63,958</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145,024</w:t>
            </w:r>
          </w:p>
        </w:tc>
        <w:tc>
          <w:tcPr>
            <w:tcW w:w="140" w:type="dxa"/>
            <w:vAlign w:val="bottom"/>
          </w:tcPr>
          <w:p>
            <w:pPr>
              <w:spacing w:after="0"/>
              <w:rPr>
                <w:sz w:val="20"/>
                <w:szCs w:val="20"/>
                <w:color w:val="auto"/>
              </w:rPr>
            </w:pPr>
          </w:p>
        </w:tc>
      </w:tr>
      <w:tr>
        <w:trPr>
          <w:trHeight w:val="243"/>
        </w:trPr>
        <w:tc>
          <w:tcPr>
            <w:tcW w:w="7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69,475</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108,572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477"/>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leases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FF0FC"/>
          </w:tcPr>
          <w:p>
            <w:pPr>
              <w:spacing w:after="0"/>
              <w:rPr>
                <w:sz w:val="21"/>
                <w:szCs w:val="21"/>
                <w:color w:val="auto"/>
              </w:rPr>
            </w:pP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FF0FC"/>
          </w:tcPr>
          <w:p>
            <w:pPr>
              <w:spacing w:after="0"/>
              <w:rPr>
                <w:sz w:val="21"/>
                <w:szCs w:val="21"/>
                <w:color w:val="auto"/>
              </w:rPr>
            </w:pPr>
          </w:p>
        </w:tc>
      </w:tr>
      <w:tr>
        <w:trPr>
          <w:trHeight w:val="230"/>
        </w:trPr>
        <w:tc>
          <w:tcPr>
            <w:tcW w:w="7620" w:type="dxa"/>
            <w:vAlign w:val="bottom"/>
          </w:tcPr>
          <w:p>
            <w:pPr>
              <w:ind w:left="200"/>
              <w:spacing w:after="0"/>
              <w:rPr>
                <w:sz w:val="20"/>
                <w:szCs w:val="20"/>
                <w:color w:val="auto"/>
              </w:rPr>
            </w:pPr>
            <w:r>
              <w:rPr>
                <w:rFonts w:ascii="Arial" w:cs="Arial" w:eastAsia="Arial" w:hAnsi="Arial"/>
                <w:sz w:val="18"/>
                <w:szCs w:val="18"/>
                <w:color w:val="auto"/>
              </w:rPr>
              <w:t>Revaluation of right-of-use asset and lease liability upon lease remeasurement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(220 )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-2477135</wp:posOffset>
            </wp:positionV>
            <wp:extent cx="8572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-2477135</wp:posOffset>
            </wp:positionV>
            <wp:extent cx="8572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-1714500</wp:posOffset>
            </wp:positionV>
            <wp:extent cx="8572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-1714500</wp:posOffset>
            </wp:positionV>
            <wp:extent cx="8572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-925830</wp:posOffset>
            </wp:positionV>
            <wp:extent cx="85725"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-925830</wp:posOffset>
            </wp:positionV>
            <wp:extent cx="85725" cy="316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316865"/>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Tango Therapeutics, Inc. is a precision oncology company committed to the discovery and development of novel drugs in defined patient populations with high unmet medical need.</w:t>
      </w:r>
    </w:p>
    <w:p>
      <w:pPr>
        <w:spacing w:after="0" w:line="170"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2023 and 2022 are not necessarily indicative of the results for the year ending December 31, 2023, any other interim periods, or any future year or period. The unaudited condensed consolidated financial statements for the three and six months ended June 30, 2023 and 2022 have been prepared on the same basis as and should be read in conjunction with the audited consolidated financial statements and notes included in the Company’s Annual Report on Form 10-K for the year ended December 31, 2022 as filed with the SEC on March 27, 2023.</w:t>
      </w:r>
    </w:p>
    <w:p>
      <w:pPr>
        <w:spacing w:after="0" w:line="18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 xml:space="preserve">There have been no significant changes from the significant accounting policies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audited consolidated financial statements and notes included in the Company’s Annual Report on Form 10-K for the year ended December 31, 2022.</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 w:name="page13"/>
    <w:bookmarkEnd w:id="12"/>
    <w:p>
      <w:pPr>
        <w:ind w:left="520" w:right="8700" w:hanging="512"/>
        <w:spacing w:after="0" w:line="566" w:lineRule="auto"/>
        <w:tabs>
          <w:tab w:leader="none" w:pos="5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ind w:firstLine="509"/>
        <w:spacing w:after="0" w:line="275" w:lineRule="auto"/>
        <w:rPr>
          <w:sz w:val="20"/>
          <w:szCs w:val="20"/>
          <w:color w:val="auto"/>
        </w:rPr>
      </w:pPr>
      <w:r>
        <w:rPr>
          <w:rFonts w:ascii="Arial" w:cs="Arial" w:eastAsia="Arial" w:hAnsi="Arial"/>
          <w:sz w:val="17"/>
          <w:szCs w:val="17"/>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 Gilead paid the Company a $50.0 million non-refundable upfront payment upon the execution of the 2018 Gilead Agreement and is eligible to receive certain milestone payments.</w:t>
      </w:r>
    </w:p>
    <w:p>
      <w:pPr>
        <w:spacing w:after="0" w:line="176"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22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June 30, 2023 balance sheet date, Gilead maintains an ownership of less than 10% of the Company's common stock and is thus not considered to be a related party to the Company.</w:t>
      </w:r>
    </w:p>
    <w:p>
      <w:pPr>
        <w:spacing w:after="0" w:line="184"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57" w:lineRule="exact"/>
        <w:rPr>
          <w:sz w:val="20"/>
          <w:szCs w:val="20"/>
          <w:color w:val="auto"/>
        </w:rPr>
      </w:pPr>
    </w:p>
    <w:p>
      <w:pPr>
        <w:ind w:left="1020" w:right="3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75"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60" w:firstLine="509"/>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was added to the transaction price under the Gilead Agreement.</w:t>
      </w:r>
    </w:p>
    <w:p>
      <w:pPr>
        <w:spacing w:after="0" w:line="188"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June 2023, Gilead licensed a program for a $5.0 million license fee. The $5.0 million license fee was received and recognized as revenue in the second quarter of 2023 as the Company has no continued involvement in the advancement of the program, Gilead can benefit from the license on its own, and the license is separately identifiable from the research services.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225"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 total transaction price allocated to the combined performance obligation under the Gilead Agreement was $199.0 million at June 30, 2023. The total transaction price was comprised of the $50.0 million upfront payment pursuant to the 2018 Gilead Agreement, the $125.0 million upfront payment pursuant to the Gilead Agreement, and $24.0 million pursuant to the research option-extension fee payments related to decisions made in 2020 and 2021. During the six months ended June 30, 2023 and 2022, the Company recognized $15.4 million and $11.5 million, respectively, of collaboration revenue associated with the Gilead agreements based on performance completed during each period.</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2023 and December 31, 2022, the Company had short-term deferred revenue of $33.8 million and $31.8 million, respectively, and long-term deferred revenue of $74.7 million and $92.1 million, respectively, related to the Gilead collaboration. The remaining long-term deferred revenue is expected to be recognized proportionally to the completed obligations over an expected remaining contractual term of approximately 4.1 years.</w:t>
      </w:r>
    </w:p>
    <w:p>
      <w:pPr>
        <w:spacing w:after="0" w:line="178" w:lineRule="exact"/>
        <w:rPr>
          <w:sz w:val="20"/>
          <w:szCs w:val="20"/>
          <w:color w:val="auto"/>
        </w:rPr>
      </w:pPr>
    </w:p>
    <w:p>
      <w:pPr>
        <w:ind w:right="460" w:firstLine="509"/>
        <w:spacing w:after="0" w:line="308"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22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4"/>
              </w:rPr>
              <w:t>Fair Market Value Measurements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89"/>
              </w:rPr>
              <w:t>as of June 30, 2023</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(in</w:t>
            </w: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thousands)</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11,468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15,698</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119,155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119,155</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260,298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271,766</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-521970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-504825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-521970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-504825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-521970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-504825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-521970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-504825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5"/>
              </w:rPr>
              <w:t>Fair Market Value Measurements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0"/>
              </w:rPr>
              <w:t>as of December 31, 2022</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(in</w:t>
            </w: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thousands)</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Pr>
          <w:p>
            <w:pPr>
              <w:spacing w:after="0"/>
              <w:rPr>
                <w:sz w:val="20"/>
                <w:szCs w:val="20"/>
                <w:color w:val="auto"/>
              </w:rPr>
            </w:pPr>
          </w:p>
        </w:tc>
      </w:tr>
      <w:tr>
        <w:trPr>
          <w:trHeight w:val="249"/>
        </w:trPr>
        <w:tc>
          <w:tcPr>
            <w:tcW w:w="5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120" w:type="dxa"/>
            <w:vAlign w:val="bottom"/>
            <w:shd w:val="clear" w:color="auto" w:fill="CFF0FC"/>
          </w:tcPr>
          <w:p>
            <w:pPr>
              <w:spacing w:after="0"/>
              <w:rPr>
                <w:sz w:val="21"/>
                <w:szCs w:val="2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199,245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199,245</w:t>
            </w:r>
          </w:p>
        </w:tc>
        <w:tc>
          <w:tcPr>
            <w:tcW w:w="120" w:type="dxa"/>
            <w:vAlign w:val="bottom"/>
            <w:shd w:val="clear" w:color="auto" w:fill="CFF0FC"/>
          </w:tcPr>
          <w:p>
            <w:pPr>
              <w:spacing w:after="0"/>
              <w:rPr>
                <w:sz w:val="21"/>
                <w:szCs w:val="2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106,920</w:t>
            </w:r>
          </w:p>
        </w:tc>
        <w:tc>
          <w:tcPr>
            <w:tcW w:w="120" w:type="dxa"/>
            <w:vAlign w:val="bottom"/>
          </w:tcPr>
          <w:p>
            <w:pPr>
              <w:spacing w:after="0"/>
              <w:rPr>
                <w:sz w:val="20"/>
                <w:szCs w:val="20"/>
                <w:color w:val="auto"/>
              </w:rPr>
            </w:pPr>
          </w:p>
        </w:tc>
      </w:tr>
      <w:tr>
        <w:trPr>
          <w:trHeight w:val="276"/>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322,195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329,772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-25400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six months ended June 30, 2023.</w:t>
      </w:r>
    </w:p>
    <w:p>
      <w:pPr>
        <w:spacing w:after="0" w:line="22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2"/>
              </w:rPr>
              <w:t>Fair Value Measurements as of June 30, 2023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8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126,098</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(654 )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246,117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(1,521 )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8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201,834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(2,610 )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199,245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108,036</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(1,116 )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106,920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309,870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(3,726 )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-1551305</wp:posOffset>
            </wp:positionV>
            <wp:extent cx="768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-1551305</wp:posOffset>
            </wp:positionV>
            <wp:extent cx="7747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-1551305</wp:posOffset>
            </wp:positionV>
            <wp:extent cx="7747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-1551305</wp:posOffset>
            </wp:positionV>
            <wp:extent cx="7747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7747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774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Company holds marketable debt securities with an aggregate fair value of $4.9 million as of June 30, 2023 with contractual maturity dates greater than one year.</w:t>
      </w:r>
    </w:p>
    <w:p>
      <w:pPr>
        <w:spacing w:after="0" w:line="17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following table summarizes the fair value and gross unrealized losses aggregated by category and the length of time that individual securities have been in an unrealized loss position: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left="360"/>
              <w:spacing w:after="0"/>
              <w:rPr>
                <w:sz w:val="20"/>
                <w:szCs w:val="20"/>
                <w:color w:val="auto"/>
              </w:rPr>
            </w:pPr>
            <w:r>
              <w:rPr>
                <w:rFonts w:ascii="Arial" w:cs="Arial" w:eastAsia="Arial" w:hAnsi="Arial"/>
                <w:sz w:val="14"/>
                <w:szCs w:val="14"/>
                <w:b w:val="1"/>
                <w:bCs w:val="1"/>
                <w:color w:val="auto"/>
                <w:w w:val="92"/>
              </w:rPr>
              <w:t>June 30, 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0"/>
        </w:trPr>
        <w:tc>
          <w:tcPr>
            <w:tcW w:w="5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0"/>
              </w:rPr>
              <w:t>Less than twelve months</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4"/>
                <w:szCs w:val="14"/>
                <w:b w:val="1"/>
                <w:bCs w:val="1"/>
                <w:color w:val="auto"/>
                <w:w w:val="93"/>
              </w:rPr>
              <w:t>Greater than twelve months</w:t>
            </w:r>
          </w:p>
        </w:tc>
        <w:tc>
          <w:tcPr>
            <w:tcW w:w="320" w:type="dxa"/>
            <w:vAlign w:val="bottom"/>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360"/>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2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45,129</w:t>
            </w:r>
          </w:p>
        </w:tc>
        <w:tc>
          <w:tcPr>
            <w:tcW w:w="9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(64 )</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68,105</w:t>
            </w:r>
          </w:p>
        </w:tc>
        <w:tc>
          <w:tcPr>
            <w:tcW w:w="68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(803 )</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113,234</w:t>
            </w: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w w:val="89"/>
              </w:rPr>
              <w:t>U.S. government agency bonds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(436 )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119,935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(654 )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24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145,294</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87,875</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233,169</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-513715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-496570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-513715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-496570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-513715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-496570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-513715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-513715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-496570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91"/>
              </w:rPr>
              <w:t>December 31, 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50"/>
        </w:trPr>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4"/>
                <w:szCs w:val="14"/>
                <w:b w:val="1"/>
                <w:bCs w:val="1"/>
                <w:color w:val="auto"/>
              </w:rPr>
              <w:t>Less than twelve months</w:t>
            </w:r>
          </w:p>
        </w:tc>
        <w:tc>
          <w:tcPr>
            <w:tcW w:w="340" w:type="dxa"/>
            <w:vAlign w:val="bottom"/>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4"/>
                <w:szCs w:val="14"/>
                <w:b w:val="1"/>
                <w:bCs w:val="1"/>
                <w:color w:val="auto"/>
                <w:w w:val="93"/>
              </w:rPr>
              <w:t>Greater than twelve months</w:t>
            </w:r>
          </w:p>
        </w:tc>
        <w:tc>
          <w:tcPr>
            <w:tcW w:w="320" w:type="dxa"/>
            <w:vAlign w:val="bottom"/>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21"/>
                <w:szCs w:val="21"/>
                <w:color w:val="auto"/>
              </w:rPr>
            </w:pPr>
          </w:p>
        </w:tc>
      </w:tr>
      <w:tr>
        <w:trPr>
          <w:trHeight w:val="250"/>
        </w:trPr>
        <w:tc>
          <w:tcPr>
            <w:tcW w:w="2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2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44,213</w:t>
            </w: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(640 )</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76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(1,970 )</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129,210</w:t>
            </w:r>
          </w:p>
        </w:tc>
        <w:tc>
          <w:tcPr>
            <w:tcW w:w="6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2460" w:type="dxa"/>
            <w:vAlign w:val="bottom"/>
          </w:tcPr>
          <w:p>
            <w:pPr>
              <w:ind w:left="180"/>
              <w:spacing w:after="0"/>
              <w:rPr>
                <w:sz w:val="20"/>
                <w:szCs w:val="20"/>
                <w:color w:val="auto"/>
              </w:rPr>
            </w:pPr>
            <w:r>
              <w:rPr>
                <w:rFonts w:ascii="Arial" w:cs="Arial" w:eastAsia="Arial" w:hAnsi="Arial"/>
                <w:sz w:val="18"/>
                <w:szCs w:val="18"/>
                <w:color w:val="auto"/>
                <w:w w:val="89"/>
              </w:rPr>
              <w:t>U.S. government agency bonds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(489 )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(1,116 )</w:t>
            </w:r>
          </w:p>
        </w:tc>
      </w:tr>
      <w:tr>
        <w:trPr>
          <w:trHeight w:val="277"/>
        </w:trPr>
        <w:tc>
          <w:tcPr>
            <w:tcW w:w="24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113,132</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122,997</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236,129</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-25400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holds investment grade marketable securities considered to be in an unrealized loss position. Although these marketable securities are held at an unrealized loss position at June 30, 2023,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$1.3 million and $0.5 million in accrued interest as of June 30, 2023 and December 31, 2022, respectively.</w:t>
      </w:r>
    </w:p>
    <w:p>
      <w:pPr>
        <w:spacing w:after="0" w:line="191" w:lineRule="exact"/>
        <w:rPr>
          <w:sz w:val="20"/>
          <w:szCs w:val="20"/>
          <w:color w:val="auto"/>
        </w:rPr>
      </w:pPr>
    </w:p>
    <w:p>
      <w:pPr>
        <w:ind w:left="520" w:right="7520" w:hanging="512"/>
        <w:spacing w:after="0" w:line="503" w:lineRule="auto"/>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b w:val="1"/>
          <w:bCs w:val="1"/>
          <w:i w:val="1"/>
          <w:iCs w:val="1"/>
          <w:color w:val="auto"/>
        </w:rPr>
        <w:t>Property and Equipment</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as of June 30, 2023 and December 31, 2022 consists of the following:</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(in</w:t>
            </w:r>
          </w:p>
        </w:tc>
        <w:tc>
          <w:tcPr>
            <w:tcW w:w="136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0"/>
                <w:szCs w:val="20"/>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8"/>
                <w:szCs w:val="18"/>
                <w:color w:val="auto"/>
              </w:rPr>
              <w:t>(4,845 )</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(3,681 )</w:t>
            </w:r>
          </w:p>
        </w:tc>
      </w:tr>
      <w:tr>
        <w:trPr>
          <w:trHeight w:val="277"/>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$1.2 million and $0.6 million for the six months ended June 30, 2023 and 2022,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June 30, 2023 and December 31, 2022 include the following:</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(in</w:t>
            </w:r>
          </w:p>
        </w:tc>
        <w:tc>
          <w:tcPr>
            <w:tcW w:w="13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4"/>
                <w:szCs w:val="14"/>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employee-related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0"/>
                <w:szCs w:val="20"/>
                <w:color w:val="auto"/>
              </w:rPr>
            </w:pP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13,185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As of June 30, 2023 and 2022, the Company maintained a restricted cash balance of $3.4 million and $4.0 million, respectively, all of which was related to security deposits associated with the Company’s facility leases. The cash will remain restricted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0" w:right="37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r>
      <w:tr>
        <w:trPr>
          <w:trHeight w:val="18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66,052</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104,582</w:t>
            </w:r>
          </w:p>
        </w:tc>
        <w:tc>
          <w:tcPr>
            <w:tcW w:w="120" w:type="dxa"/>
            <w:vAlign w:val="bottom"/>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0"/>
                <w:szCs w:val="20"/>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69,475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108,572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left="520" w:right="8160" w:hanging="512"/>
        <w:spacing w:after="0" w:line="603" w:lineRule="auto"/>
        <w:tabs>
          <w:tab w:leader="none" w:pos="52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Other Funding Commitments</w:t>
      </w:r>
    </w:p>
    <w:p>
      <w:pPr>
        <w:spacing w:after="0" w:line="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June 30, 2023,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Company, from time to time, may be party to litigation arising in the ordinary course of business. The Company was not subject to any material legal proceedings as of June 30, 2023,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August 2023, Tango received an inconsequential equity stake in another biotech company, a related party, in exchange for providing lab space and resources for the early phases of company development.</w:t>
      </w:r>
    </w:p>
    <w:p>
      <w:pPr>
        <w:spacing w:after="0" w:line="166" w:lineRule="exact"/>
        <w:rPr>
          <w:sz w:val="20"/>
          <w:szCs w:val="20"/>
          <w:color w:val="auto"/>
        </w:rPr>
      </w:pPr>
    </w:p>
    <w:p>
      <w:pPr>
        <w:ind w:left="520" w:right="7540" w:hanging="512"/>
        <w:spacing w:after="0" w:line="503" w:lineRule="auto"/>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w:t>
      </w:r>
      <w:r>
        <w:rPr>
          <w:rFonts w:ascii="Arial" w:cs="Arial" w:eastAsia="Arial" w:hAnsi="Arial"/>
          <w:sz w:val="18"/>
          <w:szCs w:val="18"/>
          <w:b w:val="1"/>
          <w:bCs w:val="1"/>
          <w:i w:val="1"/>
          <w:iCs w:val="1"/>
          <w:color w:val="auto"/>
        </w:rPr>
        <w:t>Undesignated Preferred Stock</w:t>
      </w:r>
    </w:p>
    <w:p>
      <w:pPr>
        <w:ind w:right="60" w:firstLine="509"/>
        <w:spacing w:after="0" w:line="263" w:lineRule="auto"/>
        <w:rPr>
          <w:sz w:val="20"/>
          <w:szCs w:val="20"/>
          <w:color w:val="auto"/>
        </w:rPr>
      </w:pPr>
      <w:r>
        <w:rPr>
          <w:rFonts w:ascii="Arial" w:cs="Arial" w:eastAsia="Arial" w:hAnsi="Arial"/>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June 30, 2023. The shares of preferred stock are currently undesignated and no shares are issued or outstanding.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left="520" w:right="8620" w:hanging="512"/>
        <w:spacing w:after="0" w:line="603" w:lineRule="auto"/>
        <w:tabs>
          <w:tab w:leader="none" w:pos="52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Incentive Plan</w:t>
      </w:r>
    </w:p>
    <w:p>
      <w:pPr>
        <w:spacing w:after="0" w:line="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In March 2017, the Company's stockholders approved the 2017 Stock Option and Grant Plan, pursuant to which stock options, restricted stock awards, unrestricted stock awards, restricted stock units (RSUs), or any combination of the forgoing could be issued to eligible employees, officers, directors, consultants, or other key persons who provide services to the Company.</w:t>
      </w:r>
    </w:p>
    <w:p>
      <w:pPr>
        <w:spacing w:after="0" w:line="184"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2021 Stock Option and Incentive Plan (the 2021 Plan) became effective upon the closing of the Business Combination and replaced the 2017 Stock Option and Grant Plan. The 2021 Plan allows the Company to issue stock options, stock appreciation awards, restricted stock awards, unrestricted stock awards, restricted stock units (RSUs) and cash-based awards, or any combination of the forgoing to eligible employees, officers, directors, or consultants. As of June 30, 2023, the Company had 6,557,740 shares available for future issuance under the 2021 Plan.</w:t>
      </w:r>
    </w:p>
    <w:p>
      <w:pPr>
        <w:spacing w:after="0" w:line="15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June 30, 2023, the Company had 2,256,250 shares available for future issuance under the Inducement Plan.</w:t>
      </w:r>
    </w:p>
    <w:p>
      <w:pPr>
        <w:spacing w:after="0" w:line="165"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in its accompanying condensed consolidated statements of operations: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83"/>
        </w:trPr>
        <w:tc>
          <w:tcPr>
            <w:tcW w:w="37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r>
      <w:tr>
        <w:trPr>
          <w:trHeight w:val="183"/>
        </w:trPr>
        <w:tc>
          <w:tcPr>
            <w:tcW w:w="37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2,807</w:t>
            </w:r>
          </w:p>
        </w:tc>
        <w:tc>
          <w:tcPr>
            <w:tcW w:w="114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1,656</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7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FF0F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2,314</w:t>
            </w: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1,769</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0"/>
                <w:szCs w:val="20"/>
                <w:color w:val="auto"/>
              </w:rPr>
            </w:pPr>
          </w:p>
        </w:tc>
      </w:tr>
      <w:tr>
        <w:trPr>
          <w:trHeight w:val="277"/>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5,121</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3,425</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six months ended June 30, 2023:</w:t>
      </w:r>
    </w:p>
    <w:p>
      <w:pPr>
        <w:spacing w:after="0" w:line="24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(in years)</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Options outstanding as of December 31, 2022</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12,924,086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24,267,448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4,700,902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(59,209 )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(577,181 )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Options outstanding as of June 30,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16,988,598</w:t>
            </w:r>
          </w:p>
        </w:tc>
        <w:tc>
          <w:tcPr>
            <w:tcW w:w="3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3,774,470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Options exercisable as of June 30, 2023</w:t>
            </w:r>
          </w:p>
        </w:tc>
        <w:tc>
          <w:tcPr>
            <w:tcW w:w="1280" w:type="dxa"/>
            <w:vAlign w:val="bottom"/>
          </w:tcPr>
          <w:p>
            <w:pPr>
              <w:jc w:val="right"/>
              <w:spacing w:after="0"/>
              <w:rPr>
                <w:sz w:val="20"/>
                <w:szCs w:val="20"/>
                <w:color w:val="auto"/>
              </w:rPr>
            </w:pPr>
            <w:r>
              <w:rPr>
                <w:rFonts w:ascii="Arial" w:cs="Arial" w:eastAsia="Arial" w:hAnsi="Arial"/>
                <w:sz w:val="18"/>
                <w:szCs w:val="18"/>
                <w:color w:val="auto"/>
              </w:rPr>
              <w:t>6,805,260</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3,399,041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of June 30, 2023, total unrecognized compensation expense related to stock options was $42.4 million, which the Company expects to recognize over a remaining weighted-average period of 2.7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RSU activity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Grant Date Fair Value Per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0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Stock Units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Unvested and outstanding as of December 31, 2022</w:t>
            </w:r>
          </w:p>
        </w:tc>
        <w:tc>
          <w:tcPr>
            <w:tcW w:w="148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Granted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741,513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 w:type="dxa"/>
            <w:vAlign w:val="bottom"/>
          </w:tcPr>
          <w:p>
            <w:pPr>
              <w:spacing w:after="0"/>
              <w:rPr>
                <w:sz w:val="21"/>
                <w:szCs w:val="21"/>
                <w:color w:val="auto"/>
              </w:rPr>
            </w:pPr>
          </w:p>
        </w:tc>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37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(37,500 )</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700" w:type="dxa"/>
            <w:vAlign w:val="bottom"/>
            <w:gridSpan w:val="3"/>
          </w:tcPr>
          <w:p>
            <w:pPr>
              <w:jc w:val="right"/>
              <w:ind w:right="240"/>
              <w:spacing w:after="0"/>
              <w:rPr>
                <w:sz w:val="20"/>
                <w:szCs w:val="20"/>
                <w:color w:val="auto"/>
              </w:rPr>
            </w:pPr>
            <w:r>
              <w:rPr>
                <w:rFonts w:ascii="Arial" w:cs="Arial" w:eastAsia="Arial" w:hAnsi="Arial"/>
                <w:sz w:val="18"/>
                <w:szCs w:val="18"/>
                <w:color w:val="auto"/>
              </w:rPr>
              <w:t>(9,560 )</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Unvested and outstanding as of June 30, 2023</w:t>
            </w:r>
          </w:p>
        </w:tc>
        <w:tc>
          <w:tcPr>
            <w:tcW w:w="1480" w:type="dxa"/>
            <w:vAlign w:val="bottom"/>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694,453</w:t>
            </w: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100" w:firstLine="509"/>
        <w:spacing w:after="0" w:line="277" w:lineRule="auto"/>
        <w:rPr>
          <w:sz w:val="20"/>
          <w:szCs w:val="20"/>
          <w:color w:val="auto"/>
        </w:rPr>
      </w:pPr>
      <w:r>
        <w:rPr>
          <w:rFonts w:ascii="Arial" w:cs="Arial" w:eastAsia="Arial" w:hAnsi="Arial"/>
          <w:sz w:val="18"/>
          <w:szCs w:val="18"/>
          <w:color w:val="auto"/>
        </w:rPr>
        <w:t>As of June 30, 2023, total unrecognized compensation expense related to RSUs was $3.1 million, which the Company expects to recognize over a remaining weighted-average period of 2.5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jc w:val="both"/>
        <w:ind w:right="520" w:firstLine="509"/>
        <w:spacing w:after="0" w:line="263" w:lineRule="auto"/>
        <w:rPr>
          <w:sz w:val="20"/>
          <w:szCs w:val="20"/>
          <w:color w:val="auto"/>
        </w:rPr>
      </w:pPr>
      <w:r>
        <w:rPr>
          <w:rFonts w:ascii="Arial" w:cs="Arial" w:eastAsia="Arial" w:hAnsi="Arial"/>
          <w:sz w:val="18"/>
          <w:szCs w:val="18"/>
          <w:color w:val="auto"/>
        </w:rPr>
        <w:t>The 2021 Employee Stock Purchase Plan (the ESPP) was adopted and approved by the Company’s board of directors and by the Company’s stockholders and became effective upon the closing of the Business Combination. During the six months ended June 30, 2023, the Company issued 186,761 shares of common stock under the ESPP.</w:t>
      </w:r>
    </w:p>
    <w:p>
      <w:pPr>
        <w:spacing w:after="0" w:line="18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w w:val="92"/>
              </w:rPr>
              <w:t>(in thousands, except per share data)</w:t>
            </w:r>
          </w:p>
        </w:tc>
        <w:tc>
          <w:tcPr>
            <w:tcW w:w="160" w:type="dxa"/>
            <w:vAlign w:val="bottom"/>
          </w:tcPr>
          <w:p>
            <w:pPr>
              <w:spacing w:after="0"/>
              <w:rPr>
                <w:sz w:val="15"/>
                <w:szCs w:val="15"/>
                <w:color w:val="auto"/>
              </w:rPr>
            </w:pPr>
          </w:p>
        </w:tc>
        <w:tc>
          <w:tcPr>
            <w:tcW w:w="26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2"/>
              </w:rPr>
              <w:t>(in thousands, except per share data)</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(20,710 )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(24,858 )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(48,718 )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(50,066 )</w:t>
            </w: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80"/>
              <w:spacing w:after="0"/>
              <w:rPr>
                <w:sz w:val="20"/>
                <w:szCs w:val="20"/>
                <w:color w:val="auto"/>
              </w:rPr>
            </w:pPr>
            <w:r>
              <w:rPr>
                <w:rFonts w:ascii="Arial" w:cs="Arial" w:eastAsia="Arial" w:hAnsi="Arial"/>
                <w:sz w:val="18"/>
                <w:szCs w:val="18"/>
                <w:color w:val="auto"/>
                <w:w w:val="94"/>
              </w:rPr>
              <w:t>Weighted-average common stock outstanding – basic</w:t>
            </w:r>
          </w:p>
        </w:tc>
        <w:tc>
          <w:tcPr>
            <w:tcW w:w="1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88,354,590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87,839,804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88,281,368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87,775,440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loss per common share – basic and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380" w:type="dxa"/>
            <w:vAlign w:val="bottom"/>
            <w:tcBorders>
              <w:bottom w:val="single" w:sz="8" w:color="auto"/>
            </w:tcBorders>
            <w:gridSpan w:val="3"/>
          </w:tcPr>
          <w:p>
            <w:pPr>
              <w:ind w:left="1560"/>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000" w:type="dxa"/>
            <w:vAlign w:val="bottom"/>
          </w:tcPr>
          <w:p>
            <w:pPr>
              <w:spacing w:after="0"/>
              <w:rPr>
                <w:sz w:val="14"/>
                <w:szCs w:val="14"/>
                <w:color w:val="auto"/>
              </w:rPr>
            </w:pPr>
          </w:p>
        </w:tc>
        <w:tc>
          <w:tcPr>
            <w:tcW w:w="17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16,988,598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12,434,211</w:t>
            </w:r>
          </w:p>
        </w:tc>
        <w:tc>
          <w:tcPr>
            <w:tcW w:w="140" w:type="dxa"/>
            <w:vAlign w:val="bottom"/>
            <w:shd w:val="clear" w:color="auto" w:fill="CFF0FC"/>
          </w:tcPr>
          <w:p>
            <w:pPr>
              <w:spacing w:after="0"/>
              <w:rPr>
                <w:sz w:val="20"/>
                <w:szCs w:val="20"/>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694,453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37"/>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17,683,051</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12,434,211</w:t>
            </w:r>
          </w:p>
        </w:tc>
        <w:tc>
          <w:tcPr>
            <w:tcW w:w="1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The Company’s effective income tax rate was -0.1% and 0.0% for the three months ended June 30, 2023 and 2022, respectively, and -0.1% and 0.0% for the six months ended June 30, 2023 and 2022, respectively. The income tax provision was $64,000 and $3,000 for the three months ended June 30, 2023 and 2022, respectively, and the income tax provision was $64,000 and $3,000 for the six months ended June 30, 2023 and 2022, respectively. Consistent with the prior year, for 2023 the Company assessed the requirement to capitalize and amortize research and experimentation expenditures for US tax purposes, which remains effective as of June 30, 2023. The Company is forecasting a taxable loss position in 2023 for which no tax benefit is recorded due to the valuation allowance maintained against the Company’s deferred tax assets.</w:t>
      </w:r>
    </w:p>
    <w:p>
      <w:pPr>
        <w:spacing w:after="0" w:line="17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effective income tax rate for the three and six months ended June 30, 2023 and 2022 differed from the 21.0% federal statutory rate primarily due to the valuation allowance maintained against the Company’s deferred tax assets.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495"/>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2022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2022, our actual results could differ materially from the results described in, or implied by, the forward-looking statements contained in the following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Initial pharmacodynamic (PD) data from the ongoing TNG908 dose escalation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Additional TNG908 clinical data are expected in 2024.</w:t>
      </w:r>
    </w:p>
    <w:p>
      <w:pPr>
        <w:spacing w:after="0" w:line="17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cleared in the first quarter of 2023 and we announced the first patient in the Phase 1/2 clinical trial was dosed in July 2023.</w:t>
      </w:r>
    </w:p>
    <w:p>
      <w:pPr>
        <w:spacing w:after="0" w:line="19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deletion, a setting where an anti-PD-1 antibody alone is inactive. In the first quarter of 2023, the FDA cleared the TNG260 IND and we announced the first patient in the Phase 1/2 clinical trial was dosed in July 2023. The trial is evaluating the safety, pharmacokinetics (PK), PD and efficacy of TNG260 in combination with pembrolizumab, with a one cycle single agent run-in phase to evaluate the safety and PK of TNG260, in patients with locally advanced or metastatic cancer solid tumors with an STK11 loss-of-function mutation. We believe that TNG260 could be among the first oncology molecules to leverage the benefits of genetically-based patient selection (STK11-mutation) with checkpoint inhibitor therapy.</w:t>
      </w:r>
    </w:p>
    <w:p>
      <w:pPr>
        <w:spacing w:after="0" w:line="168"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We are developing TNG348, a novel allosteric inhibitor of USP1 for treatment of BRCA1, BRCA2-mutant and other HRD+ cancers. HRD+ cancers, including BRCA 1/2 mutations, represent approximately 50% of ovarian, 25% of breast, 10% of prostate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80"/>
        <w:spacing w:after="0" w:line="273" w:lineRule="auto"/>
        <w:rPr>
          <w:sz w:val="20"/>
          <w:szCs w:val="20"/>
          <w:color w:val="auto"/>
        </w:rPr>
      </w:pPr>
      <w:r>
        <w:rPr>
          <w:rFonts w:ascii="Arial" w:cs="Arial" w:eastAsia="Arial" w:hAnsi="Arial"/>
          <w:sz w:val="17"/>
          <w:szCs w:val="17"/>
          <w:color w:val="auto"/>
        </w:rPr>
        <w:t>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 -naïve and PARP inhibitor-resistant BRCA1/2 mutant and other HRD+ cancers. Additionally, we expect TNG348 to synergize with PARP inhibitors in these settings effectively restoring sensitivity to PARPi in the setting of acquired resistance. We expect to file an IND for thois program in mid-2023.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and another $225.1 million through our collaboration with Gilead.</w:t>
      </w:r>
    </w:p>
    <w:p>
      <w:pPr>
        <w:spacing w:after="0" w:line="161"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We believe that our existing cash, cash equivalents and marketable securities on hand as of June 30, 2023 of $310.7 million will enable us to fund our operating expenses and capital expenditure requirements at least into 2026. Since inception, we have incurred significant operating losses. For the six months ended June 30, 2023 and 2022, our net losses were $48.7 million and $50.1 million, respectively. We had an accumulated deficit of $318.2 million as of June 30, 2023.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8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6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225"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In October 2018, we entered into a collaboration agreement with Gilead (2018 Gilead Agreement). Pursuant to the terms of the 2018 Gilead Agreement, we received an initial upfront payment of $50.0 million. The upfront payment was initially recorded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80"/>
        <w:spacing w:after="0" w:line="272" w:lineRule="auto"/>
        <w:rPr>
          <w:sz w:val="20"/>
          <w:szCs w:val="20"/>
          <w:color w:val="auto"/>
        </w:rPr>
      </w:pPr>
      <w:r>
        <w:rPr>
          <w:rFonts w:ascii="Arial" w:cs="Arial" w:eastAsia="Arial" w:hAnsi="Arial"/>
          <w:sz w:val="17"/>
          <w:szCs w:val="17"/>
          <w:color w:val="auto"/>
        </w:rPr>
        <w:t>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2023, Gilead licensed a program for a $5.0 million fee, which was recognized as license revenue in the second quarter of 2023.</w:t>
      </w:r>
    </w:p>
    <w:p>
      <w:pPr>
        <w:spacing w:after="0" w:line="17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June 30, 2023, $90.5 million has been recognized as collaboration revenue related to the upfront and research option-extension payments from the Gilead agreements.</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months ended June 30, 2023 and 2022, we recognized $9.6 million and $5.8 million, respectively, and during the six months ended June 30, 2023 and 2022, we recognized $15.4 million and $11.5 million, respectively, of collaboration revenue associated with the Gilead agreements based on performance completed during each period.</w:t>
      </w:r>
    </w:p>
    <w:p>
      <w:pPr>
        <w:spacing w:after="0" w:line="184" w:lineRule="exact"/>
        <w:rPr>
          <w:sz w:val="20"/>
          <w:szCs w:val="20"/>
          <w:color w:val="auto"/>
        </w:rPr>
      </w:pPr>
    </w:p>
    <w:p>
      <w:pPr>
        <w:jc w:val="both"/>
        <w:ind w:right="300" w:firstLine="509"/>
        <w:spacing w:after="0" w:line="311" w:lineRule="auto"/>
        <w:rPr>
          <w:sz w:val="20"/>
          <w:szCs w:val="20"/>
          <w:color w:val="auto"/>
        </w:rPr>
      </w:pPr>
      <w:r>
        <w:rPr>
          <w:rFonts w:ascii="Arial" w:cs="Arial" w:eastAsia="Arial" w:hAnsi="Arial"/>
          <w:sz w:val="16"/>
          <w:szCs w:val="16"/>
          <w:color w:val="auto"/>
        </w:rPr>
        <w:t>Refer to Note 3 to our unaudited condensed consolidated financial statements and related notes appearing elsewhere in this Quarterly Report on Form 10-Q and our audited consolidated financial statements and related notes for the year ended December 31, 2022 included in our Annual Report on Form 10-K for additional information regarding our revenue recognition accounting policy and our collaboration agreement with Gilead.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62" w:lineRule="exact"/>
        <w:rPr>
          <w:sz w:val="20"/>
          <w:szCs w:val="20"/>
          <w:color w:val="auto"/>
        </w:rPr>
      </w:pPr>
    </w:p>
    <w:p>
      <w:pPr>
        <w:ind w:left="1020" w:right="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and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37"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TNG908 direct program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6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FF0F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TNG462 direct program expenses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TNG260 direct program expenses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20" w:type="dxa"/>
            <w:vAlign w:val="bottom"/>
            <w:shd w:val="clear" w:color="auto" w:fill="CFF0F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TNG348 direct program expenses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0"/>
                <w:szCs w:val="20"/>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Discovery direct program expenses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120" w:type="dxa"/>
            <w:vAlign w:val="bottom"/>
            <w:shd w:val="clear" w:color="auto" w:fill="CFF0F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Personnel related expenses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13,673</w:t>
            </w:r>
          </w:p>
        </w:tc>
        <w:tc>
          <w:tcPr>
            <w:tcW w:w="120" w:type="dxa"/>
            <w:vAlign w:val="bottom"/>
            <w:shd w:val="clear" w:color="auto" w:fill="CFF0FC"/>
          </w:tcPr>
          <w:p>
            <w:pPr>
              <w:spacing w:after="0"/>
              <w:rPr>
                <w:sz w:val="21"/>
                <w:szCs w:val="21"/>
                <w:color w:val="auto"/>
              </w:rPr>
            </w:pPr>
          </w:p>
        </w:tc>
      </w:tr>
      <w:tr>
        <w:trPr>
          <w:trHeight w:val="237"/>
        </w:trPr>
        <w:tc>
          <w:tcPr>
            <w:tcW w:w="4860" w:type="dxa"/>
            <w:vAlign w:val="bottom"/>
          </w:tcPr>
          <w:p>
            <w:pPr>
              <w:ind w:left="320"/>
              <w:spacing w:after="0"/>
              <w:rPr>
                <w:sz w:val="20"/>
                <w:szCs w:val="20"/>
                <w:color w:val="auto"/>
              </w:rPr>
            </w:pPr>
            <w:r>
              <w:rPr>
                <w:rFonts w:ascii="Arial" w:cs="Arial" w:eastAsia="Arial" w:hAnsi="Arial"/>
                <w:sz w:val="18"/>
                <w:szCs w:val="18"/>
                <w:color w:val="auto"/>
              </w:rPr>
              <w:t>Facilities and other related expenses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8,295</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20"/>
                <w:szCs w:val="20"/>
                <w:color w:val="auto"/>
              </w:rPr>
            </w:pPr>
          </w:p>
        </w:tc>
      </w:tr>
      <w:tr>
        <w:trPr>
          <w:trHeight w:val="27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28,671</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56,710</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48,071</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60" w:lineRule="exact"/>
        <w:rPr>
          <w:sz w:val="20"/>
          <w:szCs w:val="20"/>
          <w:color w:val="auto"/>
        </w:rPr>
      </w:pPr>
    </w:p>
    <w:p>
      <w:pPr>
        <w:ind w:left="1140" w:right="580" w:hanging="383"/>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80"/>
        <w:spacing w:after="0" w:line="277" w:lineRule="auto"/>
        <w:rPr>
          <w:sz w:val="20"/>
          <w:szCs w:val="20"/>
          <w:color w:val="auto"/>
        </w:rPr>
      </w:pPr>
      <w:r>
        <w:rPr>
          <w:rFonts w:ascii="Arial" w:cs="Arial" w:eastAsia="Arial" w:hAnsi="Arial"/>
          <w:sz w:val="18"/>
          <w:szCs w:val="18"/>
          <w:color w:val="auto"/>
        </w:rPr>
        <w:t>accounting and audit services and other consulting fees as well as facility costs not otherwise included in research and development expenses, insurance and other general administrative expenses.</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Interest income consists of income earned and losses incurred in connection with our investments in money market funds, U.S. Treasury bills and U.S. government agency bonds.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of miscellaneous expense unrelated to our core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six months ended June 30, 2023 and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3480" w:type="dxa"/>
            <w:vAlign w:val="bottom"/>
            <w:gridSpan w:val="6"/>
          </w:tcPr>
          <w:p>
            <w:pPr>
              <w:jc w:val="right"/>
              <w:ind w:right="87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0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License revenue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14,598</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28,671</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37,845</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30,973</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(23,247 )</w:t>
            </w:r>
          </w:p>
        </w:tc>
        <w:tc>
          <w:tcPr>
            <w:tcW w:w="200" w:type="dxa"/>
            <w:vAlign w:val="bottom"/>
          </w:tcPr>
          <w:p>
            <w:pPr>
              <w:spacing w:after="0"/>
              <w:rPr>
                <w:sz w:val="20"/>
                <w:szCs w:val="20"/>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(25,202 )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0"/>
                <w:szCs w:val="20"/>
                <w:color w:val="auto"/>
              </w:rPr>
            </w:pPr>
          </w:p>
        </w:tc>
      </w:tr>
      <w:tr>
        <w:trPr>
          <w:trHeight w:val="24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r>
      <w:tr>
        <w:trPr>
          <w:trHeight w:val="243"/>
        </w:trPr>
        <w:tc>
          <w:tcPr>
            <w:tcW w:w="5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Total other income, net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(20,646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(24,855</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50"/>
        </w:trPr>
        <w:tc>
          <w:tcPr>
            <w:tcW w:w="506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21"/>
                <w:szCs w:val="21"/>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(61 )</w:t>
            </w:r>
          </w:p>
        </w:tc>
      </w:tr>
      <w:tr>
        <w:trPr>
          <w:trHeight w:val="237"/>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(20,710</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-1928495</wp:posOffset>
            </wp:positionV>
            <wp:extent cx="7683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-1928495</wp:posOffset>
            </wp:positionV>
            <wp:extent cx="7747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-1928495</wp:posOffset>
            </wp:positionV>
            <wp:extent cx="7747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-1294130</wp:posOffset>
            </wp:positionV>
            <wp:extent cx="76835"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-1294130</wp:posOffset>
            </wp:positionV>
            <wp:extent cx="7747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-1294130</wp:posOffset>
            </wp:positionV>
            <wp:extent cx="7747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-668020</wp:posOffset>
            </wp:positionV>
            <wp:extent cx="768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-668020</wp:posOffset>
            </wp:positionV>
            <wp:extent cx="7747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-668020</wp:posOffset>
            </wp:positionV>
            <wp:extent cx="7747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-342265</wp:posOffset>
            </wp:positionV>
            <wp:extent cx="7683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7747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-342265</wp:posOffset>
            </wp:positionV>
            <wp:extent cx="7747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Collaboration revenue of $9.6 million and $5.8 million for the three months ended June 30, 2023 and 2022, respectively, was derived from the Gilead collaboration. The increase of $3.8 million was due to higher research costs incurred under the collaboration during the three months ended June 30, 2023 resulting in higher collaboration revenue recognized.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License revenue of $5.0 million and $0 for the three months ended June 30, 2023 and 2022, respectively, was derived from the Gilead collaboration. The increase of $5.0 million is due to Gilead licensing a program for $5.0 million during the second quarter of 2023 as compared to no programs being licensed during the three months ended June 30,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Research and development expense was $28.7 million for the three months ended June 30, 2023 compared to $23.7 million for the three months ended June 30, 2022. The increase of $5.0 million was primarily due to $2.6 million in personnel-related costs, including share-based compensation expense and additional headcount to support our research and development activities. Additionally, facilities costs increased by $1.1 million due to expenses incurred related to the new lease at 201 Brookline Avenue in Boston, Massachusetts.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General and administrative expense was $9.2 million for the three months ended June 30, 2023 compared to $7.2 million for the three months ended June 30, 2022. The increase of $2.0 million was primarily due to $1.0 million in personnel-related costs, including share-based compensation expense and additional headcount.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Interest income was $1.5 million for the three months ended June 30, 2023 compared to $0.3 million for the three months ended June 30, 2022. The increase of $1.2 million was primarily due to an increase in interest rates in 2023 as compared to 2022.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Other income, net was $1.2 million for the three months ended June 30, 2023 compared to less than $0.1 million for the three months ended June 30, 2022. The increase was primarily due to accretion on investments purchased at a discount.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Provision for income taxes was less than $0.1 million for both the three months ended June 30, 2023 and 2022. The tax provision is insignificant in each of the periods ended June 30, 2023 and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3480" w:type="dxa"/>
            <w:vAlign w:val="bottom"/>
            <w:gridSpan w:val="6"/>
          </w:tcPr>
          <w:p>
            <w:pPr>
              <w:jc w:val="right"/>
              <w:ind w:right="97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0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15,364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License revenue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r>
      <w:tr>
        <w:trPr>
          <w:trHeight w:val="237"/>
        </w:trPr>
        <w:tc>
          <w:tcPr>
            <w:tcW w:w="5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20,364</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56,710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w:t>
            </w: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17,188</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73,898</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62,110</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(53,534 )</w:t>
            </w:r>
          </w:p>
        </w:tc>
        <w:tc>
          <w:tcPr>
            <w:tcW w:w="200" w:type="dxa"/>
            <w:vAlign w:val="bottom"/>
          </w:tcPr>
          <w:p>
            <w:pPr>
              <w:spacing w:after="0"/>
              <w:rPr>
                <w:sz w:val="20"/>
                <w:szCs w:val="20"/>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(50,581 )</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(2,953 )</w:t>
            </w:r>
          </w:p>
        </w:tc>
      </w:tr>
      <w:tr>
        <w:trPr>
          <w:trHeight w:val="24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0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0"/>
                <w:szCs w:val="20"/>
                <w:color w:val="auto"/>
              </w:rPr>
            </w:pPr>
          </w:p>
        </w:tc>
      </w:tr>
      <w:tr>
        <w:trPr>
          <w:trHeight w:val="243"/>
        </w:trPr>
        <w:tc>
          <w:tcPr>
            <w:tcW w:w="5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Total other income, net</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20"/>
                <w:szCs w:val="20"/>
                <w:color w:val="auto"/>
              </w:rPr>
            </w:pPr>
          </w:p>
        </w:tc>
      </w:tr>
      <w:tr>
        <w:trPr>
          <w:trHeight w:val="23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(48,654</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50"/>
        </w:trPr>
        <w:tc>
          <w:tcPr>
            <w:tcW w:w="506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21"/>
                <w:szCs w:val="21"/>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(61 )</w:t>
            </w:r>
          </w:p>
        </w:tc>
      </w:tr>
      <w:tr>
        <w:trPr>
          <w:trHeight w:val="237"/>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(48,718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-1928495</wp:posOffset>
            </wp:positionV>
            <wp:extent cx="7683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-1928495</wp:posOffset>
            </wp:positionV>
            <wp:extent cx="7747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-1928495</wp:posOffset>
            </wp:positionV>
            <wp:extent cx="7747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-1293495</wp:posOffset>
            </wp:positionV>
            <wp:extent cx="7683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-1293495</wp:posOffset>
            </wp:positionV>
            <wp:extent cx="7747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-1293495</wp:posOffset>
            </wp:positionV>
            <wp:extent cx="7747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-668020</wp:posOffset>
            </wp:positionV>
            <wp:extent cx="7683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-668020</wp:posOffset>
            </wp:positionV>
            <wp:extent cx="7747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-668020</wp:posOffset>
            </wp:positionV>
            <wp:extent cx="7747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-342265</wp:posOffset>
            </wp:positionV>
            <wp:extent cx="76835"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7747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-342265</wp:posOffset>
            </wp:positionV>
            <wp:extent cx="7747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Collaboration revenue of $15.4 million and $11.5 million for the six months ended June 30, 2023 and 2022, respectively, was derived from the Gilead collaboration. The increase of $3.9 million was due to higher research costs incurred under the collaboration during the three months ended June 30, 2023 resulting in higher collaboration revenue recognized.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License revenue of $5.0 million and $0 for the six months ended June 30, 2023 and 2022, respectively, was derived from the Gilead collaboration. The increase of $5.0 million is due to Gilead licensing a program for $5.0 million during the second quarter of 2023 as compared to no programs being licensed during the six months ended June 30,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Research and development expense was $56.7 million for the six months ended June 30, 2023 compared to $48.1 million for the six months ended June 30, 2022. The increase of $8.6 million was primarily due to $5.1 million in personnel-related costs, including share-based compensation expense and additional headcount to support our research and development activities. Additionally, facilities costs increased by $2.2 million due to expenses incurred related to the new lease at 201 Brookline Avenue in Boston, Massachusetts.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General and administrative expense was $17.2 million for the six months ended June 30, 2023 compared to $14.0 million for the six months ended June 30, 2022. The increase of $3.2 million was primarily due to $1.9 million in personnel-related costs, including share-based compensation expense and additional headcount.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Interest income was $2.5 million for the six months ended June 30, 2023 compared to $0.5 million for the six months ended June 30, 2022. The increase of $2.0 million was primarily due to an increase in interest rates in 2023 as compared to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Other income, net was $2.4 million for the six months ended June 30, 2023 compared to less than $0.1 million for the six months ended June 30, 2022. The increase was primarily due to accretion on investments purchased at a discount.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Provision for income taxes was less than $0.1 million for both the six months ended June 30, 2023 and 2022. The tax provision is insignificant in each of the periods ended June 30, 2023 and 2022.</w:t>
      </w:r>
    </w:p>
    <w:p>
      <w:pPr>
        <w:spacing w:after="0" w:line="166" w:lineRule="exact"/>
        <w:rPr>
          <w:sz w:val="20"/>
          <w:szCs w:val="20"/>
          <w:color w:val="auto"/>
        </w:rPr>
      </w:pPr>
    </w:p>
    <w:p>
      <w:pPr>
        <w:jc w:val="center"/>
        <w:ind w:right="8660"/>
        <w:spacing w:after="0"/>
        <w:rPr>
          <w:sz w:val="20"/>
          <w:szCs w:val="20"/>
          <w:color w:val="auto"/>
        </w:rPr>
      </w:pPr>
      <w:r>
        <w:rPr>
          <w:rFonts w:ascii="Arial" w:cs="Arial" w:eastAsia="Arial" w:hAnsi="Arial"/>
          <w:sz w:val="16"/>
          <w:szCs w:val="16"/>
          <w:b w:val="1"/>
          <w:bCs w:val="1"/>
          <w:color w:val="auto"/>
        </w:rPr>
        <w:t>Liquidity and Capital Resources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$225.1 million through the collaboration with Gilead. As of June 30, 2023, we had cash and cash equivalents and marketable securities of $310.7 million.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We believe that our existing cash, cash equivalents and marketable securities on hand as of June 30, 2023 of $310.7 million will enable us to fund our operating expenses and capital expenditure requirements at least into 2026. We have based this estimate on assumptions that may prove to be wrong, and we could expend our capital resources sooner than we expect.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six month periods presented:</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74"/>
              </w:rPr>
              <w:t>thousands)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(59,380 )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(61,203 )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Net provided by investing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64,238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40,462</w:t>
            </w:r>
          </w:p>
        </w:tc>
        <w:tc>
          <w:tcPr>
            <w:tcW w:w="120" w:type="dxa"/>
            <w:vAlign w:val="bottom"/>
          </w:tcPr>
          <w:p>
            <w:pPr>
              <w:spacing w:after="0"/>
              <w:rPr>
                <w:sz w:val="20"/>
                <w:szCs w:val="20"/>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(316 )</w:t>
            </w:r>
          </w:p>
        </w:tc>
      </w:tr>
      <w:tr>
        <w:trPr>
          <w:trHeight w:val="20"/>
        </w:trPr>
        <w:tc>
          <w:tcPr>
            <w:tcW w:w="55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w w:val="98"/>
              </w:rPr>
              <w:t>Net increase (decrease) in cash, cash equivalents and restricted 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5,517</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(36,452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41,969</w:t>
            </w:r>
          </w:p>
        </w:tc>
        <w:tc>
          <w:tcPr>
            <w:tcW w:w="1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-187960</wp:posOffset>
            </wp:positionV>
            <wp:extent cx="7747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Net cash used in operating activities was $59.4 million for the six months ended June 30, 2023 compared to net cash used in operating activities of $61.2 million for the six months ended June 30, 2022. The decrease in net cash used in operating activities for the six months ended June 30, 2023 was primarily due to a decrease of the net loss. The decrease was partially offset by higher non-cash expenses, including stock compensation.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Net cash provided by investing activities was $64.2 million for the six months ended June 30, 2023 compared to net cash provided by investing activities of $23.8 million for the six months ended June 30, 2022. The increase in net cash provided by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7" w:name="page28"/>
    <w:bookmarkEnd w:id="27"/>
    <w:p>
      <w:pPr>
        <w:ind w:right="300"/>
        <w:spacing w:after="0" w:line="277" w:lineRule="auto"/>
        <w:rPr>
          <w:sz w:val="20"/>
          <w:szCs w:val="20"/>
          <w:color w:val="auto"/>
        </w:rPr>
      </w:pPr>
      <w:r>
        <w:rPr>
          <w:rFonts w:ascii="Arial" w:cs="Arial" w:eastAsia="Arial" w:hAnsi="Arial"/>
          <w:sz w:val="18"/>
          <w:szCs w:val="18"/>
          <w:color w:val="auto"/>
        </w:rPr>
        <w:t>investing activities was primarily due to an increase in sales and maturities of marketable securities as compared to the six month period ended June 30,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Net cash provided by financing activities was $0.7 million for the six months ended June 30, 2023 compared to net cash provided by financing activities of $1.0 million for the six months ended June 30, 2022. The cash provided by financing activities for each of the periods presented above was the result of cash provided from the exercises of stock options and ESPP 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at June 30, 2023 and the effects that such obligations are expected to have on our liquidity and cash flows in future periods: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24"/>
              <w:spacing w:after="0" w:line="133" w:lineRule="exact"/>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1 – 3 Years</w:t>
            </w:r>
          </w:p>
        </w:tc>
        <w:tc>
          <w:tcPr>
            <w:tcW w:w="180" w:type="dxa"/>
            <w:vAlign w:val="bottom"/>
          </w:tcPr>
          <w:p>
            <w:pPr>
              <w:spacing w:after="0"/>
              <w:rPr>
                <w:sz w:val="11"/>
                <w:szCs w:val="11"/>
                <w:color w:val="auto"/>
              </w:rPr>
            </w:pPr>
          </w:p>
        </w:tc>
        <w:tc>
          <w:tcPr>
            <w:tcW w:w="10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3 – 5 Years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204"/>
              <w:spacing w:after="0" w:line="133" w:lineRule="exact"/>
              <w:rPr>
                <w:sz w:val="20"/>
                <w:szCs w:val="20"/>
                <w:color w:val="auto"/>
              </w:rPr>
            </w:pPr>
            <w:r>
              <w:rPr>
                <w:rFonts w:ascii="Arial" w:cs="Arial" w:eastAsia="Arial" w:hAnsi="Arial"/>
                <w:sz w:val="14"/>
                <w:szCs w:val="14"/>
                <w:b w:val="1"/>
                <w:bCs w:val="1"/>
                <w:color w:val="auto"/>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24"/>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4"/>
              <w:spacing w:after="0"/>
              <w:rPr>
                <w:sz w:val="20"/>
                <w:szCs w:val="20"/>
                <w:color w:val="auto"/>
              </w:rPr>
            </w:pPr>
            <w:r>
              <w:rPr>
                <w:rFonts w:ascii="Arial" w:cs="Arial" w:eastAsia="Arial" w:hAnsi="Arial"/>
                <w:sz w:val="14"/>
                <w:szCs w:val="14"/>
                <w:b w:val="1"/>
                <w:bCs w:val="1"/>
                <w:color w:val="auto"/>
              </w:rPr>
              <w:t>5 Years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lease commitments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58,730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5,558</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11,218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58,730</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11,901</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-162560</wp:posOffset>
            </wp:positionV>
            <wp:extent cx="7747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-162560</wp:posOffset>
            </wp:positionV>
            <wp:extent cx="7747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-162560</wp:posOffset>
            </wp:positionV>
            <wp:extent cx="7747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7683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-162560</wp:posOffset>
            </wp:positionV>
            <wp:extent cx="7747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16319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June 30, 2023. Refer to Note 8 to our audited consolidated financial statements and related notes included in our Annual Report on Form 10-K for the year ended December 31, 2022 for additional discussion of the lease.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June 30,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Obligations</w:t>
      </w:r>
    </w:p>
    <w:p>
      <w:pPr>
        <w:spacing w:after="0" w:line="225"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2023 and December 31, 2022, we were unable to estimate the timing or likelihood of achieving these milestones or generating future product sales. Refer to Note 9 to our audited consolidated financial statements and related notes included in our Annual Report on Form 10-K for the year ended December 31, 2022 for a description of our license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6"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included in our Annual Report on Form 10-K for the year ended December 31, 2022, we believe that the following accounting policies are those most critical to the judgments and estimates used in the preparation of our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93"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jc w:val="both"/>
        <w:ind w:right="120" w:firstLine="509"/>
        <w:spacing w:after="0" w:line="301"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84"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7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estimate the fair value of our stock-based awards using the Black Scholes method utilizing the “simplified method,” for determining the expected life of the award, which is based on the mid-point between the vesting date and the end of the contractual term. We determine the volatility for stock-based awards granted based on an analysis of reported data for a peer group of companies. The expected volatility of stock-based awards granted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stock-based award. The expected dividend yield is assumed to be zero as we have never paid dividends and do not have current plans to pay any dividends on our common stock.</w:t>
      </w:r>
    </w:p>
    <w:p>
      <w:pPr>
        <w:spacing w:after="0" w:line="165"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jc w:val="both"/>
        <w:ind w:right="120" w:firstLine="509"/>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6" w:lineRule="exact"/>
        <w:rPr>
          <w:sz w:val="20"/>
          <w:szCs w:val="20"/>
          <w:color w:val="auto"/>
        </w:rPr>
      </w:pPr>
    </w:p>
    <w:p>
      <w:pPr>
        <w:ind w:left="1020" w:right="18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Quarterly Report on Form 10-Q;</w:t>
      </w:r>
    </w:p>
    <w:p>
      <w:pPr>
        <w:spacing w:after="0" w:line="75"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23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64"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had cash, cash equivalents and marketable securities of $310.7 million and $366.1 million as of June 30, 2023 and December 31, 2022,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months ended June 30, 2023. However, if inflation remains at current levels for an extended period of time, or increases, our costs are likely to increase, which may negatively impact our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360" w:firstLine="8"/>
        <w:spacing w:after="0" w:line="260"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June 30, 2023 that materially affected, or were reasonably likely to materially affect, the Company’s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are not currently a party to any litigation or legal proceedings that, in the opinion of our management, are probable to have a material adverse effect on our business.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2022,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the year ended December 31, 2022 as filed with the SEC on March 27, 2023.</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80" w:type="dxa"/>
            <w:vAlign w:val="bottom"/>
            <w:gridSpan w:val="5"/>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7"/>
          </w:tcPr>
          <w:p>
            <w:pPr>
              <w:spacing w:after="0" w:line="182" w:lineRule="exact"/>
              <w:rPr>
                <w:sz w:val="20"/>
                <w:szCs w:val="20"/>
                <w:color w:val="auto"/>
              </w:rPr>
            </w:pPr>
            <w:r>
              <w:rPr>
                <w:rFonts w:ascii="Arial" w:cs="Arial" w:eastAsia="Arial" w:hAnsi="Arial"/>
                <w:sz w:val="18"/>
                <w:szCs w:val="18"/>
                <w:color w:val="0000FF"/>
              </w:rPr>
              <w:t>Non-Employee Director Compensation Policy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3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Oxley Act of 2002.</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c>
          <w:tcPr>
            <w:tcW w:w="3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7"/>
          </w:tcPr>
          <w:p>
            <w:pPr>
              <w:spacing w:after="0" w:line="196" w:lineRule="exact"/>
              <w:rPr>
                <w:sz w:val="20"/>
                <w:szCs w:val="20"/>
                <w:color w:val="auto"/>
              </w:rPr>
            </w:pPr>
            <w:r>
              <w:rPr>
                <w:rFonts w:ascii="Arial" w:cs="Arial" w:eastAsia="Arial" w:hAnsi="Arial"/>
                <w:sz w:val="18"/>
                <w:szCs w:val="18"/>
                <w:color w:val="0000FF"/>
              </w:rPr>
              <w:t>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2"/>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w w:val="94"/>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101)</w:t>
            </w:r>
          </w:p>
        </w:tc>
        <w:tc>
          <w:tcPr>
            <w:tcW w:w="1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9"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80" w:hanging="512"/>
        <w:spacing w:after="0" w:line="255" w:lineRule="auto"/>
        <w:tabs>
          <w:tab w:leader="none" w:pos="4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20"/>
        <w:spacing w:after="0"/>
        <w:tabs>
          <w:tab w:leader="none" w:pos="5640" w:val="left"/>
          <w:tab w:leader="none" w:pos="610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Barbara Weber, MD</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Daniella Beckman</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ind w:right="-79"/>
        <w:spacing w:after="0"/>
        <w:rPr>
          <w:sz w:val="20"/>
          <w:szCs w:val="20"/>
          <w:color w:val="auto"/>
        </w:rPr>
      </w:pPr>
      <w:r>
        <w:rPr>
          <w:rFonts w:ascii="Arial" w:cs="Arial" w:eastAsia="Arial" w:hAnsi="Arial"/>
          <w:sz w:val="25"/>
          <w:szCs w:val="25"/>
          <w:b w:val="1"/>
          <w:bCs w:val="1"/>
          <w:color w:val="auto"/>
        </w:rPr>
        <w:t>TANGO THERAPEUTICS, INC.</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AMENDED AND RESTATED</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NON-EMPLOYEE DIRECTOR COMPENSATION POLICY</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Retainers</w:t>
      </w:r>
    </w:p>
    <w:p>
      <w:pPr>
        <w:spacing w:after="0" w:line="212" w:lineRule="exact"/>
        <w:rPr>
          <w:sz w:val="20"/>
          <w:szCs w:val="20"/>
          <w:color w:val="auto"/>
        </w:rPr>
      </w:pPr>
    </w:p>
    <w:p>
      <w:pPr>
        <w:ind w:left="200" w:right="180"/>
        <w:spacing w:after="0" w:line="238" w:lineRule="auto"/>
        <w:rPr>
          <w:sz w:val="20"/>
          <w:szCs w:val="20"/>
          <w:color w:val="auto"/>
        </w:rPr>
      </w:pPr>
      <w:r>
        <w:rPr>
          <w:rFonts w:ascii="Arial" w:cs="Arial" w:eastAsia="Arial" w:hAnsi="Arial"/>
          <w:sz w:val="22"/>
          <w:szCs w:val="22"/>
          <w:u w:val="single" w:color="auto"/>
          <w:color w:val="auto"/>
        </w:rPr>
        <w:t>Annual Retainer for Board Membership</w:t>
      </w:r>
      <w:r>
        <w:rPr>
          <w:rFonts w:ascii="Arial" w:cs="Arial" w:eastAsia="Arial" w:hAnsi="Arial"/>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580" w:type="dxa"/>
            <w:vAlign w:val="bottom"/>
            <w:gridSpan w:val="5"/>
          </w:tcPr>
          <w:p>
            <w:pPr>
              <w:spacing w:after="0"/>
              <w:rPr>
                <w:sz w:val="20"/>
                <w:szCs w:val="20"/>
                <w:color w:val="auto"/>
              </w:rPr>
            </w:pPr>
            <w:r>
              <w:rPr>
                <w:rFonts w:ascii="Arial" w:cs="Arial" w:eastAsia="Arial" w:hAnsi="Arial"/>
                <w:sz w:val="22"/>
                <w:szCs w:val="22"/>
                <w:color w:val="auto"/>
              </w:rPr>
              <w:t>Additional Annual Retainer for Non-Executive Chair:</w:t>
            </w:r>
          </w:p>
        </w:tc>
        <w:tc>
          <w:tcPr>
            <w:tcW w:w="1600" w:type="dxa"/>
            <w:vAlign w:val="bottom"/>
          </w:tcPr>
          <w:p>
            <w:pPr>
              <w:jc w:val="right"/>
              <w:spacing w:after="0"/>
              <w:rPr>
                <w:sz w:val="20"/>
                <w:szCs w:val="20"/>
                <w:color w:val="auto"/>
              </w:rPr>
            </w:pPr>
            <w:r>
              <w:rPr>
                <w:rFonts w:ascii="Arial" w:cs="Arial" w:eastAsia="Arial" w:hAnsi="Arial"/>
                <w:sz w:val="22"/>
                <w:szCs w:val="22"/>
                <w:color w:val="auto"/>
              </w:rPr>
              <w:t>$30,000</w:t>
            </w:r>
          </w:p>
        </w:tc>
      </w:tr>
      <w:tr>
        <w:trPr>
          <w:trHeight w:val="20"/>
        </w:trPr>
        <w:tc>
          <w:tcPr>
            <w:tcW w:w="4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9"/>
        </w:trPr>
        <w:tc>
          <w:tcPr>
            <w:tcW w:w="5580" w:type="dxa"/>
            <w:vAlign w:val="bottom"/>
            <w:gridSpan w:val="5"/>
          </w:tcPr>
          <w:p>
            <w:pPr>
              <w:spacing w:after="0"/>
              <w:rPr>
                <w:sz w:val="20"/>
                <w:szCs w:val="20"/>
                <w:color w:val="auto"/>
              </w:rPr>
            </w:pPr>
            <w:r>
              <w:rPr>
                <w:rFonts w:ascii="Arial" w:cs="Arial" w:eastAsia="Arial" w:hAnsi="Arial"/>
                <w:sz w:val="22"/>
                <w:szCs w:val="22"/>
                <w:color w:val="auto"/>
                <w:w w:val="98"/>
              </w:rPr>
              <w:t>Additional Annual Retainer for Lead Independent Director:</w:t>
            </w:r>
          </w:p>
        </w:tc>
        <w:tc>
          <w:tcPr>
            <w:tcW w:w="1600" w:type="dxa"/>
            <w:vAlign w:val="bottom"/>
          </w:tcPr>
          <w:p>
            <w:pPr>
              <w:jc w:val="right"/>
              <w:ind w:right="332"/>
              <w:spacing w:after="0"/>
              <w:rPr>
                <w:sz w:val="20"/>
                <w:szCs w:val="20"/>
                <w:color w:val="auto"/>
              </w:rPr>
            </w:pPr>
            <w:r>
              <w:rPr>
                <w:rFonts w:ascii="Arial" w:cs="Arial" w:eastAsia="Arial" w:hAnsi="Arial"/>
                <w:sz w:val="22"/>
                <w:szCs w:val="22"/>
                <w:color w:val="auto"/>
              </w:rPr>
              <w:t>$15,000</w:t>
            </w:r>
          </w:p>
        </w:tc>
      </w:tr>
      <w:tr>
        <w:trPr>
          <w:trHeight w:val="439"/>
        </w:trPr>
        <w:tc>
          <w:tcPr>
            <w:tcW w:w="506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w w:val="91"/>
              </w:rPr>
              <w:t>Additional Annual Retainers for Committee Membership:</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90"/>
        </w:trPr>
        <w:tc>
          <w:tcPr>
            <w:tcW w:w="33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Audit Committee Chair: $15,000</w:t>
            </w:r>
          </w:p>
        </w:tc>
        <w:tc>
          <w:tcPr>
            <w:tcW w:w="1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22"/>
                <w:szCs w:val="22"/>
                <w:color w:val="auto"/>
                <w:w w:val="96"/>
              </w:rPr>
              <w:t>Audit Committee member:   $7,500</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5580" w:type="dxa"/>
            <w:vAlign w:val="bottom"/>
            <w:gridSpan w:val="5"/>
          </w:tcPr>
          <w:p>
            <w:pPr>
              <w:spacing w:after="0"/>
              <w:rPr>
                <w:sz w:val="20"/>
                <w:szCs w:val="20"/>
                <w:color w:val="auto"/>
              </w:rPr>
            </w:pPr>
            <w:r>
              <w:rPr>
                <w:rFonts w:ascii="Arial" w:cs="Arial" w:eastAsia="Arial" w:hAnsi="Arial"/>
                <w:sz w:val="22"/>
                <w:szCs w:val="22"/>
                <w:color w:val="auto"/>
              </w:rPr>
              <w:t>Compensation Committee Chair:  $10,000</w:t>
            </w:r>
          </w:p>
        </w:tc>
        <w:tc>
          <w:tcPr>
            <w:tcW w:w="160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Arial" w:cs="Arial" w:eastAsia="Arial" w:hAnsi="Arial"/>
                <w:sz w:val="22"/>
                <w:szCs w:val="22"/>
                <w:color w:val="auto"/>
                <w:w w:val="95"/>
              </w:rPr>
              <w:t>Compensation Committee member:</w:t>
            </w:r>
          </w:p>
        </w:tc>
        <w:tc>
          <w:tcPr>
            <w:tcW w:w="1260" w:type="dxa"/>
            <w:vAlign w:val="bottom"/>
          </w:tcPr>
          <w:p>
            <w:pPr>
              <w:jc w:val="right"/>
              <w:ind w:right="432"/>
              <w:spacing w:after="0"/>
              <w:rPr>
                <w:sz w:val="20"/>
                <w:szCs w:val="20"/>
                <w:color w:val="auto"/>
              </w:rPr>
            </w:pPr>
            <w:r>
              <w:rPr>
                <w:rFonts w:ascii="Arial" w:cs="Arial" w:eastAsia="Arial" w:hAnsi="Arial"/>
                <w:sz w:val="22"/>
                <w:szCs w:val="22"/>
                <w:color w:val="auto"/>
              </w:rPr>
              <w:t>$5,000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Nominating and Corporate Governance Committee Chair:  $8,000</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5420" w:type="dxa"/>
            <w:vAlign w:val="bottom"/>
          </w:tcPr>
          <w:p>
            <w:pPr>
              <w:spacing w:after="0"/>
              <w:rPr>
                <w:sz w:val="20"/>
                <w:szCs w:val="20"/>
                <w:color w:val="auto"/>
              </w:rPr>
            </w:pPr>
            <w:r>
              <w:rPr>
                <w:rFonts w:ascii="Arial" w:cs="Arial" w:eastAsia="Arial" w:hAnsi="Arial"/>
                <w:sz w:val="22"/>
                <w:szCs w:val="22"/>
                <w:color w:val="auto"/>
                <w:w w:val="91"/>
              </w:rPr>
              <w:t>Nominating and Corporate Governance Committee member:</w:t>
            </w:r>
          </w:p>
        </w:tc>
        <w:tc>
          <w:tcPr>
            <w:tcW w:w="780" w:type="dxa"/>
            <w:vAlign w:val="bottom"/>
          </w:tcPr>
          <w:p>
            <w:pPr>
              <w:jc w:val="right"/>
              <w:spacing w:after="0"/>
              <w:rPr>
                <w:sz w:val="20"/>
                <w:szCs w:val="20"/>
                <w:color w:val="auto"/>
              </w:rPr>
            </w:pPr>
            <w:r>
              <w:rPr>
                <w:rFonts w:ascii="Arial" w:cs="Arial" w:eastAsia="Arial" w:hAnsi="Arial"/>
                <w:sz w:val="22"/>
                <w:szCs w:val="22"/>
                <w:color w:val="auto"/>
              </w:rPr>
              <w:t>$4,000</w:t>
            </w:r>
          </w:p>
        </w:tc>
      </w:tr>
    </w:tbl>
    <w:p>
      <w:pPr>
        <w:spacing w:after="0" w:line="185" w:lineRule="exact"/>
        <w:rPr>
          <w:sz w:val="20"/>
          <w:szCs w:val="20"/>
          <w:color w:val="auto"/>
        </w:rPr>
      </w:pPr>
    </w:p>
    <w:p>
      <w:pPr>
        <w:ind w:left="200" w:right="560"/>
        <w:spacing w:after="0" w:line="274" w:lineRule="auto"/>
        <w:rPr>
          <w:sz w:val="20"/>
          <w:szCs w:val="20"/>
          <w:color w:val="auto"/>
        </w:rPr>
      </w:pPr>
      <w:r>
        <w:rPr>
          <w:rFonts w:ascii="Arial" w:cs="Arial" w:eastAsia="Arial" w:hAnsi="Arial"/>
          <w:sz w:val="21"/>
          <w:szCs w:val="21"/>
          <w:color w:val="auto"/>
        </w:rPr>
        <w:t>Chair and committee member retainers are in addition to retainers for members of the Board of Directors. No additional compensation will be paid for attending individual committee meetings of the Board of Directors.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u w:val="single" w:color="auto"/>
          <w:color w:val="auto"/>
        </w:rPr>
        <w:t>Equity Retainers</w:t>
      </w:r>
    </w:p>
    <w:p>
      <w:pPr>
        <w:spacing w:after="0" w:line="212" w:lineRule="exact"/>
        <w:rPr>
          <w:sz w:val="20"/>
          <w:szCs w:val="20"/>
          <w:color w:val="auto"/>
        </w:rPr>
      </w:pPr>
    </w:p>
    <w:p>
      <w:pPr>
        <w:ind w:left="200" w:right="60"/>
        <w:spacing w:after="0" w:line="272" w:lineRule="auto"/>
        <w:rPr>
          <w:sz w:val="20"/>
          <w:szCs w:val="20"/>
          <w:color w:val="auto"/>
        </w:rPr>
      </w:pPr>
      <w:r>
        <w:rPr>
          <w:rFonts w:ascii="Arial" w:cs="Arial" w:eastAsia="Arial" w:hAnsi="Arial"/>
          <w:sz w:val="19"/>
          <w:szCs w:val="19"/>
          <w:u w:val="single" w:color="auto"/>
          <w:color w:val="auto"/>
        </w:rPr>
        <w:t>Initial Award</w:t>
      </w:r>
      <w:r>
        <w:rPr>
          <w:rFonts w:ascii="Arial" w:cs="Arial" w:eastAsia="Arial" w:hAnsi="Arial"/>
          <w:sz w:val="19"/>
          <w:szCs w:val="19"/>
          <w:color w:val="auto"/>
        </w:rPr>
        <w:t>: An initial, one-time equity award consisting of a stock option (the “Initial Option Award”) to purchase 60,000 shares and a restricted stock unit award (the “Initial RSU Award”) to acquire 10,000 restricted stock unit awards. The Initial Option Award and the Initial RSU Award will be granted to each new Outside Director upon his or her election to the Board of Directors. The Initial Option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The Initial Option Award shall expire not later than ten years from the date of grant, and shall have a per share exercise price equal to the Fair Market Value (as defined in the Company’s 2021 Stock Option and Incentive Plan) of the Company’s common stock on the date of grant. The Initial RSU Award shall vest in three equal annual installments over three years from the date of grant (the specific vesting dates to be established by the Compensation Committee); provided, however, that all vesting shall cease if the director ceases to serve on the Board of Directors prior to any applicable vesting of the Initial RSU Award, unless the Board of Directors determines that the circumstances warrant continuation of vesting.</w:t>
      </w:r>
    </w:p>
    <w:p>
      <w:pPr>
        <w:spacing w:after="0" w:line="161" w:lineRule="exact"/>
        <w:rPr>
          <w:sz w:val="20"/>
          <w:szCs w:val="20"/>
          <w:color w:val="auto"/>
        </w:rPr>
      </w:pPr>
    </w:p>
    <w:p>
      <w:pPr>
        <w:ind w:left="200"/>
        <w:spacing w:after="0" w:line="272" w:lineRule="auto"/>
        <w:rPr>
          <w:sz w:val="20"/>
          <w:szCs w:val="20"/>
          <w:color w:val="auto"/>
        </w:rPr>
      </w:pPr>
      <w:r>
        <w:rPr>
          <w:rFonts w:ascii="Arial" w:cs="Arial" w:eastAsia="Arial" w:hAnsi="Arial"/>
          <w:sz w:val="19"/>
          <w:szCs w:val="19"/>
          <w:u w:val="single" w:color="auto"/>
          <w:color w:val="auto"/>
        </w:rPr>
        <w:t>Annual Award</w:t>
      </w:r>
      <w:r>
        <w:rPr>
          <w:rFonts w:ascii="Arial" w:cs="Arial" w:eastAsia="Arial" w:hAnsi="Arial"/>
          <w:sz w:val="19"/>
          <w:szCs w:val="19"/>
          <w:color w:val="auto"/>
        </w:rPr>
        <w:t>: On each date of each Annual Meeting of Stockholders of the Company (the “Annual Meeting”), each continuing Outside Director, other than a director receiving an Initial Award, will receive: (i) an annual stock option award (the “Annual Option Award”) to purchase 30,000 shares and (ii) an annual restricted stock unit award (the “Annual RSU Award”) to acquire 5,000 shares; provided, however, that Annual Option Awards and Annual RSU Awards made to Outside Directors who were elected in the 12 months preceding the date of grant of such Annual Awards will be pro-rated on a monthly basis for time in service. The Annual Option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 The Annual RSU Award shall vest in its entirety approximately on the first anniversary of the date of grant (the specific vesting date to be established by the Compensation Committee); provided, however, that all vesting shall cease if the director ceases to serve on the Board of Directors prior to the vesting of the Annual RSU Award, unless the Board of Directors determines that the circumstances warrant continuation of vesting.</w:t>
      </w:r>
    </w:p>
    <w:p>
      <w:pPr>
        <w:spacing w:after="0" w:line="156" w:lineRule="exact"/>
        <w:rPr>
          <w:sz w:val="20"/>
          <w:szCs w:val="20"/>
          <w:color w:val="auto"/>
        </w:rPr>
      </w:pPr>
    </w:p>
    <w:p>
      <w:pPr>
        <w:ind w:left="200" w:right="280"/>
        <w:spacing w:after="0" w:line="328" w:lineRule="auto"/>
        <w:rPr>
          <w:sz w:val="20"/>
          <w:szCs w:val="20"/>
          <w:color w:val="auto"/>
        </w:rPr>
      </w:pPr>
      <w:r>
        <w:rPr>
          <w:rFonts w:ascii="Arial" w:cs="Arial" w:eastAsia="Arial" w:hAnsi="Arial"/>
          <w:sz w:val="19"/>
          <w:szCs w:val="19"/>
          <w:u w:val="single" w:color="auto"/>
          <w:color w:val="auto"/>
        </w:rPr>
        <w:t>Sale Event Acceleration</w:t>
      </w:r>
      <w:r>
        <w:rPr>
          <w:rFonts w:ascii="Arial" w:cs="Arial" w:eastAsia="Arial" w:hAnsi="Arial"/>
          <w:sz w:val="19"/>
          <w:szCs w:val="19"/>
          <w:color w:val="auto"/>
        </w:rPr>
        <w:t>: All outstanding Initial Awards and Annual Awards held by an Outside Director shall become fully vested and exercisable upon a Sale Event (as defined in the Company’s 2021 Stock Option and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Expenses</w:t>
      </w:r>
    </w:p>
    <w:p>
      <w:pPr>
        <w:spacing w:after="0" w:line="212" w:lineRule="exact"/>
        <w:rPr>
          <w:sz w:val="20"/>
          <w:szCs w:val="20"/>
          <w:color w:val="auto"/>
        </w:rPr>
      </w:pPr>
    </w:p>
    <w:p>
      <w:pPr>
        <w:ind w:left="200" w:right="100"/>
        <w:spacing w:after="0" w:line="250" w:lineRule="auto"/>
        <w:rPr>
          <w:sz w:val="20"/>
          <w:szCs w:val="20"/>
          <w:color w:val="auto"/>
        </w:rPr>
      </w:pPr>
      <w:r>
        <w:rPr>
          <w:rFonts w:ascii="Arial" w:cs="Arial" w:eastAsia="Arial" w:hAnsi="Arial"/>
          <w:sz w:val="22"/>
          <w:szCs w:val="22"/>
          <w:color w:val="auto"/>
        </w:rPr>
        <w:t>The Company will reimburse all reasonable out-of-pocket expenses incurred by non-employee directors in attending meetings of the Board of Directors or any committee thereof.</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u w:val="single" w:color="auto"/>
          <w:color w:val="auto"/>
        </w:rPr>
        <w:t>Maximum Annual Compensation</w:t>
      </w:r>
    </w:p>
    <w:p>
      <w:pPr>
        <w:spacing w:after="0" w:line="212" w:lineRule="exact"/>
        <w:rPr>
          <w:sz w:val="20"/>
          <w:szCs w:val="20"/>
          <w:color w:val="auto"/>
        </w:rPr>
      </w:pPr>
    </w:p>
    <w:p>
      <w:pPr>
        <w:jc w:val="both"/>
        <w:ind w:left="200"/>
        <w:spacing w:after="0" w:line="246" w:lineRule="auto"/>
        <w:rPr>
          <w:sz w:val="20"/>
          <w:szCs w:val="20"/>
          <w:color w:val="auto"/>
        </w:rPr>
      </w:pPr>
      <w:r>
        <w:rPr>
          <w:rFonts w:ascii="Arial" w:cs="Arial" w:eastAsia="Arial" w:hAnsi="Arial"/>
          <w:sz w:val="21"/>
          <w:szCs w:val="21"/>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Adopted June 9,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Amended: May 22, 2023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0260"/>
        <w:spacing w:after="0"/>
        <w:rPr>
          <w:sz w:val="20"/>
          <w:szCs w:val="20"/>
          <w:color w:val="auto"/>
        </w:rPr>
      </w:pPr>
      <w:r>
        <w:rPr>
          <w:rFonts w:ascii="Arial" w:cs="Arial" w:eastAsia="Arial" w:hAnsi="Arial"/>
          <w:sz w:val="18"/>
          <w:szCs w:val="18"/>
          <w:color w:val="auto"/>
        </w:rPr>
        <w:t>Exhibit 31.1</w:t>
      </w:r>
    </w:p>
    <w:p>
      <w:pPr>
        <w:spacing w:after="0" w:line="246"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CERTIFICATION OF PRINCIPAL EXECUTIVE OFFICER PURSUANT TO RULE 13a-14(a) / RULE 15d-14(a)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42" w:lineRule="exact"/>
        <w:rPr>
          <w:rFonts w:ascii="Arial" w:cs="Arial" w:eastAsia="Arial" w:hAnsi="Arial"/>
          <w:sz w:val="20"/>
          <w:szCs w:val="20"/>
          <w:color w:val="auto"/>
        </w:rPr>
      </w:pPr>
    </w:p>
    <w:p>
      <w:pPr>
        <w:jc w:val="both"/>
        <w:ind w:left="380" w:hanging="372"/>
        <w:spacing w:after="0" w:line="250"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80" w:hanging="372"/>
        <w:spacing w:after="0" w:line="31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5" w:lineRule="exact"/>
        <w:rPr>
          <w:rFonts w:ascii="Arial" w:cs="Arial" w:eastAsia="Arial" w:hAnsi="Arial"/>
          <w:sz w:val="18"/>
          <w:szCs w:val="18"/>
          <w:color w:val="auto"/>
        </w:rPr>
      </w:pPr>
    </w:p>
    <w:p>
      <w:pPr>
        <w:jc w:val="both"/>
        <w:ind w:left="380" w:hanging="372"/>
        <w:spacing w:after="0" w:line="27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020" w:hanging="368"/>
        <w:spacing w:after="0" w:line="269" w:lineRule="auto"/>
        <w:tabs>
          <w:tab w:leader="none" w:pos="10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1020" w:hanging="368"/>
        <w:spacing w:after="0" w:line="269" w:lineRule="auto"/>
        <w:tabs>
          <w:tab w:leader="none" w:pos="10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020" w:hanging="368"/>
        <w:spacing w:after="0" w:line="250" w:lineRule="auto"/>
        <w:tabs>
          <w:tab w:leader="none" w:pos="10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020" w:hanging="368"/>
        <w:spacing w:after="0" w:line="269" w:lineRule="auto"/>
        <w:tabs>
          <w:tab w:leader="none" w:pos="10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ind w:left="380" w:hanging="372"/>
        <w:spacing w:after="0" w:line="250"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020" w:hanging="368"/>
        <w:spacing w:after="0" w:line="250" w:lineRule="auto"/>
        <w:tabs>
          <w:tab w:leader="none" w:pos="10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020" w:hanging="368"/>
        <w:spacing w:after="0" w:line="260" w:lineRule="auto"/>
        <w:tabs>
          <w:tab w:leader="none" w:pos="10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Dated: August 7, 2023</w:t>
      </w:r>
      <w:r>
        <w:rPr>
          <w:sz w:val="20"/>
          <w:szCs w:val="20"/>
          <w:color w:val="auto"/>
        </w:rPr>
        <w:tab/>
      </w:r>
      <w:r>
        <w:rPr>
          <w:rFonts w:ascii="Arial" w:cs="Arial" w:eastAsia="Arial" w:hAnsi="Arial"/>
          <w:sz w:val="16"/>
          <w:szCs w:val="16"/>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Barbara Weber, M.D.</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Chief Executive Officer</w:t>
      </w:r>
    </w:p>
    <w:p>
      <w:pPr>
        <w:ind w:left="182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10260"/>
        <w:spacing w:after="0"/>
        <w:rPr>
          <w:sz w:val="20"/>
          <w:szCs w:val="20"/>
          <w:color w:val="auto"/>
        </w:rPr>
      </w:pPr>
      <w:r>
        <w:rPr>
          <w:rFonts w:ascii="Arial" w:cs="Arial" w:eastAsia="Arial" w:hAnsi="Arial"/>
          <w:sz w:val="18"/>
          <w:szCs w:val="18"/>
          <w:color w:val="auto"/>
        </w:rPr>
        <w:t>Exhibit 31.2</w:t>
      </w:r>
    </w:p>
    <w:p>
      <w:pPr>
        <w:spacing w:after="0" w:line="246"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CERTIFICATION OF PRINCIPAL FINANCIAL OFFICER PURSUANT TO RULE 13a-14(a) / RULE 15d-14(a)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42" w:lineRule="exact"/>
        <w:rPr>
          <w:rFonts w:ascii="Arial" w:cs="Arial" w:eastAsia="Arial" w:hAnsi="Arial"/>
          <w:sz w:val="20"/>
          <w:szCs w:val="20"/>
          <w:color w:val="auto"/>
        </w:rPr>
      </w:pPr>
    </w:p>
    <w:p>
      <w:pPr>
        <w:jc w:val="both"/>
        <w:ind w:left="380" w:hanging="372"/>
        <w:spacing w:after="0" w:line="250"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ind w:left="380" w:hanging="372"/>
        <w:spacing w:after="0" w:line="316"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80" w:hanging="372"/>
        <w:spacing w:after="0" w:line="275"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020" w:hanging="368"/>
        <w:spacing w:after="0" w:line="269" w:lineRule="auto"/>
        <w:tabs>
          <w:tab w:leader="none" w:pos="10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9"/>
          <w:szCs w:val="19"/>
          <w:color w:val="auto"/>
        </w:rPr>
      </w:pPr>
    </w:p>
    <w:p>
      <w:pPr>
        <w:jc w:val="both"/>
        <w:ind w:left="1020" w:hanging="368"/>
        <w:spacing w:after="0" w:line="269" w:lineRule="auto"/>
        <w:tabs>
          <w:tab w:leader="none" w:pos="10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020" w:hanging="368"/>
        <w:spacing w:after="0" w:line="250" w:lineRule="auto"/>
        <w:tabs>
          <w:tab w:leader="none" w:pos="10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020" w:hanging="368"/>
        <w:spacing w:after="0" w:line="269" w:lineRule="auto"/>
        <w:tabs>
          <w:tab w:leader="none" w:pos="10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jc w:val="both"/>
        <w:ind w:left="380" w:hanging="372"/>
        <w:spacing w:after="0" w:line="250"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020" w:hanging="368"/>
        <w:spacing w:after="0" w:line="250" w:lineRule="auto"/>
        <w:tabs>
          <w:tab w:leader="none" w:pos="10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020" w:hanging="368"/>
        <w:spacing w:after="0" w:line="260" w:lineRule="auto"/>
        <w:tabs>
          <w:tab w:leader="none" w:pos="10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Dated: August 7, 2023</w:t>
      </w:r>
      <w:r>
        <w:rPr>
          <w:sz w:val="20"/>
          <w:szCs w:val="20"/>
          <w:color w:val="auto"/>
        </w:rPr>
        <w:tab/>
      </w:r>
      <w:r>
        <w:rPr>
          <w:rFonts w:ascii="Arial" w:cs="Arial" w:eastAsia="Arial" w:hAnsi="Arial"/>
          <w:sz w:val="18"/>
          <w:szCs w:val="18"/>
          <w:u w:val="single" w:color="auto"/>
          <w:color w:val="auto"/>
        </w:rPr>
        <w:t>/s/ Daniella Beckman</w:t>
      </w:r>
    </w:p>
    <w:p>
      <w:pPr>
        <w:spacing w:after="0" w:line="13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Daniella Beckman</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Chief Financial Officer</w:t>
      </w:r>
    </w:p>
    <w:p>
      <w:pPr>
        <w:ind w:left="250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Exhibit 32.1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20" w:firstLine="749"/>
        <w:spacing w:after="0" w:line="291" w:lineRule="auto"/>
        <w:rPr>
          <w:sz w:val="20"/>
          <w:szCs w:val="20"/>
          <w:color w:val="auto"/>
        </w:rPr>
      </w:pPr>
      <w:r>
        <w:rPr>
          <w:rFonts w:ascii="Arial" w:cs="Arial" w:eastAsia="Arial" w:hAnsi="Arial"/>
          <w:sz w:val="18"/>
          <w:szCs w:val="18"/>
          <w:color w:val="auto"/>
        </w:rPr>
        <w:t>In connection with the Quarterly Report on Form 10-Q of Tango Therapeutics, Inc. (the “Company”) for the fiscal quarter ended June 30, 2023 as filed with the Securities and Exchange Commission (the “Report”), I, Barbara Weber, M.D., Chief Executive Officer of the Company, certify, pursuant to 18 U.S.C. § 1350, as adopted pursuant to § 906 of the Sarbanes-Oxley Act of 2002, to my knowledge, that:</w:t>
      </w:r>
    </w:p>
    <w:p>
      <w:pPr>
        <w:spacing w:after="0" w:line="165"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760" w:right="220" w:hanging="378"/>
        <w:spacing w:after="0" w:line="260" w:lineRule="auto"/>
        <w:tabs>
          <w:tab w:leader="none" w:pos="7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2360" w:val="left"/>
        </w:tabs>
        <w:rPr>
          <w:sz w:val="20"/>
          <w:szCs w:val="20"/>
          <w:color w:val="auto"/>
        </w:rPr>
      </w:pPr>
      <w:r>
        <w:rPr>
          <w:rFonts w:ascii="Arial" w:cs="Arial" w:eastAsia="Arial" w:hAnsi="Arial"/>
          <w:sz w:val="20"/>
          <w:szCs w:val="20"/>
          <w:color w:val="auto"/>
        </w:rPr>
        <w:t>Dated:  August 7, 2023</w:t>
      </w:r>
      <w:r>
        <w:rPr>
          <w:sz w:val="20"/>
          <w:szCs w:val="20"/>
          <w:color w:val="auto"/>
        </w:rPr>
        <w:tab/>
      </w:r>
      <w:r>
        <w:rPr>
          <w:rFonts w:ascii="Arial" w:cs="Arial" w:eastAsia="Arial" w:hAnsi="Arial"/>
          <w:sz w:val="16"/>
          <w:szCs w:val="16"/>
          <w:u w:val="single" w:color="auto"/>
          <w:color w:val="auto"/>
        </w:rPr>
        <w:t>/s/ Barbara Weber, M.D.</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Barbara Weber, M.D.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Chief Executive Officer</w:t>
      </w:r>
    </w:p>
    <w:p>
      <w:pPr>
        <w:ind w:left="102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Exhibit 32.2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right="320" w:firstLine="749"/>
        <w:spacing w:after="0" w:line="342" w:lineRule="auto"/>
        <w:rPr>
          <w:sz w:val="20"/>
          <w:szCs w:val="20"/>
          <w:color w:val="auto"/>
        </w:rPr>
      </w:pPr>
      <w:r>
        <w:rPr>
          <w:rFonts w:ascii="Arial" w:cs="Arial" w:eastAsia="Arial" w:hAnsi="Arial"/>
          <w:sz w:val="16"/>
          <w:szCs w:val="16"/>
          <w:color w:val="auto"/>
        </w:rPr>
        <w:t>In connection with the Quarterly Report on Form 10-Q of Tango Therapeutics, Inc. (the “Company”) for the fiscal quarter ended June 30, 2023 as filed with the Securities and Exchange Commission (the “Report”), I, Daniella Beckman, Chief Financial Officer of the Company, certify, pursuant to 18 U.S.C. § 1350, as adopted pursuant to § 906 of the Sarbanes-Oxley Act of 2002, to my knowledge, that:</w:t>
      </w:r>
    </w:p>
    <w:p>
      <w:pPr>
        <w:spacing w:after="0" w:line="131"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760" w:right="220" w:hanging="378"/>
        <w:spacing w:after="0" w:line="260" w:lineRule="auto"/>
        <w:tabs>
          <w:tab w:leader="none" w:pos="7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2360" w:val="left"/>
        </w:tabs>
        <w:rPr>
          <w:sz w:val="20"/>
          <w:szCs w:val="20"/>
          <w:color w:val="auto"/>
        </w:rPr>
      </w:pPr>
      <w:r>
        <w:rPr>
          <w:rFonts w:ascii="Arial" w:cs="Arial" w:eastAsia="Arial" w:hAnsi="Arial"/>
          <w:sz w:val="20"/>
          <w:szCs w:val="20"/>
          <w:color w:val="auto"/>
        </w:rPr>
        <w:t>Dated:  August 7, 2023</w:t>
      </w:r>
      <w:r>
        <w:rPr>
          <w:sz w:val="20"/>
          <w:szCs w:val="20"/>
          <w:color w:val="auto"/>
        </w:rPr>
        <w:tab/>
      </w:r>
      <w:r>
        <w:rPr>
          <w:rFonts w:ascii="Arial" w:cs="Arial" w:eastAsia="Arial" w:hAnsi="Arial"/>
          <w:sz w:val="18"/>
          <w:szCs w:val="18"/>
          <w:u w:val="single" w:color="auto"/>
          <w:color w:val="auto"/>
        </w:rPr>
        <w:t>/s/ Daniella Beckman</w:t>
      </w:r>
    </w:p>
    <w:p>
      <w:pPr>
        <w:spacing w:after="0" w:line="108"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Daniella Beckman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Chief Financial Officer</w:t>
      </w:r>
    </w:p>
    <w:p>
      <w:pPr>
        <w:ind w:left="1020"/>
        <w:spacing w:after="0"/>
        <w:rPr>
          <w:sz w:val="20"/>
          <w:szCs w:val="20"/>
          <w:color w:val="auto"/>
        </w:rPr>
      </w:pPr>
      <w:r>
        <w:rPr>
          <w:rFonts w:ascii="Arial" w:cs="Arial" w:eastAsia="Arial" w:hAnsi="Arial"/>
          <w:sz w:val="20"/>
          <w:szCs w:val="20"/>
          <w:color w:val="auto"/>
        </w:rPr>
        <w:t>(Principal Financial Officer)</w:t>
      </w:r>
    </w:p>
    <w:p>
      <w:pPr>
        <w:spacing w:after="0" w:line="200" w:lineRule="exact"/>
        <w:rPr>
          <w:sz w:val="20"/>
          <w:szCs w:val="20"/>
          <w:color w:val="auto"/>
        </w:rPr>
      </w:pP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Roman"/>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4"/>
    </w:lvl>
  </w:abstractNum>
  <w:abstractNum w:abstractNumId="12">
    <w:nsid w:val="721DA317"/>
    <w:multiLevelType w:val="hybridMultilevel"/>
    <w:lvl w:ilvl="0">
      <w:lvlJc w:val="left"/>
      <w:lvlText w:val="%1."/>
      <w:numFmt w:val="decimal"/>
      <w:start w:val="5"/>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decimal"/>
      <w:start w:val="9"/>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5"/>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5"/>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2023-08-07T07:09:46Z</dcterms:created>
  <dcterms:modified xsi:type="dcterms:W3CDTF">2023-08-07T07:09:46Z</dcterms:modified>
</cp:coreProperties>
</file>