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left="340" w:right="25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§240.13d-2</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BCTG Acquisition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05492W 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340" w:right="9500" w:hanging="8"/>
        <w:spacing w:after="0" w:line="225" w:lineRule="exact"/>
        <w:tabs>
          <w:tab w:leader="none" w:pos="66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2"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500" w:type="dxa"/>
            <w:vAlign w:val="bottom"/>
            <w:gridSpan w:val="4"/>
          </w:tcPr>
          <w:p>
            <w:pPr>
              <w:spacing w:after="0"/>
              <w:rPr>
                <w:sz w:val="20"/>
                <w:szCs w:val="20"/>
                <w:color w:val="auto"/>
              </w:rPr>
            </w:pPr>
            <w:r>
              <w:rPr>
                <w:rFonts w:ascii="Arial" w:cs="Arial" w:eastAsia="Arial" w:hAnsi="Arial"/>
                <w:sz w:val="18"/>
                <w:szCs w:val="18"/>
                <w:b w:val="1"/>
                <w:bCs w:val="1"/>
                <w:color w:val="auto"/>
              </w:rPr>
              <w:t>CUSIP No. 05492W 103</w:t>
            </w:r>
          </w:p>
        </w:tc>
        <w:tc>
          <w:tcPr>
            <w:tcW w:w="560" w:type="dxa"/>
            <w:vAlign w:val="bottom"/>
          </w:tcPr>
          <w:p>
            <w:pPr>
              <w:spacing w:after="0"/>
              <w:rPr>
                <w:sz w:val="20"/>
                <w:szCs w:val="20"/>
                <w:color w:val="auto"/>
              </w:rPr>
            </w:pPr>
          </w:p>
        </w:tc>
        <w:tc>
          <w:tcPr>
            <w:tcW w:w="5380" w:type="dxa"/>
            <w:vAlign w:val="bottom"/>
          </w:tcPr>
          <w:p>
            <w:pPr>
              <w:ind w:left="2420"/>
              <w:spacing w:after="0"/>
              <w:rPr>
                <w:sz w:val="20"/>
                <w:szCs w:val="20"/>
                <w:color w:val="auto"/>
              </w:rPr>
            </w:pPr>
            <w:r>
              <w:rPr>
                <w:rFonts w:ascii="Arial" w:cs="Arial" w:eastAsia="Arial" w:hAnsi="Arial"/>
                <w:sz w:val="18"/>
                <w:szCs w:val="18"/>
                <w:b w:val="1"/>
                <w:bCs w:val="1"/>
                <w:color w:val="auto"/>
              </w:rPr>
              <w:t>13G</w:t>
            </w:r>
          </w:p>
        </w:tc>
        <w:tc>
          <w:tcPr>
            <w:tcW w:w="2800" w:type="dxa"/>
            <w:vAlign w:val="bottom"/>
          </w:tcPr>
          <w:p>
            <w:pPr>
              <w:ind w:left="148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2</w:t>
            </w:r>
            <w:r>
              <w:rPr>
                <w:rFonts w:ascii="Arial" w:cs="Arial" w:eastAsia="Arial" w:hAnsi="Arial"/>
                <w:sz w:val="18"/>
                <w:szCs w:val="18"/>
                <w:b w:val="1"/>
                <w:bCs w:val="1"/>
                <w:color w:val="auto"/>
                <w:w w:val="83"/>
              </w:rPr>
              <w:t xml:space="preserve"> of 5 Pages</w:t>
            </w:r>
          </w:p>
        </w:tc>
        <w:tc>
          <w:tcPr>
            <w:tcW w:w="0" w:type="dxa"/>
            <w:vAlign w:val="bottom"/>
          </w:tcPr>
          <w:p>
            <w:pPr>
              <w:spacing w:after="0"/>
              <w:rPr>
                <w:sz w:val="1"/>
                <w:szCs w:val="1"/>
                <w:color w:val="auto"/>
              </w:rPr>
            </w:pPr>
          </w:p>
        </w:tc>
      </w:tr>
      <w:tr>
        <w:trPr>
          <w:trHeight w:val="216"/>
        </w:trPr>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1</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8"/>
              </w:rPr>
              <w:t>BCTG Holdings, LLC</w:t>
            </w: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2</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right w:val="single" w:sz="8" w:color="auto"/>
            </w:tcBorders>
          </w:tcPr>
          <w:p>
            <w:pPr>
              <w:ind w:left="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680" w:type="dxa"/>
            <w:vAlign w:val="bottom"/>
            <w:tcBorders>
              <w:left w:val="single" w:sz="8" w:color="auto"/>
              <w:bottom w:val="single" w:sz="8" w:color="auto"/>
            </w:tcBorders>
          </w:tcPr>
          <w:p>
            <w:pPr>
              <w:spacing w:after="0"/>
              <w:rPr>
                <w:sz w:val="22"/>
                <w:szCs w:val="22"/>
                <w:color w:val="auto"/>
              </w:rPr>
            </w:pPr>
          </w:p>
        </w:tc>
        <w:tc>
          <w:tcPr>
            <w:tcW w:w="48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ind w:left="6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3</w:t>
            </w:r>
          </w:p>
        </w:tc>
        <w:tc>
          <w:tcPr>
            <w:tcW w:w="480" w:type="dxa"/>
            <w:vAlign w:val="bottom"/>
            <w:tcBorders>
              <w:right w:val="single" w:sz="8" w:color="auto"/>
            </w:tcBorders>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4</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79"/>
              </w:rPr>
              <w:t>5</w:t>
            </w:r>
          </w:p>
        </w:tc>
        <w:tc>
          <w:tcPr>
            <w:tcW w:w="5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4,488,450</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Pr>
          <w:p>
            <w:pPr>
              <w:spacing w:after="0"/>
              <w:rPr>
                <w:sz w:val="24"/>
                <w:szCs w:val="24"/>
                <w:color w:val="auto"/>
              </w:rPr>
            </w:pPr>
          </w:p>
        </w:tc>
        <w:tc>
          <w:tcPr>
            <w:tcW w:w="5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79"/>
              </w:rPr>
              <w:t>6</w:t>
            </w:r>
          </w:p>
        </w:tc>
        <w:tc>
          <w:tcPr>
            <w:tcW w:w="53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4"/>
              </w:rPr>
              <w:t>SHARES</w:t>
            </w: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3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38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6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5380" w:type="dxa"/>
            <w:vAlign w:val="bottom"/>
          </w:tcPr>
          <w:p>
            <w:pPr>
              <w:spacing w:after="0"/>
              <w:rPr>
                <w:sz w:val="15"/>
                <w:szCs w:val="15"/>
                <w:color w:val="auto"/>
              </w:rPr>
            </w:pP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9"/>
              </w:rPr>
              <w:t>EACH</w:t>
            </w:r>
          </w:p>
        </w:tc>
        <w:tc>
          <w:tcPr>
            <w:tcW w:w="440" w:type="dxa"/>
            <w:vAlign w:val="bottom"/>
          </w:tcPr>
          <w:p>
            <w:pPr>
              <w:spacing w:after="0"/>
              <w:rPr>
                <w:sz w:val="18"/>
                <w:szCs w:val="18"/>
                <w:color w:val="auto"/>
              </w:rPr>
            </w:pPr>
          </w:p>
        </w:tc>
        <w:tc>
          <w:tcPr>
            <w:tcW w:w="5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79"/>
              </w:rPr>
              <w:t>7</w:t>
            </w:r>
          </w:p>
        </w:tc>
        <w:tc>
          <w:tcPr>
            <w:tcW w:w="53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38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80" w:type="dxa"/>
            <w:vAlign w:val="bottom"/>
            <w:tcBorders>
              <w:left w:val="single" w:sz="8" w:color="auto"/>
            </w:tcBorders>
          </w:tcPr>
          <w:p>
            <w:pPr>
              <w:spacing w:after="0"/>
              <w:rPr>
                <w:sz w:val="21"/>
                <w:szCs w:val="21"/>
                <w:color w:val="auto"/>
              </w:rPr>
            </w:pPr>
          </w:p>
        </w:tc>
        <w:tc>
          <w:tcPr>
            <w:tcW w:w="1380" w:type="dxa"/>
            <w:vAlign w:val="bottom"/>
            <w:tcBorders>
              <w:right w:val="single" w:sz="8" w:color="auto"/>
            </w:tcBorders>
            <w:gridSpan w:val="2"/>
          </w:tcPr>
          <w:p>
            <w:pPr>
              <w:jc w:val="center"/>
              <w:ind w:right="590"/>
              <w:spacing w:after="0"/>
              <w:rPr>
                <w:sz w:val="20"/>
                <w:szCs w:val="20"/>
                <w:color w:val="auto"/>
              </w:rPr>
            </w:pPr>
            <w:r>
              <w:rPr>
                <w:rFonts w:ascii="Arial" w:cs="Arial" w:eastAsia="Arial" w:hAnsi="Arial"/>
                <w:sz w:val="18"/>
                <w:szCs w:val="18"/>
                <w:color w:val="auto"/>
                <w:w w:val="92"/>
              </w:rPr>
              <w:t>PERSON</w:t>
            </w: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4,488,450</w:t>
            </w:r>
          </w:p>
        </w:tc>
        <w:tc>
          <w:tcPr>
            <w:tcW w:w="2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79"/>
              </w:rPr>
              <w:t>8</w:t>
            </w:r>
          </w:p>
        </w:tc>
        <w:tc>
          <w:tcPr>
            <w:tcW w:w="53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9</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color w:val="auto"/>
                <w:w w:val="89"/>
              </w:rPr>
              <w:t>10</w:t>
            </w:r>
          </w:p>
        </w:tc>
        <w:tc>
          <w:tcPr>
            <w:tcW w:w="480" w:type="dxa"/>
            <w:vAlign w:val="bottom"/>
            <w:tcBorders>
              <w:right w:val="single" w:sz="8" w:color="auto"/>
            </w:tcBorders>
          </w:tcPr>
          <w:p>
            <w:pPr>
              <w:spacing w:after="0"/>
              <w:rPr>
                <w:sz w:val="24"/>
                <w:szCs w:val="24"/>
                <w:color w:val="auto"/>
              </w:rPr>
            </w:pPr>
          </w:p>
        </w:tc>
        <w:tc>
          <w:tcPr>
            <w:tcW w:w="1008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4"/>
              </w:rPr>
              <w:t>4,488,450</w:t>
            </w: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79"/>
              </w:rPr>
              <w:t>11</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21.0%</w:t>
            </w: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tcBorders>
          </w:tcPr>
          <w:p>
            <w:pPr>
              <w:jc w:val="center"/>
              <w:ind w:left="41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4"/>
                <w:szCs w:val="24"/>
                <w:color w:val="auto"/>
              </w:rPr>
            </w:pPr>
          </w:p>
        </w:tc>
        <w:tc>
          <w:tcPr>
            <w:tcW w:w="72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OO</w:t>
            </w:r>
          </w:p>
        </w:tc>
        <w:tc>
          <w:tcPr>
            <w:tcW w:w="5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CUSIP No. 05492W 103</w:t>
            </w:r>
          </w:p>
        </w:tc>
        <w:tc>
          <w:tcPr>
            <w:tcW w:w="4200" w:type="dxa"/>
            <w:vAlign w:val="bottom"/>
          </w:tcPr>
          <w:p>
            <w:pPr>
              <w:ind w:left="1820"/>
              <w:spacing w:after="0"/>
              <w:rPr>
                <w:sz w:val="20"/>
                <w:szCs w:val="20"/>
                <w:color w:val="auto"/>
              </w:rPr>
            </w:pPr>
            <w:r>
              <w:rPr>
                <w:rFonts w:ascii="Arial" w:cs="Arial" w:eastAsia="Arial" w:hAnsi="Arial"/>
                <w:sz w:val="18"/>
                <w:szCs w:val="18"/>
                <w:b w:val="1"/>
                <w:bCs w:val="1"/>
                <w:color w:val="auto"/>
              </w:rPr>
              <w:t>13G</w:t>
            </w:r>
          </w:p>
        </w:tc>
        <w:tc>
          <w:tcPr>
            <w:tcW w:w="3380" w:type="dxa"/>
            <w:vAlign w:val="bottom"/>
          </w:tcPr>
          <w:p>
            <w:pPr>
              <w:ind w:left="2060"/>
              <w:spacing w:after="0"/>
              <w:rPr>
                <w:sz w:val="20"/>
                <w:szCs w:val="20"/>
                <w:color w:val="auto"/>
              </w:rPr>
            </w:pPr>
            <w:r>
              <w:rPr>
                <w:rFonts w:ascii="Arial" w:cs="Arial" w:eastAsia="Arial" w:hAnsi="Arial"/>
                <w:sz w:val="18"/>
                <w:szCs w:val="18"/>
                <w:b w:val="1"/>
                <w:bCs w:val="1"/>
                <w:color w:val="auto"/>
                <w:w w:val="84"/>
              </w:rPr>
              <w:t xml:space="preserve">Page </w:t>
            </w:r>
            <w:r>
              <w:rPr>
                <w:rFonts w:ascii="Arial" w:cs="Arial" w:eastAsia="Arial" w:hAnsi="Arial"/>
                <w:sz w:val="18"/>
                <w:szCs w:val="18"/>
                <w:color w:val="auto"/>
                <w:w w:val="84"/>
              </w:rPr>
              <w:t>3</w:t>
            </w:r>
            <w:r>
              <w:rPr>
                <w:rFonts w:ascii="Arial" w:cs="Arial" w:eastAsia="Arial" w:hAnsi="Arial"/>
                <w:sz w:val="18"/>
                <w:szCs w:val="18"/>
                <w:b w:val="1"/>
                <w:bCs w:val="1"/>
                <w:color w:val="auto"/>
                <w:w w:val="84"/>
              </w:rPr>
              <w:t xml:space="preserve"> of 5 Pages</w:t>
            </w:r>
          </w:p>
        </w:tc>
      </w:tr>
      <w:tr>
        <w:trPr>
          <w:trHeight w:val="432"/>
        </w:trPr>
        <w:tc>
          <w:tcPr>
            <w:tcW w:w="3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20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198"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BCTG Acquisition Corp.</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1300" w:right="74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12860 El Camino Real, Suite 300 San Diego, CA 92130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 of Person Filing: </w:t>
      </w:r>
      <w:r>
        <w:rPr>
          <w:rFonts w:ascii="Arial" w:cs="Arial" w:eastAsia="Arial" w:hAnsi="Arial"/>
          <w:sz w:val="18"/>
          <w:szCs w:val="18"/>
          <w:b w:val="1"/>
          <w:bCs w:val="1"/>
          <w:color w:val="auto"/>
        </w:rPr>
        <w:t>BCTG Holdings, LLC</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1" w:lineRule="exact"/>
        <w:rPr>
          <w:rFonts w:ascii="Arial" w:cs="Arial" w:eastAsia="Arial" w:hAnsi="Arial"/>
          <w:sz w:val="18"/>
          <w:szCs w:val="18"/>
          <w:color w:val="auto"/>
        </w:rPr>
      </w:pPr>
    </w:p>
    <w:p>
      <w:pPr>
        <w:ind w:left="1300" w:right="74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12860 El Camino Real, Suite 300 San Diego, CA 92130</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Citizenship: </w:t>
      </w:r>
      <w:r>
        <w:rPr>
          <w:rFonts w:ascii="Arial" w:cs="Arial" w:eastAsia="Arial" w:hAnsi="Arial"/>
          <w:sz w:val="18"/>
          <w:szCs w:val="18"/>
          <w:b w:val="1"/>
          <w:bCs w:val="1"/>
          <w:color w:val="auto"/>
        </w:rPr>
        <w:t>BCTG Holdings, LLC –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Title of Class of Securities: </w:t>
      </w:r>
      <w:r>
        <w:rPr>
          <w:rFonts w:ascii="Arial" w:cs="Arial" w:eastAsia="Arial" w:hAnsi="Arial"/>
          <w:sz w:val="18"/>
          <w:szCs w:val="18"/>
          <w:b w:val="1"/>
          <w:bCs w:val="1"/>
          <w:color w:val="auto"/>
        </w:rPr>
        <w:t>Common Stock, $0.0001 par value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05492W 103</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w:t>
      </w:r>
    </w:p>
    <w:p>
      <w:pPr>
        <w:spacing w:after="0" w:line="207"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4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BCTG Holdings, LLC – 4,488,450 shares.</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BCTG Holdings, LLC –21.0%</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5"/>
          <w:szCs w:val="15"/>
          <w:b w:val="1"/>
          <w:bCs w:val="1"/>
          <w:color w:val="auto"/>
        </w:rPr>
        <w:t>The foregoing percentage is based on 21,377,250 shares of common stock outstanding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05492W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4</w:t>
      </w:r>
      <w:r>
        <w:rPr>
          <w:rFonts w:ascii="Arial" w:cs="Arial" w:eastAsia="Arial" w:hAnsi="Arial"/>
          <w:sz w:val="15"/>
          <w:szCs w:val="15"/>
          <w:b w:val="1"/>
          <w:bCs w:val="1"/>
          <w:color w:val="auto"/>
        </w:rPr>
        <w:t xml:space="preserve"> of 5 Pages</w:t>
      </w:r>
    </w:p>
    <w:p>
      <w:pPr>
        <w:spacing w:after="0" w:line="229"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BCTG Holdings, LLC – 4,488,450 shares.</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BCTG Holdings, LLC – 0 shares.</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BCTG Holdings, LLC – 4,488,450 shares.</w:t>
      </w:r>
    </w:p>
    <w:p>
      <w:pPr>
        <w:spacing w:after="0" w:line="229"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BCTG Holdings, LLC – 0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 xml:space="preserve">Ownership of Five Percent or Less of a Class: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 xml:space="preserve">Ownership of More than Five Percent on Behalf of Another Person: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color w:val="auto"/>
        </w:rPr>
        <w:t xml:space="preserve">Identification and Classification of Subsidiary Which Acquired the Securities: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 xml:space="preserve">Identification and Classification of Members of the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 xml:space="preserve">Notice of Dissolution of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color w:val="auto"/>
        </w:rPr>
        <w:t xml:space="preserve">Certifications: </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05492W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5</w:t>
      </w:r>
      <w:r>
        <w:rPr>
          <w:rFonts w:ascii="Arial" w:cs="Arial" w:eastAsia="Arial" w:hAnsi="Arial"/>
          <w:sz w:val="15"/>
          <w:szCs w:val="15"/>
          <w:b w:val="1"/>
          <w:bCs w:val="1"/>
          <w:color w:val="auto"/>
        </w:rPr>
        <w:t xml:space="preserve"> of 5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BCTG HOLDINGS,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Aaron Davis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2021-02-16T16:32:54Z</dcterms:created>
  <dcterms:modified xsi:type="dcterms:W3CDTF">2021-02-16T16:32:54Z</dcterms:modified>
</cp:coreProperties>
</file>