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6,029,906.00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6,029,906.00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6,029,906.00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980"/>
          </w:cols>
          <w:pgMar w:left="360" w:top="111"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Avenue,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filed by Woodline Partners LP ("Woodline Partners" or the "Reporting Person"), a Delaware limited</w:t>
      </w:r>
    </w:p>
    <w:p>
      <w:pPr>
        <w:spacing w:after="0" w:line="26" w:lineRule="exact"/>
        <w:rPr>
          <w:sz w:val="20"/>
          <w:szCs w:val="20"/>
          <w:color w:val="auto"/>
        </w:rPr>
      </w:pPr>
    </w:p>
    <w:p>
      <w:pPr>
        <w:ind w:left="920" w:hanging="912"/>
        <w:spacing w:after="0" w:line="196"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partnership, and the investment adviser to Woodline Master Fund LP (the "Woodline Fund"), with respect to the shares of common stock, par value $0.001 per share ("Common Stock") of Tango Therapeutics, Inc. (the "Company") directly held by the Woodline Fund. The filing of this statement should not be construed as an admission that the foregoing persons or the Reporting Person is, for the purposes of Section 13 of the Securities Exchange Act of 1934, the beneficial owner of the shares of Common Stock reported herein.</w:t>
      </w:r>
    </w:p>
    <w:p>
      <w:pPr>
        <w:sectPr>
          <w:pgSz w:w="11900" w:h="16838" w:orient="portrait"/>
          <w:cols w:equalWidth="0" w:num="1">
            <w:col w:w="11100"/>
          </w:cols>
          <w:pgMar w:left="360" w:top="111" w:right="439" w:bottom="0" w:gutter="0" w:footer="0" w:header="0"/>
          <w:type w:val="continuous"/>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Woodline Partners is 4 Embarcadero Center, Suite 3450, San Francisco, CA 94111.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Woodline Partners is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87583X109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80"/>
          </w:cols>
          <w:pgMar w:left="360" w:top="111" w:right="43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the Reporting Person and is</w:t>
      </w:r>
    </w:p>
    <w:p>
      <w:pPr>
        <w:spacing w:after="0" w:line="14" w:lineRule="exact"/>
        <w:rPr>
          <w:sz w:val="20"/>
          <w:szCs w:val="20"/>
          <w:color w:val="auto"/>
        </w:rPr>
      </w:pPr>
    </w:p>
    <w:p>
      <w:pPr>
        <w:ind w:left="920" w:right="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108,394,190 shares of Common Stock outstanding as of May 5, 2025, as reported in the Company's Quarterly Report on Form 10-Q for the quarterly period ended March 31, 2025, filed with the Securities and Exchange Commission on May 12,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Erin Mullen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Erin Mullen, General Counsel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11140"/>
      </w:cols>
      <w:pgMar w:left="36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2025-08-14T11:01:03Z</dcterms:created>
  <dcterms:modified xsi:type="dcterms:W3CDTF">2025-08-14T11:01:03Z</dcterms:modified>
</cp:coreProperties>
</file>