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Weber Barbara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105,875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1,641,042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635,250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635,250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635,250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33% on February 2, 2026, 33% on February 1, 2027 and 34% on February 14, 2028, subject to the Reporting Person's continuous service with the Issuer as of each such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four-year period, at a rate of 25% on January 1, 2026, with the remaining option shares vesting in 36 equal monthly installments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Barry,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0670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2025-02-05T18:36:05Z</dcterms:created>
  <dcterms:modified xsi:type="dcterms:W3CDTF">2025-02-05T18:36:05Z</dcterms:modified>
</cp:coreProperties>
</file>