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2, 2020</w:t>
      </w:r>
    </w:p>
    <w:p>
      <w:pPr>
        <w:spacing w:after="0" w:line="31" w:lineRule="exact"/>
        <w:rPr>
          <w:sz w:val="24"/>
          <w:szCs w:val="24"/>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Registration No. 333-___________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11682 El Camino Real, Suite 320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11682 El Camino Real, Suite 320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400-3112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36"/>
        </w:trPr>
        <w:tc>
          <w:tcPr>
            <w:tcW w:w="286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Mitchell S. Nussbaum</w:t>
            </w:r>
          </w:p>
        </w:tc>
        <w:tc>
          <w:tcPr>
            <w:tcW w:w="50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Copies to:</w:t>
            </w:r>
          </w:p>
        </w:tc>
        <w:tc>
          <w:tcPr>
            <w:tcW w:w="0" w:type="dxa"/>
            <w:vAlign w:val="bottom"/>
          </w:tcPr>
          <w:p>
            <w:pPr>
              <w:spacing w:after="0"/>
              <w:rPr>
                <w:sz w:val="1"/>
                <w:szCs w:val="1"/>
                <w:color w:val="auto"/>
              </w:rPr>
            </w:pPr>
          </w:p>
        </w:tc>
      </w:tr>
      <w:tr>
        <w:trPr>
          <w:trHeight w:val="194"/>
        </w:trPr>
        <w:tc>
          <w:tcPr>
            <w:tcW w:w="2860" w:type="dxa"/>
            <w:vAlign w:val="bottom"/>
            <w:vMerge w:val="continue"/>
          </w:tcPr>
          <w:p>
            <w:pPr>
              <w:spacing w:after="0"/>
              <w:rPr>
                <w:sz w:val="16"/>
                <w:szCs w:val="16"/>
                <w:color w:val="auto"/>
              </w:rPr>
            </w:pPr>
          </w:p>
        </w:tc>
        <w:tc>
          <w:tcPr>
            <w:tcW w:w="5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Giovanni Caruso</w:t>
            </w:r>
          </w:p>
        </w:tc>
        <w:tc>
          <w:tcPr>
            <w:tcW w:w="50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Christian O. Nagler</w:t>
            </w:r>
          </w:p>
        </w:tc>
        <w:tc>
          <w:tcPr>
            <w:tcW w:w="0" w:type="dxa"/>
            <w:vAlign w:val="bottom"/>
          </w:tcPr>
          <w:p>
            <w:pPr>
              <w:spacing w:after="0"/>
              <w:rPr>
                <w:sz w:val="1"/>
                <w:szCs w:val="1"/>
                <w:color w:val="auto"/>
              </w:rPr>
            </w:pPr>
          </w:p>
        </w:tc>
      </w:tr>
      <w:tr>
        <w:trPr>
          <w:trHeight w:val="216"/>
        </w:trPr>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50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Kirkland &amp; Ellis LLP</w:t>
            </w:r>
          </w:p>
        </w:tc>
        <w:tc>
          <w:tcPr>
            <w:tcW w:w="0" w:type="dxa"/>
            <w:vAlign w:val="bottom"/>
          </w:tcPr>
          <w:p>
            <w:pPr>
              <w:spacing w:after="0"/>
              <w:rPr>
                <w:sz w:val="1"/>
                <w:szCs w:val="1"/>
                <w:color w:val="auto"/>
              </w:rPr>
            </w:pPr>
          </w:p>
        </w:tc>
      </w:tr>
      <w:tr>
        <w:trPr>
          <w:trHeight w:val="216"/>
        </w:trPr>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345 Park Avenue</w:t>
            </w:r>
          </w:p>
        </w:tc>
        <w:tc>
          <w:tcPr>
            <w:tcW w:w="50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601 Lexington Avenue</w:t>
            </w:r>
          </w:p>
        </w:tc>
        <w:tc>
          <w:tcPr>
            <w:tcW w:w="0" w:type="dxa"/>
            <w:vAlign w:val="bottom"/>
          </w:tcPr>
          <w:p>
            <w:pPr>
              <w:spacing w:after="0"/>
              <w:rPr>
                <w:sz w:val="1"/>
                <w:szCs w:val="1"/>
                <w:color w:val="auto"/>
              </w:rPr>
            </w:pPr>
          </w:p>
        </w:tc>
      </w:tr>
      <w:tr>
        <w:trPr>
          <w:trHeight w:val="216"/>
        </w:trPr>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New York, New York 10154</w:t>
            </w:r>
          </w:p>
        </w:tc>
        <w:tc>
          <w:tcPr>
            <w:tcW w:w="50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7"/>
              </w:rPr>
              <w:t>New York, New York 10022</w:t>
            </w:r>
          </w:p>
        </w:tc>
        <w:tc>
          <w:tcPr>
            <w:tcW w:w="0" w:type="dxa"/>
            <w:vAlign w:val="bottom"/>
          </w:tcPr>
          <w:p>
            <w:pPr>
              <w:spacing w:after="0"/>
              <w:rPr>
                <w:sz w:val="1"/>
                <w:szCs w:val="1"/>
                <w:color w:val="auto"/>
              </w:rPr>
            </w:pPr>
          </w:p>
        </w:tc>
      </w:tr>
      <w:tr>
        <w:trPr>
          <w:trHeight w:val="216"/>
        </w:trPr>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(212) 407-4000</w:t>
            </w:r>
          </w:p>
        </w:tc>
        <w:tc>
          <w:tcPr>
            <w:tcW w:w="502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(212) 446-4660</w:t>
            </w:r>
          </w:p>
        </w:tc>
        <w:tc>
          <w:tcPr>
            <w:tcW w:w="0" w:type="dxa"/>
            <w:vAlign w:val="bottom"/>
          </w:tcPr>
          <w:p>
            <w:pPr>
              <w:spacing w:after="0"/>
              <w:rPr>
                <w:sz w:val="1"/>
                <w:szCs w:val="1"/>
                <w:color w:val="auto"/>
              </w:rPr>
            </w:pPr>
          </w:p>
        </w:tc>
      </w:tr>
      <w:tr>
        <w:trPr>
          <w:trHeight w:val="238"/>
        </w:trPr>
        <w:tc>
          <w:tcPr>
            <w:tcW w:w="286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(212) 407-4990 — Facsimile</w:t>
            </w:r>
          </w:p>
        </w:tc>
        <w:tc>
          <w:tcPr>
            <w:tcW w:w="50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(212) 446-4900 — Facsimile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7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3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Being</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77"/>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Each Class of Security being registered</w:t>
            </w: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Security</w:t>
            </w:r>
            <w:r>
              <w:rPr>
                <w:rFonts w:ascii="Times New Roman" w:cs="Times New Roman" w:eastAsia="Times New Roman" w:hAnsi="Times New Roman"/>
                <w:sz w:val="29"/>
                <w:szCs w:val="29"/>
                <w:b w:val="1"/>
                <w:bCs w:val="1"/>
                <w:color w:val="auto"/>
                <w:w w:val="92"/>
                <w:vertAlign w:val="superscript"/>
              </w:rPr>
              <w:t>(1)</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6"/>
                <w:vertAlign w:val="subscript"/>
              </w:rPr>
              <w:t>Price</w:t>
            </w:r>
            <w:r>
              <w:rPr>
                <w:rFonts w:ascii="Times New Roman" w:cs="Times New Roman" w:eastAsia="Times New Roman" w:hAnsi="Times New Roman"/>
                <w:sz w:val="14"/>
                <w:szCs w:val="14"/>
                <w:b w:val="1"/>
                <w:bCs w:val="1"/>
                <w:color w:val="auto"/>
                <w:w w:val="96"/>
              </w:rPr>
              <w:t>(1)(2)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00" w:type="dxa"/>
            <w:vAlign w:val="bottom"/>
            <w:tcBorders>
              <w:bottom w:val="single" w:sz="8" w:color="CCEEFF"/>
            </w:tcBorders>
          </w:tcPr>
          <w:p>
            <w:pPr>
              <w:spacing w:after="0"/>
              <w:rPr>
                <w:sz w:val="24"/>
                <w:szCs w:val="24"/>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stock, $0.0001 par value </w:t>
            </w:r>
            <w:r>
              <w:rPr>
                <w:rFonts w:ascii="Times New Roman" w:cs="Times New Roman" w:eastAsia="Times New Roman" w:hAnsi="Times New Roman"/>
                <w:sz w:val="29"/>
                <w:szCs w:val="29"/>
                <w:color w:val="auto"/>
                <w:vertAlign w:val="superscript"/>
              </w:rPr>
              <w:t>(2)</w:t>
            </w:r>
          </w:p>
        </w:tc>
        <w:tc>
          <w:tcPr>
            <w:tcW w:w="36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2,300,000</w:t>
            </w:r>
          </w:p>
        </w:tc>
        <w:tc>
          <w:tcPr>
            <w:tcW w:w="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$2,985.40</w:t>
            </w:r>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457(o) under the Securities Act of 1933, as amended.</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of 2,000,000 shares to be issued to public stockholders in the public offering, and 300,000 shares which may be issued upon exercise of a 45-day option granted to the Underwriter to cover over-allotments, if any.</w:t>
      </w:r>
    </w:p>
    <w:p>
      <w:pPr>
        <w:spacing w:after="0" w:line="177"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with the SEC in accordance with Rule 462(b)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registration statement is being filed pursuant to Rule 462(b) as promulgated under the Securities Act of 1933, as amended. BCTG Acquisition Corp. (the “Registrant”) hereby incorporates by reference into this registration statement the contents of the Registration Statement on Form S-1 (Registration No. 333- 240237), including the exhibits thereto, which was declared effective by the Securities and Exchange Commission on September 2, 2020 (the “Prior Registration Statement”). This registration statement is being filed solely to increase the number of units being offered in the public offering. The required opinion of counsel and related consent and accountant’s consent are attached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exhibits filed or incorporated by reference in the registrant’s Registration Statement on Form S-1, as amended (File No. 333-240237), are incorporated by reference into, and shall be deemed to be part of, this Registration Statement, except for the following, which are filed herewith:</w:t>
      </w:r>
    </w:p>
    <w:p>
      <w:pPr>
        <w:spacing w:after="0" w:line="162"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Opinion of Loeb &amp; Loeb LLP.</w:t>
              </w:r>
            </w:hyperlink>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1010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Consent of WithumSmith+Brown, PC</w:t>
              </w:r>
            </w:hyperlink>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Consent of Loeb &amp; Loeb LLP (included in Exhibit 5.1).</w:t>
              </w:r>
            </w:hyperlink>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on the 2nd day of September, 2020.</w:t>
      </w:r>
    </w:p>
    <w:p>
      <w:pPr>
        <w:spacing w:after="0" w:line="1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2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Name:Aaron I. Davis</w:t>
      </w:r>
    </w:p>
    <w:p>
      <w:pPr>
        <w:spacing w:after="0" w:line="3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Amendment No. 1 to the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48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Aaron I. Davis</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Beauchamp</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Michael Beauchamp</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Fuglesang</w:t>
            </w:r>
          </w:p>
        </w:tc>
        <w:tc>
          <w:tcPr>
            <w:tcW w:w="140" w:type="dxa"/>
            <w:vAlign w:val="bottom"/>
          </w:tcPr>
          <w:p>
            <w:pPr>
              <w:spacing w:after="0"/>
              <w:rPr>
                <w:sz w:val="24"/>
                <w:szCs w:val="24"/>
                <w:color w:val="auto"/>
              </w:rPr>
            </w:pPr>
          </w:p>
        </w:tc>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Fuglesang</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L. Nuechterlein</w:t>
            </w:r>
          </w:p>
        </w:tc>
        <w:tc>
          <w:tcPr>
            <w:tcW w:w="140" w:type="dxa"/>
            <w:vAlign w:val="bottom"/>
          </w:tcPr>
          <w:p>
            <w:pPr>
              <w:spacing w:after="0"/>
              <w:rPr>
                <w:sz w:val="24"/>
                <w:szCs w:val="24"/>
                <w:color w:val="auto"/>
              </w:rPr>
            </w:pPr>
          </w:p>
        </w:tc>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Carole L. Nuechterlein</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Heyman</w:t>
            </w:r>
          </w:p>
        </w:tc>
        <w:tc>
          <w:tcPr>
            <w:tcW w:w="140" w:type="dxa"/>
            <w:vAlign w:val="bottom"/>
          </w:tcPr>
          <w:p>
            <w:pPr>
              <w:spacing w:after="0"/>
              <w:rPr>
                <w:sz w:val="24"/>
                <w:szCs w:val="24"/>
                <w:color w:val="auto"/>
              </w:rPr>
            </w:pPr>
          </w:p>
        </w:tc>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Richard Heyman</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 Baum</w:t>
            </w:r>
          </w:p>
        </w:tc>
        <w:tc>
          <w:tcPr>
            <w:tcW w:w="140" w:type="dxa"/>
            <w:vAlign w:val="bottom"/>
          </w:tcPr>
          <w:p>
            <w:pPr>
              <w:spacing w:after="0"/>
              <w:rPr>
                <w:sz w:val="24"/>
                <w:szCs w:val="24"/>
                <w:color w:val="auto"/>
              </w:rPr>
            </w:pPr>
          </w:p>
        </w:tc>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Jamie G. Christensen</w:t>
            </w:r>
          </w:p>
        </w:tc>
        <w:tc>
          <w:tcPr>
            <w:tcW w:w="140" w:type="dxa"/>
            <w:vAlign w:val="bottom"/>
          </w:tcPr>
          <w:p>
            <w:pPr>
              <w:spacing w:after="0"/>
              <w:rPr>
                <w:sz w:val="24"/>
                <w:szCs w:val="24"/>
                <w:color w:val="auto"/>
              </w:rPr>
            </w:pPr>
          </w:p>
        </w:tc>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Jamie G. Christensen</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II-2</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57250"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&amp; L</w:t>
      </w:r>
      <w:r>
        <w:rPr>
          <w:rFonts w:ascii="Times New Roman" w:cs="Times New Roman" w:eastAsia="Times New Roman" w:hAnsi="Times New Roman"/>
          <w:sz w:val="12"/>
          <w:szCs w:val="12"/>
          <w:b w:val="1"/>
          <w:bCs w:val="1"/>
          <w:color w:val="auto"/>
        </w:rPr>
        <w:t>OEB</w:t>
      </w:r>
      <w:r>
        <w:rPr>
          <w:rFonts w:ascii="Times New Roman" w:cs="Times New Roman" w:eastAsia="Times New Roman" w:hAnsi="Times New Roman"/>
          <w:sz w:val="18"/>
          <w:szCs w:val="18"/>
          <w:b w:val="1"/>
          <w:bCs w:val="1"/>
          <w:color w:val="auto"/>
        </w:rPr>
        <w:t xml:space="preserve"> LLP</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345 Park Avenue</w:t>
      </w:r>
    </w:p>
    <w:p>
      <w:pPr>
        <w:spacing w:after="0" w:line="27" w:lineRule="exact"/>
        <w:rPr>
          <w:sz w:val="20"/>
          <w:szCs w:val="20"/>
          <w:color w:val="auto"/>
        </w:rPr>
      </w:pPr>
    </w:p>
    <w:p>
      <w:pPr>
        <w:ind w:left="4620"/>
        <w:spacing w:after="0"/>
        <w:tabs>
          <w:tab w:leader="none" w:pos="7860" w:val="left"/>
          <w:tab w:leader="none" w:pos="8980" w:val="left"/>
        </w:tabs>
        <w:rPr>
          <w:sz w:val="20"/>
          <w:szCs w:val="20"/>
          <w:color w:val="auto"/>
        </w:rPr>
      </w:pPr>
      <w:r>
        <w:rPr>
          <w:rFonts w:ascii="Times New Roman" w:cs="Times New Roman" w:eastAsia="Times New Roman" w:hAnsi="Times New Roman"/>
          <w:sz w:val="18"/>
          <w:szCs w:val="18"/>
          <w:color w:val="auto"/>
        </w:rPr>
        <w:t>New York, NY 10154-1895</w:t>
      </w:r>
      <w:r>
        <w:rPr>
          <w:sz w:val="20"/>
          <w:szCs w:val="20"/>
          <w:color w:val="auto"/>
        </w:rPr>
        <w:tab/>
      </w:r>
      <w:r>
        <w:rPr>
          <w:rFonts w:ascii="Times New Roman" w:cs="Times New Roman" w:eastAsia="Times New Roman" w:hAnsi="Times New Roman"/>
          <w:sz w:val="18"/>
          <w:szCs w:val="18"/>
          <w:b w:val="1"/>
          <w:bCs w:val="1"/>
          <w:color w:val="auto"/>
        </w:rPr>
        <w:t>Main</w:t>
      </w:r>
      <w:r>
        <w:rPr>
          <w:sz w:val="20"/>
          <w:szCs w:val="20"/>
          <w:color w:val="auto"/>
        </w:rPr>
        <w:tab/>
      </w:r>
      <w:r>
        <w:rPr>
          <w:rFonts w:ascii="Times New Roman" w:cs="Times New Roman" w:eastAsia="Times New Roman" w:hAnsi="Times New Roman"/>
          <w:sz w:val="17"/>
          <w:szCs w:val="17"/>
          <w:color w:val="auto"/>
        </w:rPr>
        <w:t>212.407.4000</w:t>
      </w:r>
    </w:p>
    <w:p>
      <w:pPr>
        <w:spacing w:after="0" w:line="9" w:lineRule="exact"/>
        <w:rPr>
          <w:sz w:val="20"/>
          <w:szCs w:val="20"/>
          <w:color w:val="auto"/>
        </w:rPr>
      </w:pPr>
    </w:p>
    <w:p>
      <w:pPr>
        <w:ind w:left="788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Fax</w:t>
      </w:r>
      <w:r>
        <w:rPr>
          <w:sz w:val="20"/>
          <w:szCs w:val="20"/>
          <w:color w:val="auto"/>
        </w:rPr>
        <w:tab/>
      </w:r>
      <w:r>
        <w:rPr>
          <w:rFonts w:ascii="Times New Roman" w:cs="Times New Roman" w:eastAsia="Times New Roman" w:hAnsi="Times New Roman"/>
          <w:sz w:val="18"/>
          <w:szCs w:val="18"/>
          <w:color w:val="auto"/>
        </w:rPr>
        <w:t>212.407.4990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BCTG Acquisition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We have acted as counsel to BCTG Acquisition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of the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with the Securities and Exchange Commission. The Registration Statement relates to an underwritten public offering and sale of (i) 2,000,000 shares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up to 300,000 Shares (the “</w:t>
      </w:r>
      <w:r>
        <w:rPr>
          <w:rFonts w:ascii="Times New Roman" w:cs="Times New Roman" w:eastAsia="Times New Roman" w:hAnsi="Times New Roman"/>
          <w:sz w:val="18"/>
          <w:szCs w:val="18"/>
          <w:b w:val="1"/>
          <w:bCs w:val="1"/>
          <w:color w:val="auto"/>
        </w:rPr>
        <w:t>Over-Allotment Shares</w:t>
      </w:r>
      <w:r>
        <w:rPr>
          <w:rFonts w:ascii="Times New Roman" w:cs="Times New Roman" w:eastAsia="Times New Roman" w:hAnsi="Times New Roman"/>
          <w:sz w:val="18"/>
          <w:szCs w:val="18"/>
          <w:color w:val="auto"/>
        </w:rPr>
        <w:t>”) for which the underwriters have been granted an over-allotment option.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the Company’s Amended and Restated Certificate of Incorporation and Bylaws, and such other documents, records and instruments as we have deemed appropriate for purposes of the opinion set forth herein. We have, to the extent deemed appropriate, relied upon certain representations of certain officers of the Company, as to questions of fact material to this opinion.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and Over-Allotment Shares have been duly authorized by the Company and, when issued and sold by the Company and delivered by the Company against receipt of the purchase price therefor, in the manner contemplated by the Registration Statement,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opining solely on all applicable statutory provisions of Delaware corporate law, including the rules and regulations underlying those provisions, all applicable provisions of the Constitution of the State of Delaware and all applicable judicial and regulatory determinations. No opinion is expressed herein as to compliance with or the effect of federal or state securities or blue sky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to the use of our name as your U.S.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ectPr>
          <w:pgSz w:w="11900" w:h="16838" w:orient="portrait"/>
          <w:cols w:equalWidth="0" w:num="1">
            <w:col w:w="11240"/>
          </w:cols>
          <w:pgMar w:left="320" w:top="117"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our report dated July 30, 2020, relating to the balance sheet of BCTG Acquisition Corp. as of June 30, 2020, and the related statements of operations, changes in stockholder’s equity and cash flows for the period from May 21, 2020 (inception) through June 30, 2020, appearing in the Registration Statement on Form S-1, File No. 333-240237.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2020-09-02T21:00:37Z</dcterms:created>
  <dcterms:modified xsi:type="dcterms:W3CDTF">2020-09-02T21:00:37Z</dcterms:modified>
</cp:coreProperties>
</file>