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2195830</wp:posOffset>
            </wp:positionH>
            <wp:positionV relativeFrom="page">
              <wp:posOffset>1202690</wp:posOffset>
            </wp:positionV>
            <wp:extent cx="3382010" cy="1353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382010" cy="1353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580"/>
        <w:spacing w:after="0"/>
        <w:rPr>
          <w:sz w:val="20"/>
          <w:szCs w:val="20"/>
          <w:color w:val="auto"/>
        </w:rPr>
      </w:pPr>
      <w:r>
        <w:rPr>
          <w:rFonts w:ascii="Calibri" w:cs="Calibri" w:eastAsia="Calibri" w:hAnsi="Calibri"/>
          <w:sz w:val="22"/>
          <w:szCs w:val="22"/>
          <w:color w:val="auto"/>
        </w:rPr>
        <w:t>Tango Therapeutics, Inc.</w:t>
      </w:r>
    </w:p>
    <w:p>
      <w:pPr>
        <w:spacing w:after="0" w:line="185" w:lineRule="exact"/>
        <w:rPr>
          <w:sz w:val="24"/>
          <w:szCs w:val="24"/>
          <w:color w:val="auto"/>
        </w:rPr>
      </w:pPr>
    </w:p>
    <w:p>
      <w:pPr>
        <w:ind w:left="3060"/>
        <w:spacing w:after="0"/>
        <w:rPr>
          <w:sz w:val="20"/>
          <w:szCs w:val="20"/>
          <w:color w:val="auto"/>
        </w:rPr>
      </w:pPr>
      <w:r>
        <w:rPr>
          <w:rFonts w:ascii="Calibri" w:cs="Calibri" w:eastAsia="Calibri" w:hAnsi="Calibri"/>
          <w:sz w:val="22"/>
          <w:szCs w:val="22"/>
          <w:color w:val="auto"/>
        </w:rPr>
        <w:t>2024 Annual Report to Stockholders</w:t>
      </w:r>
    </w:p>
    <w:p>
      <w:pPr>
        <w:sectPr>
          <w:pgSz w:w="12240" w:h="15840" w:orient="portrait"/>
          <w:cols w:equalWidth="0" w:num="1">
            <w:col w:w="9360"/>
          </w:cols>
          <w:pgMar w:left="1440" w:top="1440" w:right="1440" w:bottom="1440" w:gutter="0" w:footer="0" w:header="0"/>
        </w:sectPr>
      </w:pPr>
    </w:p>
    <w:bookmarkStart w:id="1" w:name="page2"/>
    <w:bookmarkEnd w:id="1"/>
    <w:p>
      <w:pPr>
        <w:spacing w:after="0" w:line="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667385</wp:posOffset>
                </wp:positionH>
                <wp:positionV relativeFrom="page">
                  <wp:posOffset>834390</wp:posOffset>
                </wp:positionV>
                <wp:extent cx="68948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5pt,65.7pt" to="595.45pt,65.7pt" o:allowincell="f" strokecolor="#00000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667385</wp:posOffset>
                </wp:positionH>
                <wp:positionV relativeFrom="page">
                  <wp:posOffset>847090</wp:posOffset>
                </wp:positionV>
                <wp:extent cx="68948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55pt,66.7pt" to="595.45pt,66.7pt" o:allowincell="f" strokecolor="#000000" strokeweight="0.5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57150</wp:posOffset>
                </wp:positionV>
                <wp:extent cx="140843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5pt" to="325.45pt,4.5pt" o:allowincell="f" strokecolor="#000000" strokeweight="1pt"/>
            </w:pict>
          </mc:Fallback>
        </mc:AlternateConten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89535</wp:posOffset>
                </wp:positionV>
                <wp:extent cx="14084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7.05pt" to="325.45pt,7.05pt" o:allowincell="f" strokecolor="#000000" strokeweight="1pt"/>
            </w:pict>
          </mc:Fallback>
        </mc:AlternateConten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 w:lineRule="exact"/>
        <w:rPr>
          <w:sz w:val="20"/>
          <w:szCs w:val="20"/>
          <w:color w:val="auto"/>
        </w:rPr>
      </w:pPr>
    </w:p>
    <w:p>
      <w:pPr>
        <w:ind w:left="440" w:hanging="426"/>
        <w:spacing w:after="0"/>
        <w:tabs>
          <w:tab w:leader="none" w:pos="440" w:val="left"/>
        </w:tabs>
        <w:numPr>
          <w:ilvl w:val="0"/>
          <w:numId w:val="1"/>
        </w:numPr>
        <w:rPr>
          <w:rFonts w:ascii="MS PGothic" w:cs="MS PGothic" w:eastAsia="MS PGothic" w:hAnsi="MS PGothic"/>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0" w:lineRule="exact"/>
        <w:rPr>
          <w:sz w:val="20"/>
          <w:szCs w:val="20"/>
          <w:color w:val="auto"/>
        </w:rPr>
      </w:pPr>
    </w:p>
    <w:p>
      <w:pPr>
        <w:ind w:left="440" w:hanging="426"/>
        <w:spacing w:after="0"/>
        <w:tabs>
          <w:tab w:leader="none" w:pos="440" w:val="left"/>
        </w:tabs>
        <w:numPr>
          <w:ilvl w:val="0"/>
          <w:numId w:val="2"/>
        </w:numPr>
        <w:rPr>
          <w:rFonts w:ascii="MS PGothic" w:cs="MS PGothic" w:eastAsia="MS PGothic" w:hAnsi="MS PGothic"/>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39" w:lineRule="exact"/>
        <w:rPr>
          <w:sz w:val="20"/>
          <w:szCs w:val="20"/>
          <w:color w:val="auto"/>
        </w:rPr>
      </w:pPr>
    </w:p>
    <w:p>
      <w:pPr>
        <w:ind w:left="440"/>
        <w:spacing w:after="0"/>
        <w:tabs>
          <w:tab w:leader="none" w:pos="39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001-39485</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TANGO THERAPEUTICS,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-293370</wp:posOffset>
                </wp:positionV>
                <wp:extent cx="14084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23.0999pt" to="325.45pt,-23.0999pt" o:allowincell="f" strokecolor="#000000" strokeweight="1pt"/>
            </w:pict>
          </mc:Fallback>
        </mc:AlternateConten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57785</wp:posOffset>
                </wp:positionV>
                <wp:extent cx="14084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4.55pt" to="325.45pt,4.55pt" o:allowincell="f" strokecolor="#000000" strokeweight="1pt"/>
            </w:pict>
          </mc:Fallback>
        </mc:AlternateContent>
      </w:r>
    </w:p>
    <w:p>
      <w:pPr>
        <w:sectPr>
          <w:pgSz w:w="12960" w:h="16560" w:orient="portrait"/>
          <w:cols w:equalWidth="0" w:num="1">
            <w:col w:w="10800"/>
          </w:cols>
          <w:pgMar w:left="1080" w:top="1440" w:right="1080" w:bottom="859" w:gutter="0" w:footer="0" w:header="0"/>
        </w:sectPr>
      </w:pPr>
    </w:p>
    <w:p>
      <w:pPr>
        <w:spacing w:after="0" w:line="147"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85-1195036</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 w:lineRule="exact"/>
        <w:rPr>
          <w:sz w:val="20"/>
          <w:szCs w:val="20"/>
          <w:color w:val="auto"/>
        </w:rPr>
      </w:pPr>
    </w:p>
    <w:p>
      <w:pPr>
        <w:sectPr>
          <w:pgSz w:w="12960" w:h="16560" w:orient="portrait"/>
          <w:cols w:equalWidth="0" w:num="2">
            <w:col w:w="6820" w:space="720"/>
            <w:col w:w="3260"/>
          </w:cols>
          <w:pgMar w:left="1080" w:top="1440" w:right="1080" w:bottom="859" w:gutter="0" w:footer="0" w:header="0"/>
          <w:type w:val="continuous"/>
        </w:sectPr>
      </w:pPr>
    </w:p>
    <w:p>
      <w:pPr>
        <w:ind w:left="1440"/>
        <w:spacing w:after="0"/>
        <w:rPr>
          <w:sz w:val="20"/>
          <w:szCs w:val="20"/>
          <w:color w:val="auto"/>
        </w:rPr>
      </w:pPr>
      <w:r>
        <w:rPr>
          <w:rFonts w:ascii="Times New Roman" w:cs="Times New Roman" w:eastAsia="Times New Roman" w:hAnsi="Times New Roman"/>
          <w:sz w:val="20"/>
          <w:szCs w:val="20"/>
          <w:b w:val="1"/>
          <w:bCs w:val="1"/>
          <w:color w:val="auto"/>
        </w:rPr>
        <w:t>201 Brookline Ave., Suite 901</w:t>
      </w:r>
    </w:p>
    <w:p>
      <w:pPr>
        <w:ind w:left="2180"/>
        <w:spacing w:after="0" w:line="237" w:lineRule="auto"/>
        <w:tabs>
          <w:tab w:leader="none" w:pos="7820" w:val="left"/>
        </w:tabs>
        <w:rPr>
          <w:sz w:val="20"/>
          <w:szCs w:val="20"/>
          <w:color w:val="auto"/>
        </w:rPr>
      </w:pPr>
      <w:r>
        <w:rPr>
          <w:rFonts w:ascii="Times New Roman" w:cs="Times New Roman" w:eastAsia="Times New Roman" w:hAnsi="Times New Roman"/>
          <w:sz w:val="20"/>
          <w:szCs w:val="20"/>
          <w:b w:val="1"/>
          <w:bCs w:val="1"/>
          <w:color w:val="auto"/>
        </w:rPr>
        <w:t>Boston, MA</w:t>
      </w:r>
      <w:r>
        <w:rPr>
          <w:sz w:val="20"/>
          <w:szCs w:val="20"/>
          <w:color w:val="auto"/>
        </w:rPr>
        <w:tab/>
      </w:r>
      <w:r>
        <w:rPr>
          <w:rFonts w:ascii="Times New Roman" w:cs="Times New Roman" w:eastAsia="Times New Roman" w:hAnsi="Times New Roman"/>
          <w:sz w:val="20"/>
          <w:szCs w:val="20"/>
          <w:b w:val="1"/>
          <w:bCs w:val="1"/>
          <w:color w:val="auto"/>
        </w:rPr>
        <w:t>02215</w:t>
      </w:r>
    </w:p>
    <w:p>
      <w:pPr>
        <w:ind w:left="1540"/>
        <w:spacing w:after="0"/>
        <w:tabs>
          <w:tab w:leader="none" w:pos="774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20"/>
          <w:szCs w:val="20"/>
          <w:b w:val="1"/>
          <w:bCs w:val="1"/>
          <w:color w:val="auto"/>
        </w:rPr>
        <w:t>(857) 320-4900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77470</wp:posOffset>
                </wp:positionV>
                <wp:extent cx="14084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1pt" to="325.45pt,6.1pt" o:allowincell="f" strokecolor="#000000" strokeweight="1pt"/>
            </w:pict>
          </mc:Fallback>
        </mc:AlternateConten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00" w:type="dxa"/>
            <w:vAlign w:val="bottom"/>
          </w:tcPr>
          <w:p>
            <w:pPr>
              <w:spacing w:after="0"/>
              <w:rPr>
                <w:sz w:val="16"/>
                <w:szCs w:val="16"/>
                <w:color w:val="auto"/>
              </w:rPr>
            </w:pPr>
          </w:p>
        </w:tc>
        <w:tc>
          <w:tcPr>
            <w:tcW w:w="4320" w:type="dxa"/>
            <w:vAlign w:val="bottom"/>
          </w:tcPr>
          <w:p>
            <w:pPr>
              <w:spacing w:after="0"/>
              <w:rPr>
                <w:sz w:val="16"/>
                <w:szCs w:val="16"/>
                <w:color w:val="auto"/>
              </w:rPr>
            </w:pPr>
          </w:p>
        </w:tc>
      </w:tr>
      <w:tr>
        <w:trPr>
          <w:trHeight w:val="203"/>
        </w:trPr>
        <w:tc>
          <w:tcPr>
            <w:tcW w:w="43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Borders>
              <w:bottom w:val="single" w:sz="8" w:color="FEFEFE"/>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Borders>
              <w:bottom w:val="single" w:sz="8" w:color="FEFEFE"/>
            </w:tcBorders>
          </w:tcPr>
          <w:p>
            <w:pPr>
              <w:spacing w:after="0"/>
              <w:rPr>
                <w:sz w:val="17"/>
                <w:szCs w:val="17"/>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56"/>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par value $0.001 per share</w:t>
            </w:r>
          </w:p>
        </w:tc>
        <w:tc>
          <w:tcPr>
            <w:tcW w:w="10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TNGX</w:t>
            </w:r>
          </w:p>
        </w:tc>
        <w:tc>
          <w:tcPr>
            <w:tcW w:w="10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Nasdaq Global Market</w:t>
            </w:r>
          </w:p>
        </w:tc>
      </w:tr>
      <w:tr>
        <w:trPr>
          <w:trHeight w:val="212"/>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tcPr>
          <w:p>
            <w:pPr>
              <w:spacing w:after="0"/>
              <w:rPr>
                <w:sz w:val="18"/>
                <w:szCs w:val="18"/>
                <w:color w:val="auto"/>
              </w:rPr>
            </w:pPr>
          </w:p>
        </w:tc>
      </w:tr>
    </w:tbl>
    <w:p>
      <w:pPr>
        <w:spacing w:after="0" w:line="28" w:lineRule="exact"/>
        <w:rPr>
          <w:sz w:val="20"/>
          <w:szCs w:val="20"/>
          <w:color w:val="auto"/>
        </w:rPr>
      </w:pPr>
    </w:p>
    <w:p>
      <w:pPr>
        <w:ind w:right="2640"/>
        <w:spacing w:after="0" w:line="312" w:lineRule="auto"/>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15(d) of the Act.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40" w:type="dxa"/>
            <w:vAlign w:val="bottom"/>
          </w:tcPr>
          <w:p>
            <w:pPr>
              <w:ind w:left="400"/>
              <w:spacing w:after="0"/>
              <w:rPr>
                <w:sz w:val="20"/>
                <w:szCs w:val="20"/>
                <w:color w:val="auto"/>
              </w:rPr>
            </w:pPr>
            <w:r>
              <w:rPr>
                <w:rFonts w:ascii="Segoe UI Symbol" w:cs="Segoe UI Symbol" w:eastAsia="Segoe UI Symbol" w:hAnsi="Segoe UI Symbol"/>
                <w:sz w:val="15"/>
                <w:szCs w:val="15"/>
                <w:color w:val="auto"/>
              </w:rPr>
              <w:t>☒</w:t>
            </w:r>
          </w:p>
        </w:tc>
        <w:tc>
          <w:tcPr>
            <w:tcW w:w="498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440" w:type="dxa"/>
            <w:vAlign w:val="bottom"/>
          </w:tcPr>
          <w:p>
            <w:pPr>
              <w:ind w:left="320"/>
              <w:spacing w:after="0"/>
              <w:rPr>
                <w:sz w:val="20"/>
                <w:szCs w:val="20"/>
                <w:color w:val="auto"/>
              </w:rPr>
            </w:pPr>
            <w:r>
              <w:rPr>
                <w:rFonts w:ascii="Segoe UI Symbol" w:cs="Segoe UI Symbol" w:eastAsia="Segoe UI Symbol" w:hAnsi="Segoe UI Symbol"/>
                <w:sz w:val="15"/>
                <w:szCs w:val="15"/>
                <w:color w:val="auto"/>
                <w:w w:val="77"/>
              </w:rPr>
              <w:t>☐</w:t>
            </w:r>
          </w:p>
        </w:tc>
      </w:tr>
      <w:tr>
        <w:trPr>
          <w:trHeight w:val="400"/>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40" w:type="dxa"/>
            <w:vAlign w:val="bottom"/>
          </w:tcPr>
          <w:p>
            <w:pPr>
              <w:ind w:left="400"/>
              <w:spacing w:after="0"/>
              <w:rPr>
                <w:sz w:val="20"/>
                <w:szCs w:val="20"/>
                <w:color w:val="auto"/>
              </w:rPr>
            </w:pPr>
            <w:r>
              <w:rPr>
                <w:rFonts w:ascii="Segoe UI Symbol" w:cs="Segoe UI Symbol" w:eastAsia="Segoe UI Symbol" w:hAnsi="Segoe UI Symbol"/>
                <w:sz w:val="15"/>
                <w:szCs w:val="15"/>
                <w:color w:val="auto"/>
              </w:rPr>
              <w:t>☐</w:t>
            </w:r>
          </w:p>
        </w:tc>
        <w:tc>
          <w:tcPr>
            <w:tcW w:w="498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40" w:type="dxa"/>
            <w:vAlign w:val="bottom"/>
          </w:tcPr>
          <w:p>
            <w:pPr>
              <w:ind w:left="320"/>
              <w:spacing w:after="0"/>
              <w:rPr>
                <w:sz w:val="20"/>
                <w:szCs w:val="20"/>
                <w:color w:val="auto"/>
              </w:rPr>
            </w:pPr>
            <w:r>
              <w:rPr>
                <w:rFonts w:ascii="Segoe UI Symbol" w:cs="Segoe UI Symbol" w:eastAsia="Segoe UI Symbol" w:hAnsi="Segoe UI Symbol"/>
                <w:sz w:val="15"/>
                <w:szCs w:val="15"/>
                <w:color w:val="auto"/>
                <w:w w:val="77"/>
              </w:rPr>
              <w:t>☐</w:t>
            </w:r>
          </w:p>
        </w:tc>
      </w:tr>
      <w:tr>
        <w:trPr>
          <w:trHeight w:val="400"/>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8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Emerging growth company</w:t>
            </w:r>
          </w:p>
        </w:tc>
        <w:tc>
          <w:tcPr>
            <w:tcW w:w="440" w:type="dxa"/>
            <w:vAlign w:val="bottom"/>
          </w:tcPr>
          <w:p>
            <w:pPr>
              <w:ind w:left="320"/>
              <w:spacing w:after="0"/>
              <w:rPr>
                <w:sz w:val="20"/>
                <w:szCs w:val="20"/>
                <w:color w:val="auto"/>
              </w:rPr>
            </w:pPr>
            <w:r>
              <w:rPr>
                <w:rFonts w:ascii="Segoe UI Symbol" w:cs="Segoe UI Symbol" w:eastAsia="Segoe UI Symbol" w:hAnsi="Segoe UI Symbol"/>
                <w:sz w:val="15"/>
                <w:szCs w:val="15"/>
                <w:color w:val="auto"/>
                <w:w w:val="77"/>
              </w:rPr>
              <w:t>☐</w:t>
            </w:r>
          </w:p>
        </w:tc>
      </w:tr>
    </w:tbl>
    <w:p>
      <w:pPr>
        <w:spacing w:after="0" w:line="129"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152"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119" w:lineRule="exact"/>
        <w:rPr>
          <w:sz w:val="20"/>
          <w:szCs w:val="20"/>
          <w:color w:val="auto"/>
        </w:rPr>
      </w:pPr>
    </w:p>
    <w:p>
      <w:pPr>
        <w:ind w:right="700"/>
        <w:spacing w:after="0" w:line="292"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152" w:lineRule="exact"/>
        <w:rPr>
          <w:sz w:val="20"/>
          <w:szCs w:val="20"/>
          <w:color w:val="auto"/>
        </w:rPr>
      </w:pPr>
    </w:p>
    <w:p>
      <w:pPr>
        <w:spacing w:after="0"/>
        <w:tabs>
          <w:tab w:leader="none" w:pos="756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Segoe UI Symbol" w:cs="Segoe UI Symbol" w:eastAsia="Segoe UI Symbol" w:hAnsi="Segoe UI Symbol"/>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Segoe UI Symbol" w:cs="Segoe UI Symbol" w:eastAsia="Segoe UI Symbol" w:hAnsi="Segoe UI Symbol"/>
          <w:sz w:val="14"/>
          <w:szCs w:val="14"/>
          <w:color w:val="auto"/>
        </w:rPr>
        <w:t>☒</w:t>
      </w:r>
    </w:p>
    <w:p>
      <w:pPr>
        <w:spacing w:after="0" w:line="60"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5"/>
          <w:szCs w:val="15"/>
          <w:color w:val="auto"/>
        </w:rPr>
        <w:t>As of June 28, 2024,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LLC on June 28, 2024, was approximately $855.1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February 19, 2025, the registrant had 108,107,890 shares of common stock, $0.001 par value per share, outstanding.</w:t>
      </w:r>
    </w:p>
    <w:p>
      <w:pPr>
        <w:sectPr>
          <w:pgSz w:w="12960" w:h="16560" w:orient="portrait"/>
          <w:cols w:equalWidth="0" w:num="1">
            <w:col w:w="10800"/>
          </w:cols>
          <w:pgMar w:left="1080" w:top="1440" w:right="1080" w:bottom="859"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1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The registrant's definitive proxy statement relating to the annual meeting of shareholders will be filed with the Securities and Exchange Commission within 120 days after the close of the registrant's fiscal year ended December 31, 2024 and is incorporated by reference in Part III to the extent described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ectPr>
          <w:pgSz w:w="12960" w:h="16560" w:orient="portrait"/>
          <w:cols w:equalWidth="0" w:num="1">
            <w:col w:w="10800"/>
          </w:cols>
          <w:pgMar w:left="1080" w:top="1292" w:right="108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980" w:type="dxa"/>
            <w:vAlign w:val="bottom"/>
          </w:tcPr>
          <w:p>
            <w:pPr>
              <w:spacing w:after="0"/>
              <w:rPr>
                <w:sz w:val="23"/>
                <w:szCs w:val="23"/>
                <w:color w:val="auto"/>
              </w:rPr>
            </w:pPr>
          </w:p>
        </w:tc>
        <w:tc>
          <w:tcPr>
            <w:tcW w:w="8400" w:type="dxa"/>
            <w:vAlign w:val="bottom"/>
          </w:tcPr>
          <w:p>
            <w:pPr>
              <w:ind w:left="33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400" w:type="dxa"/>
            <w:vAlign w:val="bottom"/>
          </w:tcPr>
          <w:p>
            <w:pPr>
              <w:spacing w:after="0"/>
              <w:rPr>
                <w:sz w:val="24"/>
                <w:szCs w:val="24"/>
                <w:color w:val="auto"/>
              </w:rPr>
            </w:pPr>
          </w:p>
        </w:tc>
        <w:tc>
          <w:tcPr>
            <w:tcW w:w="7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26"/>
        </w:trPr>
        <w:tc>
          <w:tcPr>
            <w:tcW w:w="980" w:type="dxa"/>
            <w:vAlign w:val="bottom"/>
            <w:vMerge w:val="continue"/>
          </w:tcPr>
          <w:p>
            <w:pPr>
              <w:spacing w:after="0"/>
              <w:rPr>
                <w:sz w:val="19"/>
                <w:szCs w:val="19"/>
                <w:color w:val="auto"/>
              </w:rPr>
            </w:pPr>
          </w:p>
        </w:tc>
        <w:tc>
          <w:tcPr>
            <w:tcW w:w="8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Business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1A.</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1B.</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1C</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Cybersecurity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2.</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Properties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3.</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66"/>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4.</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469"/>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5.</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6.</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7A.</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8.</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9A.</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9B.</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66"/>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9C.</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469"/>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10.</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11.</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12.</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13.</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66"/>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14.</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469"/>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15.</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30"/>
        </w:trPr>
        <w:tc>
          <w:tcPr>
            <w:tcW w:w="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16.</w:t>
            </w:r>
          </w:p>
        </w:tc>
        <w:tc>
          <w:tcPr>
            <w:tcW w:w="8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10-K Summary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6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 </w:t>
            </w:r>
          </w:p>
        </w:tc>
        <w:tc>
          <w:tcPr>
            <w:tcW w:w="8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-5118100</wp:posOffset>
            </wp:positionV>
            <wp:extent cx="6426200" cy="4975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extLst>
                    </a:blip>
                    <a:srcRect/>
                    <a:stretch>
                      <a:fillRect/>
                    </a:stretch>
                  </pic:blipFill>
                  <pic:spPr bwMode="auto">
                    <a:xfrm>
                      <a:off x="0" y="0"/>
                      <a:ext cx="6426200" cy="4975225"/>
                    </a:xfrm>
                    <a:prstGeom prst="rect">
                      <a:avLst/>
                    </a:prstGeom>
                    <a:noFill/>
                  </pic:spPr>
                </pic:pic>
              </a:graphicData>
            </a:graphic>
          </wp:anchor>
        </w:drawing>
      </w:r>
    </w:p>
    <w:p>
      <w:pPr>
        <w:sectPr>
          <w:pgSz w:w="12960" w:h="16560" w:orient="portrait"/>
          <w:cols w:equalWidth="0" w:num="1">
            <w:col w:w="10080"/>
          </w:cols>
          <w:pgMar w:left="1440" w:top="1416"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Summary of Material Risks Associated with Our Business</w:t>
      </w:r>
    </w:p>
    <w:p>
      <w:pPr>
        <w:spacing w:after="0" w:line="244" w:lineRule="exact"/>
        <w:rPr>
          <w:sz w:val="20"/>
          <w:szCs w:val="20"/>
          <w:color w:val="auto"/>
        </w:rPr>
      </w:pPr>
    </w:p>
    <w:p>
      <w:pPr>
        <w:ind w:right="140" w:firstLine="562"/>
        <w:spacing w:after="0" w:line="252" w:lineRule="auto"/>
        <w:rPr>
          <w:sz w:val="20"/>
          <w:szCs w:val="20"/>
          <w:color w:val="auto"/>
        </w:rPr>
      </w:pPr>
      <w:r>
        <w:rPr>
          <w:rFonts w:ascii="Times New Roman" w:cs="Times New Roman" w:eastAsia="Times New Roman" w:hAnsi="Times New Roman"/>
          <w:sz w:val="20"/>
          <w:szCs w:val="20"/>
          <w:color w:val="auto"/>
        </w:rPr>
        <w:t>Our business is subject to numerous material and other risks that you should be aware of before making an investment decision with respect to our securities. These risks are described more fully in Part I, Item 1A of this Annual Report on Form 10-K entitled “Risk Factors.” These risks include, among others, the following (which is not an exhaustive list of all such risks):</w:t>
      </w:r>
    </w:p>
    <w:p>
      <w:pPr>
        <w:spacing w:after="0" w:line="198" w:lineRule="exact"/>
        <w:rPr>
          <w:sz w:val="20"/>
          <w:szCs w:val="20"/>
          <w:color w:val="auto"/>
        </w:rPr>
      </w:pPr>
    </w:p>
    <w:p>
      <w:pPr>
        <w:ind w:left="720" w:right="80" w:hanging="302"/>
        <w:spacing w:after="0" w:line="25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97" w:lineRule="exact"/>
        <w:rPr>
          <w:rFonts w:ascii="Times New Roman" w:cs="Times New Roman" w:eastAsia="Times New Roman" w:hAnsi="Times New Roman"/>
          <w:sz w:val="20"/>
          <w:szCs w:val="20"/>
          <w:color w:val="auto"/>
        </w:rPr>
      </w:pPr>
    </w:p>
    <w:p>
      <w:pPr>
        <w:ind w:left="720" w:right="60" w:hanging="302"/>
        <w:spacing w:after="0" w:line="305" w:lineRule="auto"/>
        <w:tabs>
          <w:tab w:leader="none" w:pos="7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48" w:lineRule="exact"/>
        <w:rPr>
          <w:rFonts w:ascii="Times New Roman" w:cs="Times New Roman" w:eastAsia="Times New Roman" w:hAnsi="Times New Roman"/>
          <w:sz w:val="19"/>
          <w:szCs w:val="19"/>
          <w:color w:val="auto"/>
        </w:rPr>
      </w:pPr>
    </w:p>
    <w:p>
      <w:pPr>
        <w:ind w:left="720" w:right="20" w:hanging="302"/>
        <w:spacing w:after="0" w:line="25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97" w:lineRule="exact"/>
        <w:rPr>
          <w:rFonts w:ascii="Times New Roman" w:cs="Times New Roman" w:eastAsia="Times New Roman" w:hAnsi="Times New Roman"/>
          <w:sz w:val="20"/>
          <w:szCs w:val="20"/>
          <w:color w:val="auto"/>
        </w:rPr>
      </w:pPr>
    </w:p>
    <w:p>
      <w:pPr>
        <w:ind w:left="720" w:right="200" w:hanging="302"/>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92" w:lineRule="exact"/>
        <w:rPr>
          <w:rFonts w:ascii="Times New Roman" w:cs="Times New Roman" w:eastAsia="Times New Roman" w:hAnsi="Times New Roman"/>
          <w:sz w:val="20"/>
          <w:szCs w:val="20"/>
          <w:color w:val="auto"/>
        </w:rPr>
      </w:pPr>
    </w:p>
    <w:p>
      <w:pPr>
        <w:ind w:left="720" w:right="340" w:hanging="302"/>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92" w:lineRule="exact"/>
        <w:rPr>
          <w:rFonts w:ascii="Times New Roman" w:cs="Times New Roman" w:eastAsia="Times New Roman" w:hAnsi="Times New Roman"/>
          <w:sz w:val="20"/>
          <w:szCs w:val="20"/>
          <w:color w:val="auto"/>
        </w:rPr>
      </w:pPr>
    </w:p>
    <w:p>
      <w:pPr>
        <w:ind w:left="740" w:right="120" w:hanging="318"/>
        <w:spacing w:after="0" w:line="249" w:lineRule="auto"/>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clinical trials and target engagement.</w:t>
      </w:r>
    </w:p>
    <w:p>
      <w:pPr>
        <w:spacing w:after="0" w:line="200" w:lineRule="exact"/>
        <w:rPr>
          <w:rFonts w:ascii="Times New Roman" w:cs="Times New Roman" w:eastAsia="Times New Roman" w:hAnsi="Times New Roman"/>
          <w:sz w:val="20"/>
          <w:szCs w:val="20"/>
          <w:color w:val="auto"/>
        </w:rPr>
      </w:pPr>
    </w:p>
    <w:p>
      <w:pPr>
        <w:ind w:left="740" w:right="360" w:hanging="318"/>
        <w:spacing w:after="0" w:line="277" w:lineRule="auto"/>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product development involves a lengthy and expensive process, with an uncertain outcome. Further, our current and potential future collaborations may not realize the anticipated benefits.</w:t>
      </w:r>
    </w:p>
    <w:p>
      <w:pPr>
        <w:spacing w:after="0" w:line="173" w:lineRule="exact"/>
        <w:rPr>
          <w:rFonts w:ascii="Times New Roman" w:cs="Times New Roman" w:eastAsia="Times New Roman" w:hAnsi="Times New Roman"/>
          <w:sz w:val="20"/>
          <w:szCs w:val="20"/>
          <w:color w:val="auto"/>
        </w:rPr>
      </w:pPr>
    </w:p>
    <w:p>
      <w:pPr>
        <w:ind w:left="740" w:right="40" w:hanging="318"/>
        <w:spacing w:after="0" w:line="258" w:lineRule="auto"/>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92" w:lineRule="exact"/>
        <w:rPr>
          <w:rFonts w:ascii="Times New Roman" w:cs="Times New Roman" w:eastAsia="Times New Roman" w:hAnsi="Times New Roman"/>
          <w:sz w:val="20"/>
          <w:szCs w:val="20"/>
          <w:color w:val="auto"/>
        </w:rPr>
      </w:pPr>
    </w:p>
    <w:p>
      <w:pPr>
        <w:ind w:left="720" w:right="140" w:hanging="302"/>
        <w:spacing w:after="0" w:line="249"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200" w:lineRule="exact"/>
        <w:rPr>
          <w:rFonts w:ascii="Times New Roman" w:cs="Times New Roman" w:eastAsia="Times New Roman" w:hAnsi="Times New Roman"/>
          <w:sz w:val="20"/>
          <w:szCs w:val="20"/>
          <w:color w:val="auto"/>
        </w:rPr>
      </w:pPr>
    </w:p>
    <w:p>
      <w:pPr>
        <w:ind w:left="720" w:right="220" w:hanging="302"/>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92" w:lineRule="exact"/>
        <w:rPr>
          <w:rFonts w:ascii="Times New Roman" w:cs="Times New Roman" w:eastAsia="Times New Roman" w:hAnsi="Times New Roman"/>
          <w:sz w:val="20"/>
          <w:szCs w:val="20"/>
          <w:color w:val="auto"/>
        </w:rPr>
      </w:pPr>
    </w:p>
    <w:p>
      <w:pPr>
        <w:ind w:left="740" w:right="60" w:hanging="318"/>
        <w:spacing w:after="0" w:line="258" w:lineRule="auto"/>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92" w:lineRule="exact"/>
        <w:rPr>
          <w:rFonts w:ascii="Times New Roman" w:cs="Times New Roman" w:eastAsia="Times New Roman" w:hAnsi="Times New Roman"/>
          <w:sz w:val="20"/>
          <w:szCs w:val="20"/>
          <w:color w:val="auto"/>
        </w:rPr>
      </w:pPr>
    </w:p>
    <w:p>
      <w:pPr>
        <w:ind w:left="720" w:right="20" w:hanging="302"/>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ectPr>
          <w:pgSz w:w="12960" w:h="16560" w:orient="portrait"/>
          <w:cols w:equalWidth="0" w:num="1">
            <w:col w:w="10160"/>
          </w:cols>
          <w:pgMar w:left="1360" w:top="1416" w:right="1440" w:bottom="1006" w:gutter="0" w:footer="0" w:header="0"/>
        </w:sectPr>
      </w:pPr>
    </w:p>
    <w:bookmarkStart w:id="5" w:name="page6"/>
    <w:bookmarkEnd w:id="5"/>
    <w:p>
      <w:pPr>
        <w:spacing w:after="0" w:line="224" w:lineRule="exact"/>
        <w:rPr>
          <w:sz w:val="20"/>
          <w:szCs w:val="20"/>
          <w:color w:val="auto"/>
        </w:rPr>
      </w:pPr>
    </w:p>
    <w:p>
      <w:pPr>
        <w:ind w:left="732" w:right="80" w:hanging="318"/>
        <w:spacing w:after="0" w:line="258" w:lineRule="auto"/>
        <w:tabs>
          <w:tab w:leader="none" w:pos="73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92" w:lineRule="exact"/>
        <w:rPr>
          <w:rFonts w:ascii="Times New Roman" w:cs="Times New Roman" w:eastAsia="Times New Roman" w:hAnsi="Times New Roman"/>
          <w:sz w:val="20"/>
          <w:szCs w:val="20"/>
          <w:color w:val="auto"/>
        </w:rPr>
      </w:pPr>
    </w:p>
    <w:p>
      <w:pPr>
        <w:ind w:left="712" w:right="480" w:hanging="302"/>
        <w:spacing w:after="0" w:line="277" w:lineRule="auto"/>
        <w:tabs>
          <w:tab w:leader="none" w:pos="71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73" w:lineRule="exact"/>
        <w:rPr>
          <w:rFonts w:ascii="Times New Roman" w:cs="Times New Roman" w:eastAsia="Times New Roman" w:hAnsi="Times New Roman"/>
          <w:sz w:val="20"/>
          <w:szCs w:val="20"/>
          <w:color w:val="auto"/>
        </w:rPr>
      </w:pPr>
    </w:p>
    <w:p>
      <w:pPr>
        <w:ind w:left="732" w:right="40" w:hanging="318"/>
        <w:spacing w:after="0" w:line="249" w:lineRule="auto"/>
        <w:tabs>
          <w:tab w:leader="none" w:pos="73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00" w:lineRule="exact"/>
        <w:rPr>
          <w:rFonts w:ascii="Times New Roman" w:cs="Times New Roman" w:eastAsia="Times New Roman" w:hAnsi="Times New Roman"/>
          <w:sz w:val="20"/>
          <w:szCs w:val="20"/>
          <w:color w:val="auto"/>
        </w:rPr>
      </w:pPr>
    </w:p>
    <w:p>
      <w:pPr>
        <w:ind w:left="712" w:right="20" w:hanging="302"/>
        <w:spacing w:after="0" w:line="249" w:lineRule="auto"/>
        <w:tabs>
          <w:tab w:leader="none" w:pos="71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contract with a limited number of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00" w:lineRule="exact"/>
        <w:rPr>
          <w:rFonts w:ascii="Times New Roman" w:cs="Times New Roman" w:eastAsia="Times New Roman" w:hAnsi="Times New Roman"/>
          <w:sz w:val="20"/>
          <w:szCs w:val="20"/>
          <w:color w:val="auto"/>
        </w:rPr>
      </w:pPr>
    </w:p>
    <w:p>
      <w:pPr>
        <w:ind w:left="712" w:right="60" w:hanging="302"/>
        <w:spacing w:after="0" w:line="247" w:lineRule="auto"/>
        <w:tabs>
          <w:tab w:leader="none" w:pos="71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 very limited number of third parties for the supply of the active pharmaceutical ingredients, or API, and drug product to be used in our product candidates (for example, an affiliate of WuXi AppTec is the sole source of API for all of our clinical-stage product candidates), and WuXi AppTec has been the subject of proposed Congressional legislation that, if enacted, could materially restrict our ability to conduct business with, and obtain API from, WuXi AppTec. The loss of any of these suppliers, including WuXi AppTec, could significantly harm our business.</w:t>
      </w:r>
    </w:p>
    <w:p>
      <w:pPr>
        <w:spacing w:after="0" w:line="203" w:lineRule="exact"/>
        <w:rPr>
          <w:rFonts w:ascii="Times New Roman" w:cs="Times New Roman" w:eastAsia="Times New Roman" w:hAnsi="Times New Roman"/>
          <w:sz w:val="20"/>
          <w:szCs w:val="20"/>
          <w:color w:val="auto"/>
        </w:rPr>
      </w:pPr>
    </w:p>
    <w:p>
      <w:pPr>
        <w:ind w:left="712" w:right="180" w:hanging="302"/>
        <w:spacing w:after="0" w:line="277" w:lineRule="auto"/>
        <w:tabs>
          <w:tab w:leader="none" w:pos="71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73" w:lineRule="exact"/>
        <w:rPr>
          <w:rFonts w:ascii="Times New Roman" w:cs="Times New Roman" w:eastAsia="Times New Roman" w:hAnsi="Times New Roman"/>
          <w:sz w:val="20"/>
          <w:szCs w:val="20"/>
          <w:color w:val="auto"/>
        </w:rPr>
      </w:pPr>
    </w:p>
    <w:p>
      <w:pPr>
        <w:ind w:left="712" w:right="200" w:hanging="302"/>
        <w:spacing w:after="0" w:line="252" w:lineRule="auto"/>
        <w:tabs>
          <w:tab w:leader="none" w:pos="71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97" w:lineRule="exact"/>
        <w:rPr>
          <w:rFonts w:ascii="Times New Roman" w:cs="Times New Roman" w:eastAsia="Times New Roman" w:hAnsi="Times New Roman"/>
          <w:sz w:val="20"/>
          <w:szCs w:val="20"/>
          <w:color w:val="auto"/>
        </w:rPr>
      </w:pPr>
    </w:p>
    <w:p>
      <w:pPr>
        <w:ind w:left="712" w:hanging="302"/>
        <w:spacing w:after="0"/>
        <w:tabs>
          <w:tab w:leader="none" w:pos="71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combination therapies may present more or different challenges than development of single agent</w:t>
      </w:r>
    </w:p>
    <w:p>
      <w:pPr>
        <w:spacing w:after="0" w:line="28" w:lineRule="exact"/>
        <w:rPr>
          <w:rFonts w:ascii="Times New Roman" w:cs="Times New Roman" w:eastAsia="Times New Roman" w:hAnsi="Times New Roman"/>
          <w:sz w:val="20"/>
          <w:szCs w:val="20"/>
          <w:color w:val="auto"/>
        </w:rPr>
      </w:pPr>
    </w:p>
    <w:p>
      <w:pPr>
        <w:ind w:left="712" w:hanging="712"/>
        <w:spacing w:after="0" w:line="184" w:lineRule="auto"/>
        <w:tabs>
          <w:tab w:leader="none" w:pos="712" w:val="left"/>
        </w:tabs>
        <w:numPr>
          <w:ilvl w:val="0"/>
          <w:numId w:val="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6"/>
          <w:szCs w:val="16"/>
          <w:color w:val="auto"/>
        </w:rPr>
        <w:t>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color w:val="auto"/>
        </w:rPr>
        <w:t>2</w:t>
      </w:r>
    </w:p>
    <w:p>
      <w:pPr>
        <w:sectPr>
          <w:pgSz w:w="12960" w:h="16560" w:orient="portrait"/>
          <w:cols w:equalWidth="0" w:num="1">
            <w:col w:w="10152"/>
          </w:cols>
          <w:pgMar w:left="1368" w:top="1440" w:right="1440" w:bottom="53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Note Regarding Forward-Looking Statements</w:t>
      </w:r>
    </w:p>
    <w:p>
      <w:pPr>
        <w:spacing w:after="0" w:line="244" w:lineRule="exact"/>
        <w:rPr>
          <w:sz w:val="20"/>
          <w:szCs w:val="20"/>
          <w:color w:val="auto"/>
        </w:rPr>
      </w:pPr>
    </w:p>
    <w:p>
      <w:pPr>
        <w:ind w:right="20" w:firstLine="562"/>
        <w:spacing w:after="0" w:line="244" w:lineRule="auto"/>
        <w:rPr>
          <w:sz w:val="20"/>
          <w:szCs w:val="20"/>
          <w:color w:val="auto"/>
        </w:rPr>
      </w:pPr>
      <w:r>
        <w:rPr>
          <w:rFonts w:ascii="Times New Roman" w:cs="Times New Roman" w:eastAsia="Times New Roman" w:hAnsi="Times New Roman"/>
          <w:sz w:val="20"/>
          <w:szCs w:val="20"/>
          <w:color w:val="auto"/>
        </w:rPr>
        <w:t>This Annual Report on Form 10-K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206" w:lineRule="exact"/>
        <w:rPr>
          <w:sz w:val="20"/>
          <w:szCs w:val="20"/>
          <w:color w:val="auto"/>
        </w:rPr>
      </w:pPr>
    </w:p>
    <w:p>
      <w:pPr>
        <w:ind w:left="720" w:right="20" w:hanging="302"/>
        <w:spacing w:after="0" w:line="24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and dosing in clinical trials (including combination clinical trials), future plans for dose expansions, and initiation and completion of studies or clinical trials (including combination trials), plans for filing a registrational trial in TNG462, and related preparatory work, and the period during which the results of the clinical trials (including initial and final trial results) will become available (such as the clinical data update from the ongoing TNG462 clinical trial and the data from the ongoing TNG260 clinical trial, both expected in 2025);</w:t>
      </w:r>
    </w:p>
    <w:p>
      <w:pPr>
        <w:spacing w:after="0" w:line="203" w:lineRule="exact"/>
        <w:rPr>
          <w:rFonts w:ascii="Times New Roman" w:cs="Times New Roman" w:eastAsia="Times New Roman" w:hAnsi="Times New Roman"/>
          <w:sz w:val="20"/>
          <w:szCs w:val="20"/>
          <w:color w:val="auto"/>
        </w:rPr>
      </w:pPr>
    </w:p>
    <w:p>
      <w:pPr>
        <w:ind w:left="720" w:right="120" w:hanging="302"/>
        <w:spacing w:after="0" w:line="258"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92" w:lineRule="exact"/>
        <w:rPr>
          <w:rFonts w:ascii="Times New Roman" w:cs="Times New Roman" w:eastAsia="Times New Roman" w:hAnsi="Times New Roman"/>
          <w:sz w:val="20"/>
          <w:szCs w:val="20"/>
          <w:color w:val="auto"/>
        </w:rPr>
      </w:pPr>
    </w:p>
    <w:p>
      <w:pPr>
        <w:ind w:left="720" w:right="300" w:hanging="302"/>
        <w:spacing w:after="0" w:line="305" w:lineRule="auto"/>
        <w:tabs>
          <w:tab w:leader="none" w:pos="7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148" w:lineRule="exact"/>
        <w:rPr>
          <w:rFonts w:ascii="Times New Roman" w:cs="Times New Roman" w:eastAsia="Times New Roman" w:hAnsi="Times New Roman"/>
          <w:sz w:val="19"/>
          <w:szCs w:val="19"/>
          <w:color w:val="auto"/>
        </w:rPr>
      </w:pPr>
    </w:p>
    <w:p>
      <w:pPr>
        <w:ind w:left="720" w:right="920" w:hanging="302"/>
        <w:spacing w:after="0" w:line="277"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and willingness of our third-party strategic collaborators to license and to continue research and development activities relating to our development candidates and product candidates;</w:t>
      </w:r>
    </w:p>
    <w:p>
      <w:pPr>
        <w:spacing w:after="0" w:line="173" w:lineRule="exact"/>
        <w:rPr>
          <w:rFonts w:ascii="Times New Roman" w:cs="Times New Roman" w:eastAsia="Times New Roman" w:hAnsi="Times New Roman"/>
          <w:sz w:val="20"/>
          <w:szCs w:val="20"/>
          <w:color w:val="auto"/>
        </w:rPr>
      </w:pPr>
    </w:p>
    <w:p>
      <w:pPr>
        <w:ind w:left="720" w:right="60" w:hanging="302"/>
        <w:spacing w:after="0" w:line="258"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the third quarter of 2026);</w:t>
      </w:r>
    </w:p>
    <w:p>
      <w:pPr>
        <w:spacing w:after="0" w:line="192" w:lineRule="exact"/>
        <w:rPr>
          <w:rFonts w:ascii="Times New Roman" w:cs="Times New Roman" w:eastAsia="Times New Roman" w:hAnsi="Times New Roman"/>
          <w:sz w:val="20"/>
          <w:szCs w:val="20"/>
          <w:color w:val="auto"/>
        </w:rPr>
      </w:pPr>
    </w:p>
    <w:p>
      <w:pPr>
        <w:ind w:left="720" w:right="120" w:hanging="302"/>
        <w:spacing w:after="0" w:line="258"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if approved, maintain regulatory approval of our product candidates (as well as approval or clearance of screening tests and companion diagnostic tests for our product candidates) and the potential paths to approval in the first line setting for TNG462 in MTAP-deleted pancreatic and lung cancer;</w:t>
      </w:r>
    </w:p>
    <w:p>
      <w:pPr>
        <w:spacing w:after="0" w:line="192"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commercialize our products, if approved;</w:t>
      </w:r>
    </w:p>
    <w:p>
      <w:pPr>
        <w:spacing w:after="0" w:line="243"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and reimbursement of our product candidates, if approved;</w:t>
      </w:r>
    </w:p>
    <w:p>
      <w:pPr>
        <w:spacing w:after="0" w:line="243"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our business model, and strategic plans for our business and product candidates;</w:t>
      </w:r>
    </w:p>
    <w:p>
      <w:pPr>
        <w:spacing w:after="0" w:line="243" w:lineRule="exact"/>
        <w:rPr>
          <w:rFonts w:ascii="Times New Roman" w:cs="Times New Roman" w:eastAsia="Times New Roman" w:hAnsi="Times New Roman"/>
          <w:sz w:val="20"/>
          <w:szCs w:val="20"/>
          <w:color w:val="auto"/>
        </w:rPr>
      </w:pPr>
    </w:p>
    <w:p>
      <w:pPr>
        <w:ind w:left="720" w:right="420" w:hanging="302"/>
        <w:spacing w:after="0" w:line="277"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protection we are able to establish and maintain for intellectual property rights covering our product candidates and our ability to enforce our intellectual property rights;</w:t>
      </w:r>
    </w:p>
    <w:p>
      <w:pPr>
        <w:spacing w:after="0" w:line="173"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estimates of our future expenses, capital requirements, and our need for additional financing;</w:t>
      </w:r>
    </w:p>
    <w:p>
      <w:pPr>
        <w:spacing w:after="0" w:line="243" w:lineRule="exact"/>
        <w:rPr>
          <w:rFonts w:ascii="Times New Roman" w:cs="Times New Roman" w:eastAsia="Times New Roman" w:hAnsi="Times New Roman"/>
          <w:sz w:val="20"/>
          <w:szCs w:val="20"/>
          <w:color w:val="auto"/>
        </w:rPr>
      </w:pPr>
    </w:p>
    <w:p>
      <w:pPr>
        <w:ind w:left="720" w:right="120" w:hanging="302"/>
        <w:spacing w:after="0" w:line="277"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73" w:lineRule="exact"/>
        <w:rPr>
          <w:rFonts w:ascii="Times New Roman" w:cs="Times New Roman" w:eastAsia="Times New Roman" w:hAnsi="Times New Roman"/>
          <w:sz w:val="20"/>
          <w:szCs w:val="20"/>
          <w:color w:val="auto"/>
        </w:rPr>
      </w:pPr>
    </w:p>
    <w:p>
      <w:pPr>
        <w:ind w:left="720" w:right="340" w:hanging="302"/>
        <w:spacing w:after="0" w:line="277"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agreements with third parties in connection with the commercialization of product candidates (if approved) and any other approved products;</w:t>
      </w:r>
    </w:p>
    <w:p>
      <w:pPr>
        <w:spacing w:after="0" w:line="173"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potential of the markets for our product candidates, and our ability to serve those markets;</w:t>
      </w:r>
    </w:p>
    <w:p>
      <w:pPr>
        <w:sectPr>
          <w:pgSz w:w="12960" w:h="16560" w:orient="portrait"/>
          <w:cols w:equalWidth="0" w:num="1">
            <w:col w:w="10160"/>
          </w:cols>
          <w:pgMar w:left="1360" w:top="1416" w:right="1440" w:bottom="535"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960" w:h="16560" w:orient="portrait"/>
          <w:cols w:equalWidth="0" w:num="1">
            <w:col w:w="10160"/>
          </w:cols>
          <w:pgMar w:left="1360" w:top="1416" w:right="1440" w:bottom="535" w:gutter="0" w:footer="0" w:header="0"/>
          <w:type w:val="continuous"/>
        </w:sectPr>
      </w:pPr>
    </w:p>
    <w:bookmarkStart w:id="7" w:name="page8"/>
    <w:bookmarkEnd w:id="7"/>
    <w:p>
      <w:pPr>
        <w:ind w:left="720" w:right="40" w:hanging="302"/>
        <w:spacing w:after="0" w:line="277"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performance, including the expectation that we will continue to incur operating losses and negative cash flow;</w:t>
      </w:r>
    </w:p>
    <w:p>
      <w:pPr>
        <w:spacing w:after="0" w:line="173"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and degree of market acceptance of our product candidates, if approved;</w:t>
      </w:r>
    </w:p>
    <w:p>
      <w:pPr>
        <w:spacing w:after="0" w:line="243" w:lineRule="exact"/>
        <w:rPr>
          <w:rFonts w:ascii="Times New Roman" w:cs="Times New Roman" w:eastAsia="Times New Roman" w:hAnsi="Times New Roman"/>
          <w:sz w:val="20"/>
          <w:szCs w:val="20"/>
          <w:color w:val="auto"/>
        </w:rPr>
      </w:pPr>
    </w:p>
    <w:p>
      <w:pPr>
        <w:ind w:left="720" w:right="380" w:hanging="302"/>
        <w:spacing w:after="0" w:line="258"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 in the United States and foreign countries, including product approval requirements and pricing regulations by U.S. regulatory authorities (such as the Centers for Medicare &amp; Medicaid Services) and foreign regulatory authorities;</w:t>
      </w:r>
    </w:p>
    <w:p>
      <w:pPr>
        <w:spacing w:after="0" w:line="192"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contract with third-party suppliers and manufacturers and their ability to perform adequately;</w:t>
      </w:r>
    </w:p>
    <w:p>
      <w:pPr>
        <w:spacing w:after="0" w:line="243" w:lineRule="exact"/>
        <w:rPr>
          <w:rFonts w:ascii="Times New Roman" w:cs="Times New Roman" w:eastAsia="Times New Roman" w:hAnsi="Times New Roman"/>
          <w:sz w:val="20"/>
          <w:szCs w:val="20"/>
          <w:color w:val="auto"/>
        </w:rPr>
      </w:pPr>
    </w:p>
    <w:p>
      <w:pPr>
        <w:ind w:left="720" w:right="120" w:hanging="302"/>
        <w:spacing w:after="0" w:line="277"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(or the ability of third parties with whom we contract) to produce our products or product candidates with advantages in turnaround times or manufacturing cost;</w:t>
      </w:r>
    </w:p>
    <w:p>
      <w:pPr>
        <w:spacing w:after="0" w:line="173" w:lineRule="exact"/>
        <w:rPr>
          <w:rFonts w:ascii="Times New Roman" w:cs="Times New Roman" w:eastAsia="Times New Roman" w:hAnsi="Times New Roman"/>
          <w:sz w:val="20"/>
          <w:szCs w:val="20"/>
          <w:color w:val="auto"/>
        </w:rPr>
      </w:pPr>
    </w:p>
    <w:p>
      <w:pPr>
        <w:ind w:left="720" w:right="40" w:hanging="302"/>
        <w:spacing w:after="0" w:line="258"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192"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key scientific or management personnel;</w:t>
      </w:r>
    </w:p>
    <w:p>
      <w:pPr>
        <w:spacing w:after="0" w:line="243"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laws and regulations;</w:t>
      </w:r>
    </w:p>
    <w:p>
      <w:pPr>
        <w:spacing w:after="0" w:line="243" w:lineRule="exact"/>
        <w:rPr>
          <w:rFonts w:ascii="Times New Roman" w:cs="Times New Roman" w:eastAsia="Times New Roman" w:hAnsi="Times New Roman"/>
          <w:sz w:val="20"/>
          <w:szCs w:val="20"/>
          <w:color w:val="auto"/>
        </w:rPr>
      </w:pPr>
    </w:p>
    <w:p>
      <w:pPr>
        <w:ind w:left="720" w:hanging="302"/>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relating to our competitors and industry;</w:t>
      </w:r>
    </w:p>
    <w:p>
      <w:pPr>
        <w:spacing w:after="0" w:line="243" w:lineRule="exact"/>
        <w:rPr>
          <w:rFonts w:ascii="Times New Roman" w:cs="Times New Roman" w:eastAsia="Times New Roman" w:hAnsi="Times New Roman"/>
          <w:sz w:val="20"/>
          <w:szCs w:val="20"/>
          <w:color w:val="auto"/>
        </w:rPr>
      </w:pPr>
    </w:p>
    <w:p>
      <w:pPr>
        <w:ind w:left="720" w:right="260" w:hanging="302"/>
        <w:spacing w:after="0" w:line="277"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public health crises on our business operations, including but not limited to our preclinical studies and clinical trials and any future studies or trials;</w:t>
      </w:r>
    </w:p>
    <w:p>
      <w:pPr>
        <w:spacing w:after="0" w:line="173" w:lineRule="exact"/>
        <w:rPr>
          <w:rFonts w:ascii="Times New Roman" w:cs="Times New Roman" w:eastAsia="Times New Roman" w:hAnsi="Times New Roman"/>
          <w:sz w:val="20"/>
          <w:szCs w:val="20"/>
          <w:color w:val="auto"/>
        </w:rPr>
      </w:pPr>
    </w:p>
    <w:p>
      <w:pPr>
        <w:ind w:left="720" w:right="200" w:hanging="302"/>
        <w:spacing w:after="0" w:line="252"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benefits of the use of our drugs in patients as single agents and/or in combination, including our belief that TNG260 could be among the first oncology molecules to leverage the benefits of genetically-based patient selection (STK11-mutation) with checkpoint inhibitor therapy; and our belief that TNG462 has the potential to be a best-in-class molecule; and</w:t>
      </w:r>
    </w:p>
    <w:p>
      <w:pPr>
        <w:spacing w:after="0" w:line="197" w:lineRule="exact"/>
        <w:rPr>
          <w:rFonts w:ascii="Times New Roman" w:cs="Times New Roman" w:eastAsia="Times New Roman" w:hAnsi="Times New Roman"/>
          <w:sz w:val="20"/>
          <w:szCs w:val="20"/>
          <w:color w:val="auto"/>
        </w:rPr>
      </w:pPr>
    </w:p>
    <w:p>
      <w:pPr>
        <w:ind w:left="720" w:right="140" w:hanging="302"/>
        <w:spacing w:after="0" w:line="277"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and uncertainties, including those listed in Part I, Item 1A of this Annual Report on Form 10-K under the section titled “Risk Factors.”</w:t>
      </w:r>
    </w:p>
    <w:p>
      <w:pPr>
        <w:spacing w:after="0" w:line="169" w:lineRule="exact"/>
        <w:rPr>
          <w:sz w:val="20"/>
          <w:szCs w:val="20"/>
          <w:color w:val="auto"/>
        </w:rPr>
      </w:pPr>
    </w:p>
    <w:p>
      <w:pPr>
        <w:ind w:right="40" w:firstLine="562"/>
        <w:spacing w:after="0" w:line="243" w:lineRule="auto"/>
        <w:rPr>
          <w:sz w:val="20"/>
          <w:szCs w:val="20"/>
          <w:color w:val="auto"/>
        </w:rPr>
      </w:pPr>
      <w:r>
        <w:rPr>
          <w:rFonts w:ascii="Times New Roman" w:cs="Times New Roman" w:eastAsia="Times New Roman" w:hAnsi="Times New Roman"/>
          <w:sz w:val="20"/>
          <w:szCs w:val="20"/>
          <w:color w:val="auto"/>
        </w:rPr>
        <w:t>The forward-looking statements contained in Part I, Item 1A of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this Annual Report on Form 10-K.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4" w:lineRule="exact"/>
        <w:rPr>
          <w:sz w:val="20"/>
          <w:szCs w:val="20"/>
          <w:color w:val="auto"/>
        </w:rPr>
      </w:pPr>
    </w:p>
    <w:p>
      <w:pPr>
        <w:ind w:right="60" w:firstLine="562"/>
        <w:spacing w:after="0" w:line="249" w:lineRule="auto"/>
        <w:rPr>
          <w:sz w:val="20"/>
          <w:szCs w:val="20"/>
          <w:color w:val="auto"/>
        </w:rPr>
      </w:pPr>
      <w:r>
        <w:rPr>
          <w:rFonts w:ascii="Times New Roman" w:cs="Times New Roman" w:eastAsia="Times New Roman" w:hAnsi="Times New Roman"/>
          <w:sz w:val="20"/>
          <w:szCs w:val="20"/>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97" w:lineRule="exact"/>
        <w:rPr>
          <w:sz w:val="20"/>
          <w:szCs w:val="20"/>
          <w:color w:val="auto"/>
        </w:rPr>
      </w:pPr>
    </w:p>
    <w:p>
      <w:pPr>
        <w:ind w:right="100" w:firstLine="562"/>
        <w:spacing w:after="0" w:line="258"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w:t>
      </w:r>
    </w:p>
    <w:p>
      <w:pPr>
        <w:sectPr>
          <w:pgSz w:w="12960" w:h="16560" w:orient="portrait"/>
          <w:cols w:equalWidth="0" w:num="1">
            <w:col w:w="10160"/>
          </w:cols>
          <w:pgMar w:left="1360" w:top="1434" w:right="1440" w:bottom="535"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960" w:h="16560" w:orient="portrait"/>
          <w:cols w:equalWidth="0" w:num="1">
            <w:col w:w="10160"/>
          </w:cols>
          <w:pgMar w:left="1360" w:top="1434" w:right="1440" w:bottom="535" w:gutter="0" w:footer="0" w:header="0"/>
          <w:type w:val="continuous"/>
        </w:sectPr>
      </w:pPr>
    </w:p>
    <w:bookmarkStart w:id="8" w:name="page9"/>
    <w:bookmarkEnd w:id="8"/>
    <w:p>
      <w:pPr>
        <w:spacing w:after="0" w:line="243" w:lineRule="auto"/>
        <w:rPr>
          <w:sz w:val="20"/>
          <w:szCs w:val="20"/>
          <w:color w:val="auto"/>
        </w:rPr>
      </w:pPr>
      <w:r>
        <w:rPr>
          <w:rFonts w:ascii="Times New Roman" w:cs="Times New Roman" w:eastAsia="Times New Roman" w:hAnsi="Times New Roman"/>
          <w:sz w:val="20"/>
          <w:szCs w:val="20"/>
          <w:color w:val="auto"/>
        </w:rPr>
        <w:t xml:space="preserve">portion of our website free of charge as soon as reasonably practicable after we electronically file such material with, or furnish it to, the Securities and Exchange Commission, or SEC. </w:t>
      </w:r>
      <w:r>
        <w:rPr>
          <w:rFonts w:ascii="Times New Roman" w:cs="Times New Roman" w:eastAsia="Times New Roman" w:hAnsi="Times New Roman"/>
          <w:sz w:val="22"/>
          <w:szCs w:val="22"/>
          <w:color w:val="auto"/>
        </w:rPr>
        <w:t>W</w:t>
      </w:r>
      <w:r>
        <w:rPr>
          <w:rFonts w:ascii="Times New Roman" w:cs="Times New Roman" w:eastAsia="Times New Roman" w:hAnsi="Times New Roman"/>
          <w:sz w:val="20"/>
          <w:szCs w:val="20"/>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22"/>
          <w:szCs w:val="22"/>
          <w:color w:val="auto"/>
        </w:rPr>
        <w:t>f</w:t>
      </w:r>
      <w:r>
        <w:rPr>
          <w:rFonts w:ascii="Times New Roman" w:cs="Times New Roman" w:eastAsia="Times New Roman" w:hAnsi="Times New Roman"/>
          <w:sz w:val="20"/>
          <w:szCs w:val="20"/>
          <w:color w:val="auto"/>
        </w:rPr>
        <w:t>ter copies of those filings are provided to us by those persons</w:t>
      </w:r>
      <w:r>
        <w:rPr>
          <w:rFonts w:ascii="Times New Roman" w:cs="Times New Roman" w:eastAsia="Times New Roman" w:hAnsi="Times New Roman"/>
          <w:sz w:val="22"/>
          <w:szCs w:val="22"/>
          <w:color w:val="auto"/>
        </w:rPr>
        <w:t>. A</w:t>
      </w:r>
      <w:r>
        <w:rPr>
          <w:rFonts w:ascii="Times New Roman" w:cs="Times New Roman" w:eastAsia="Times New Roman" w:hAnsi="Times New Roman"/>
          <w:sz w:val="20"/>
          <w:szCs w:val="20"/>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Annual Report on Form 10-K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5" w:lineRule="exact"/>
        <w:rPr>
          <w:sz w:val="20"/>
          <w:szCs w:val="20"/>
          <w:color w:val="auto"/>
        </w:rPr>
      </w:pPr>
    </w:p>
    <w:p>
      <w:pPr>
        <w:ind w:right="20" w:firstLine="562"/>
        <w:spacing w:after="0" w:line="246" w:lineRule="auto"/>
        <w:rPr>
          <w:sz w:val="20"/>
          <w:szCs w:val="20"/>
          <w:color w:val="auto"/>
        </w:rPr>
      </w:pPr>
      <w:r>
        <w:rPr>
          <w:rFonts w:ascii="Times New Roman" w:cs="Times New Roman" w:eastAsia="Times New Roman" w:hAnsi="Times New Roman"/>
          <w:sz w:val="20"/>
          <w:szCs w:val="20"/>
          <w:color w:val="auto"/>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Annual Report on Form 10-K.</w:t>
      </w:r>
    </w:p>
    <w:p>
      <w:pPr>
        <w:spacing w:after="0" w:line="12"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40"/>
          <w:szCs w:val="40"/>
          <w:color w:val="auto"/>
          <w:vertAlign w:val="subscript"/>
        </w:rPr>
      </w:pPr>
      <w:r>
        <w:rPr>
          <w:rFonts w:ascii="Times New Roman" w:cs="Times New Roman" w:eastAsia="Times New Roman" w:hAnsi="Times New Roman"/>
          <w:sz w:val="20"/>
          <w:szCs w:val="20"/>
          <w:color w:val="auto"/>
        </w:rPr>
        <w:t>Our principal executive office is located at 201 Brookline Avenue, Suite 901, Boston, Massachusetts 02215.</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960" w:h="16560" w:orient="portrait"/>
          <w:cols w:equalWidth="0" w:num="1">
            <w:col w:w="10160"/>
          </w:cols>
          <w:pgMar w:left="1360" w:top="1420" w:right="1440" w:bottom="535"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USE OF DEFINED TERMS IN THIS ANNUAL REPORT ON FORM 10-K</w:t>
      </w:r>
    </w:p>
    <w:p>
      <w:pPr>
        <w:spacing w:after="0" w:line="274" w:lineRule="exact"/>
        <w:rPr>
          <w:sz w:val="20"/>
          <w:szCs w:val="20"/>
          <w:color w:val="auto"/>
        </w:rPr>
      </w:pPr>
    </w:p>
    <w:p>
      <w:pPr>
        <w:ind w:right="220" w:firstLine="562"/>
        <w:spacing w:after="0" w:line="277" w:lineRule="auto"/>
        <w:rPr>
          <w:sz w:val="20"/>
          <w:szCs w:val="20"/>
          <w:color w:val="auto"/>
        </w:rPr>
      </w:pPr>
      <w:r>
        <w:rPr>
          <w:rFonts w:ascii="Times New Roman" w:cs="Times New Roman" w:eastAsia="Times New Roman" w:hAnsi="Times New Roman"/>
          <w:sz w:val="20"/>
          <w:szCs w:val="20"/>
          <w:color w:val="auto"/>
        </w:rPr>
        <w:t>Unless the context otherwise requires in this Annual Report on Form 10-K for the year ended December 31, 2024 we use the following defined terms:</w:t>
      </w:r>
    </w:p>
    <w:p>
      <w:pPr>
        <w:spacing w:after="0" w:line="169" w:lineRule="exact"/>
        <w:rPr>
          <w:sz w:val="20"/>
          <w:szCs w:val="20"/>
          <w:color w:val="auto"/>
        </w:rPr>
      </w:pPr>
    </w:p>
    <w:p>
      <w:pPr>
        <w:ind w:left="980" w:hanging="589"/>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“2024 Annual Report” means this Annual Report on Form 10-K for the year ended December 31, 2024;</w:t>
      </w:r>
    </w:p>
    <w:p>
      <w:pPr>
        <w:spacing w:after="0" w:line="240" w:lineRule="exact"/>
        <w:rPr>
          <w:rFonts w:ascii="Times New Roman" w:cs="Times New Roman" w:eastAsia="Times New Roman" w:hAnsi="Times New Roman"/>
          <w:sz w:val="20"/>
          <w:szCs w:val="20"/>
          <w:color w:val="auto"/>
        </w:rPr>
      </w:pPr>
    </w:p>
    <w:p>
      <w:pPr>
        <w:ind w:left="980" w:hanging="64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“we", “our” and “us” mean Tango Therapeutics, Inc. and its wholly-owned subsidiaries;</w:t>
      </w:r>
    </w:p>
    <w:p>
      <w:pPr>
        <w:spacing w:after="0" w:line="240" w:lineRule="exact"/>
        <w:rPr>
          <w:rFonts w:ascii="Times New Roman" w:cs="Times New Roman" w:eastAsia="Times New Roman" w:hAnsi="Times New Roman"/>
          <w:sz w:val="20"/>
          <w:szCs w:val="20"/>
          <w:color w:val="auto"/>
        </w:rPr>
      </w:pPr>
    </w:p>
    <w:p>
      <w:pPr>
        <w:ind w:left="980" w:right="20" w:hanging="700"/>
        <w:spacing w:after="0" w:line="252" w:lineRule="auto"/>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w:t>
      </w:r>
    </w:p>
    <w:p>
      <w:pPr>
        <w:spacing w:after="0" w:line="194" w:lineRule="exact"/>
        <w:rPr>
          <w:rFonts w:ascii="Times New Roman" w:cs="Times New Roman" w:eastAsia="Times New Roman" w:hAnsi="Times New Roman"/>
          <w:sz w:val="20"/>
          <w:szCs w:val="20"/>
          <w:color w:val="auto"/>
        </w:rPr>
      </w:pPr>
    </w:p>
    <w:p>
      <w:pPr>
        <w:ind w:left="980" w:hanging="689"/>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“CNS” means central nervous system.</w:t>
      </w:r>
    </w:p>
    <w:p>
      <w:pPr>
        <w:spacing w:after="0" w:line="240" w:lineRule="exact"/>
        <w:rPr>
          <w:rFonts w:ascii="Times New Roman" w:cs="Times New Roman" w:eastAsia="Times New Roman" w:hAnsi="Times New Roman"/>
          <w:sz w:val="20"/>
          <w:szCs w:val="20"/>
          <w:color w:val="auto"/>
        </w:rPr>
      </w:pPr>
    </w:p>
    <w:p>
      <w:pPr>
        <w:ind w:left="980" w:hanging="633"/>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“CoREST” means Co-repressor of Repressor Element-1 Silencing Transcription;</w:t>
      </w:r>
    </w:p>
    <w:p>
      <w:pPr>
        <w:spacing w:after="0" w:line="240" w:lineRule="exact"/>
        <w:rPr>
          <w:rFonts w:ascii="Times New Roman" w:cs="Times New Roman" w:eastAsia="Times New Roman" w:hAnsi="Times New Roman"/>
          <w:sz w:val="20"/>
          <w:szCs w:val="20"/>
          <w:color w:val="auto"/>
        </w:rPr>
      </w:pPr>
    </w:p>
    <w:p>
      <w:pPr>
        <w:ind w:left="980" w:hanging="689"/>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“CSF” means cerebrospinal fluid;</w:t>
      </w:r>
    </w:p>
    <w:p>
      <w:pPr>
        <w:spacing w:after="0" w:line="240" w:lineRule="exact"/>
        <w:rPr>
          <w:rFonts w:ascii="Times New Roman" w:cs="Times New Roman" w:eastAsia="Times New Roman" w:hAnsi="Times New Roman"/>
          <w:sz w:val="20"/>
          <w:szCs w:val="20"/>
          <w:color w:val="auto"/>
        </w:rPr>
      </w:pPr>
    </w:p>
    <w:p>
      <w:pPr>
        <w:ind w:left="980" w:hanging="74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means U.S. Food and Drug Administration</w:t>
      </w:r>
    </w:p>
    <w:p>
      <w:pPr>
        <w:spacing w:after="0" w:line="240" w:lineRule="exact"/>
        <w:rPr>
          <w:rFonts w:ascii="Times New Roman" w:cs="Times New Roman" w:eastAsia="Times New Roman" w:hAnsi="Times New Roman"/>
          <w:sz w:val="20"/>
          <w:szCs w:val="20"/>
          <w:color w:val="auto"/>
        </w:rPr>
      </w:pPr>
    </w:p>
    <w:p>
      <w:pPr>
        <w:ind w:left="980" w:hanging="800"/>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“Gilead” means Gilead Sciences, Inc.;</w:t>
      </w:r>
    </w:p>
    <w:p>
      <w:pPr>
        <w:spacing w:after="0" w:line="240" w:lineRule="exact"/>
        <w:rPr>
          <w:rFonts w:ascii="Times New Roman" w:cs="Times New Roman" w:eastAsia="Times New Roman" w:hAnsi="Times New Roman"/>
          <w:sz w:val="20"/>
          <w:szCs w:val="20"/>
          <w:color w:val="auto"/>
        </w:rPr>
      </w:pPr>
    </w:p>
    <w:p>
      <w:pPr>
        <w:ind w:left="980" w:hanging="689"/>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“GBM” means glioblastoma;</w:t>
      </w:r>
    </w:p>
    <w:p>
      <w:pPr>
        <w:spacing w:after="0" w:line="240" w:lineRule="exact"/>
        <w:rPr>
          <w:rFonts w:ascii="Times New Roman" w:cs="Times New Roman" w:eastAsia="Times New Roman" w:hAnsi="Times New Roman"/>
          <w:sz w:val="20"/>
          <w:szCs w:val="20"/>
          <w:color w:val="auto"/>
        </w:rPr>
      </w:pPr>
    </w:p>
    <w:p>
      <w:pPr>
        <w:ind w:left="980" w:hanging="633"/>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 means Investigational New Drug application</w:t>
      </w:r>
    </w:p>
    <w:p>
      <w:pPr>
        <w:spacing w:after="0" w:line="240" w:lineRule="exact"/>
        <w:rPr>
          <w:rFonts w:ascii="Times New Roman" w:cs="Times New Roman" w:eastAsia="Times New Roman" w:hAnsi="Times New Roman"/>
          <w:sz w:val="20"/>
          <w:szCs w:val="20"/>
          <w:color w:val="auto"/>
        </w:rPr>
      </w:pPr>
    </w:p>
    <w:p>
      <w:pPr>
        <w:ind w:left="980" w:hanging="689"/>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“MTA” means methylthioadenosine;</w:t>
      </w:r>
    </w:p>
    <w:p>
      <w:pPr>
        <w:spacing w:after="0" w:line="240" w:lineRule="exact"/>
        <w:rPr>
          <w:rFonts w:ascii="Times New Roman" w:cs="Times New Roman" w:eastAsia="Times New Roman" w:hAnsi="Times New Roman"/>
          <w:sz w:val="20"/>
          <w:szCs w:val="20"/>
          <w:color w:val="auto"/>
        </w:rPr>
      </w:pPr>
    </w:p>
    <w:p>
      <w:pPr>
        <w:ind w:left="980" w:hanging="74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“MTAP” means methylthioadenosine phosphorylase;</w:t>
      </w:r>
    </w:p>
    <w:p>
      <w:pPr>
        <w:spacing w:after="0" w:line="240" w:lineRule="exact"/>
        <w:rPr>
          <w:rFonts w:ascii="Times New Roman" w:cs="Times New Roman" w:eastAsia="Times New Roman" w:hAnsi="Times New Roman"/>
          <w:sz w:val="20"/>
          <w:szCs w:val="20"/>
          <w:color w:val="auto"/>
        </w:rPr>
      </w:pPr>
    </w:p>
    <w:p>
      <w:pPr>
        <w:ind w:left="980" w:hanging="800"/>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“NSCLC” means non-small cell lung cancer;</w:t>
      </w:r>
    </w:p>
    <w:p>
      <w:pPr>
        <w:spacing w:after="0" w:line="240" w:lineRule="exact"/>
        <w:rPr>
          <w:rFonts w:ascii="Times New Roman" w:cs="Times New Roman" w:eastAsia="Times New Roman" w:hAnsi="Times New Roman"/>
          <w:sz w:val="20"/>
          <w:szCs w:val="20"/>
          <w:color w:val="auto"/>
        </w:rPr>
      </w:pPr>
    </w:p>
    <w:p>
      <w:pPr>
        <w:ind w:left="980" w:hanging="789"/>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“PRMT5” means protein arginine methyltransferase 5;</w:t>
      </w:r>
    </w:p>
    <w:p>
      <w:pPr>
        <w:spacing w:after="0" w:line="240" w:lineRule="exact"/>
        <w:rPr>
          <w:rFonts w:ascii="Times New Roman" w:cs="Times New Roman" w:eastAsia="Times New Roman" w:hAnsi="Times New Roman"/>
          <w:sz w:val="20"/>
          <w:szCs w:val="20"/>
          <w:color w:val="auto"/>
        </w:rPr>
      </w:pPr>
    </w:p>
    <w:p>
      <w:pPr>
        <w:ind w:left="980" w:hanging="733"/>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“RANO” means Response Assessment in Neuro-Oncology;</w:t>
      </w:r>
    </w:p>
    <w:p>
      <w:pPr>
        <w:spacing w:after="0" w:line="240" w:lineRule="exact"/>
        <w:rPr>
          <w:rFonts w:ascii="Times New Roman" w:cs="Times New Roman" w:eastAsia="Times New Roman" w:hAnsi="Times New Roman"/>
          <w:sz w:val="20"/>
          <w:szCs w:val="20"/>
          <w:color w:val="auto"/>
        </w:rPr>
      </w:pPr>
    </w:p>
    <w:p>
      <w:pPr>
        <w:ind w:left="980" w:hanging="789"/>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 means S-adenosyl-L-methionine;</w:t>
      </w:r>
    </w:p>
    <w:p>
      <w:pPr>
        <w:spacing w:after="0" w:line="240" w:lineRule="exact"/>
        <w:rPr>
          <w:rFonts w:ascii="Times New Roman" w:cs="Times New Roman" w:eastAsia="Times New Roman" w:hAnsi="Times New Roman"/>
          <w:sz w:val="20"/>
          <w:szCs w:val="20"/>
          <w:color w:val="auto"/>
        </w:rPr>
      </w:pPr>
    </w:p>
    <w:p>
      <w:pPr>
        <w:ind w:left="980" w:hanging="844"/>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“STK11” means serine-threonine kinase 11; and</w:t>
      </w:r>
    </w:p>
    <w:p>
      <w:pPr>
        <w:spacing w:after="0" w:line="240" w:lineRule="exact"/>
        <w:rPr>
          <w:rFonts w:ascii="Times New Roman" w:cs="Times New Roman" w:eastAsia="Times New Roman" w:hAnsi="Times New Roman"/>
          <w:sz w:val="20"/>
          <w:szCs w:val="20"/>
          <w:color w:val="auto"/>
        </w:rPr>
      </w:pPr>
    </w:p>
    <w:p>
      <w:pPr>
        <w:ind w:left="980" w:hanging="900"/>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“USP1” means ubiquitin-specific protease 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B0913"/>
        </w:rPr>
        <w:t> </w:t>
      </w:r>
    </w:p>
    <w:p>
      <w:pPr>
        <w:sectPr>
          <w:pgSz w:w="12960" w:h="16560" w:orient="portrait"/>
          <w:cols w:equalWidth="0" w:num="1">
            <w:col w:w="10160"/>
          </w:cols>
          <w:pgMar w:left="1360" w:top="141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960" w:h="16560" w:orient="portrait"/>
          <w:cols w:equalWidth="0" w:num="1">
            <w:col w:w="10160"/>
          </w:cols>
          <w:pgMar w:left="1360" w:top="1416" w:right="1440" w:bottom="535" w:gutter="0" w:footer="0" w:header="0"/>
          <w:type w:val="continuous"/>
        </w:sectPr>
      </w:pPr>
    </w:p>
    <w:bookmarkStart w:id="10" w:name="page11"/>
    <w:bookmarkEnd w:id="10"/>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Tango Therapeutics was founded with a clear mission: to discover the next wave of targeted therapies in oncology by addressing the specific genetic alterations that drive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92"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We are currently developing two MTA-cooperative PRMT5 inhibitors: TNG462 for non-CNS cancers, including pancreatic and lung cancer, and TNG456, our next-generation, brain-penetrant PRMT5 inhibitor, for CNS cancers, including GBM.</w:t>
      </w:r>
    </w:p>
    <w:p>
      <w:pPr>
        <w:spacing w:after="0" w:line="17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In November 2024, we reported positive early data from the ongoing Phase 1/2 clinical trial of TNG462, demonstrating durable clinical activity across multiple cancer types with a good safety and tolerability profile. We are currently enrolling patients in the ongoing TNG462 Phase 1/2 monotherapy clinical trial and plan to provide a clinical data update on TNG462 in 2025. Additionally, we plan to begin enrollment in multiple combinations involving TNG462 in 2025. We have initiated a robust clinical development program for TNG462, and plan to pursue monotherapy registrational clinical trials in 2026.</w:t>
      </w:r>
    </w:p>
    <w:p>
      <w:pPr>
        <w:spacing w:after="0" w:line="190"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In November 2024, we also announced data from the Phase 1/2 clinical trial of TNG908, our first brain-penetrant PRMT5 inhibitor. The data demonstrated durable clinical activity, including RECIST partial responses across multiple tumor types (including pancreatic and lung cancer) and a good safety and tolerability profile. However, we did not observe any responses by RANO criteria in GBM, a development focus of the TNG908 program. Given that TNG462 has more favorable pharmacokinetic, pharmacodynamic and safety characteristics than TNG908, we stopped enrollment of the TNG908 clinical trial and discontinued further development in order to fully resource TNG462 and TNG456 development.</w:t>
      </w:r>
    </w:p>
    <w:p>
      <w:pPr>
        <w:spacing w:after="0" w:line="190" w:lineRule="exact"/>
        <w:rPr>
          <w:sz w:val="20"/>
          <w:szCs w:val="20"/>
          <w:color w:val="auto"/>
        </w:rPr>
      </w:pPr>
    </w:p>
    <w:p>
      <w:pPr>
        <w:ind w:right="580" w:firstLine="720"/>
        <w:spacing w:after="0" w:line="278" w:lineRule="auto"/>
        <w:rPr>
          <w:sz w:val="20"/>
          <w:szCs w:val="20"/>
          <w:color w:val="auto"/>
        </w:rPr>
      </w:pPr>
      <w:r>
        <w:rPr>
          <w:rFonts w:ascii="Times New Roman" w:cs="Times New Roman" w:eastAsia="Times New Roman" w:hAnsi="Times New Roman"/>
          <w:sz w:val="19"/>
          <w:szCs w:val="19"/>
          <w:color w:val="auto"/>
        </w:rPr>
        <w:t>Based on preclinical TNG456 data showing enhanced potency and MTAP selectivity compared to TNG908 and sufficient brain penetrance, TNG456 will move into clinical development and focus on GBM. The FDA cleared the TNG456 IND in January 2025 and we plan to begin enrolling patients in a Phase 1/2 clinical trial the first half of 2025.</w:t>
      </w:r>
    </w:p>
    <w:p>
      <w:pPr>
        <w:spacing w:after="0" w:line="161"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TNG260 is a first-in-class CoREST inhibitor, which in preclinical studies reversed the immune evasion effect of STK11 loss-of-function mutations. TNG260 has a favorable safety, tolerability and pharmacokinetic profile in dose escalation and clinical proof-of-mechanism now has been established based on pharmacodynamic data from on-treatment patient biopsies. We are enrolling patients in the dose expansion portion of the Phase 1/2 trial and we plan to provide clinical data for TNG260 in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234"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We are leveraging the power and productivity of our discovery engine to discover and validate multiple novel targets each year. Our growing pipeline consists of discovery programs for multiple cancer types that currently have limited treatment options, as summarized in Figure 1.</w:t>
      </w:r>
    </w:p>
    <w:p>
      <w:pPr>
        <w:sectPr>
          <w:pgSz w:w="12960" w:h="16560" w:orient="portrait"/>
          <w:cols w:equalWidth="0" w:num="1">
            <w:col w:w="10160"/>
          </w:cols>
          <w:pgMar w:left="1360" w:top="144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960" w:h="16560" w:orient="portrait"/>
          <w:cols w:equalWidth="0" w:num="1">
            <w:col w:w="10160"/>
          </w:cols>
          <w:pgMar w:left="1360" w:top="1440" w:right="1440" w:bottom="53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auto"/>
        </w:rPr>
        <w:t>Figure 1. Tango Therapeutics'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156845</wp:posOffset>
            </wp:positionV>
            <wp:extent cx="6400800" cy="2466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6400800" cy="246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34" w:lineRule="exact"/>
        <w:rPr>
          <w:sz w:val="20"/>
          <w:szCs w:val="20"/>
          <w:color w:val="auto"/>
        </w:rPr>
      </w:pPr>
    </w:p>
    <w:p>
      <w:pPr>
        <w:ind w:right="20" w:firstLine="720"/>
        <w:spacing w:after="0" w:line="305" w:lineRule="auto"/>
        <w:rPr>
          <w:sz w:val="20"/>
          <w:szCs w:val="20"/>
          <w:color w:val="auto"/>
        </w:rPr>
      </w:pPr>
      <w:r>
        <w:rPr>
          <w:rFonts w:ascii="Times New Roman" w:cs="Times New Roman" w:eastAsia="Times New Roman" w:hAnsi="Times New Roman"/>
          <w:sz w:val="19"/>
          <w:szCs w:val="19"/>
          <w:color w:val="auto"/>
        </w:rPr>
        <w:t>We are pioneering novel approaches to the discovery and development of innovative targeted oncology therapies. We leverage the following core strategic components, enabling the pursuit of transformative therapies for patients with cancer:</w:t>
      </w:r>
    </w:p>
    <w:p>
      <w:pPr>
        <w:spacing w:after="0" w:line="39" w:lineRule="exact"/>
        <w:rPr>
          <w:sz w:val="20"/>
          <w:szCs w:val="20"/>
          <w:color w:val="auto"/>
        </w:rPr>
      </w:pPr>
    </w:p>
    <w:p>
      <w:pPr>
        <w:ind w:left="980" w:right="220" w:hanging="490"/>
        <w:spacing w:after="0" w:line="252"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Advance the clinical development of TNG462 as a monotherapy and in combination with other therapies in clinical trials to enable multiple registration paths, with our ultimate goal of enabling studies of TNG462 for the first-line treatment of MTAP-deleted pancreatic and lung cancer, both of which are markets with large addressable patient populations and high unmet need</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Advance the clinical development of TNG456 into a Phase 1/2 clinical trial focused on GBM</w:t>
      </w:r>
    </w:p>
    <w:p>
      <w:pPr>
        <w:spacing w:after="0" w:line="134" w:lineRule="exact"/>
        <w:rPr>
          <w:sz w:val="20"/>
          <w:szCs w:val="20"/>
          <w:color w:val="auto"/>
        </w:rPr>
      </w:pPr>
    </w:p>
    <w:p>
      <w:pPr>
        <w:ind w:left="980" w:right="44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Advance the clinical development of TNG260, an immunotherapy targeting genetically defined patients with STK11-mutant lung cancer</w:t>
      </w:r>
    </w:p>
    <w:p>
      <w:pPr>
        <w:spacing w:after="0" w:line="63" w:lineRule="exact"/>
        <w:rPr>
          <w:sz w:val="20"/>
          <w:szCs w:val="20"/>
          <w:color w:val="auto"/>
        </w:rPr>
      </w:pPr>
    </w:p>
    <w:p>
      <w:pPr>
        <w:ind w:left="980" w:right="54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Discover and drug the next generation of synthetic lethal precision oncology targets to continue to grow our pipeline</w:t>
      </w:r>
    </w:p>
    <w:p>
      <w:pPr>
        <w:spacing w:after="0" w:line="63" w:lineRule="exact"/>
        <w:rPr>
          <w:sz w:val="20"/>
          <w:szCs w:val="20"/>
          <w:color w:val="auto"/>
        </w:rPr>
      </w:pPr>
    </w:p>
    <w:p>
      <w:pPr>
        <w:ind w:left="980" w:right="4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Opportunistically evaluate and maximize the value of strategic collaborations to bring more medicines to patients, accelerate development timelines and explore combination therapy approaches for our product candidates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Unmet need of cancers caused by tumor suppressor gene loss</w:t>
      </w:r>
    </w:p>
    <w:p>
      <w:pPr>
        <w:spacing w:after="0" w:line="234"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Many genetic drivers of cancer have been well-characterized but have not been directly targeted due to their molecular structure (undruggable oncogenes) or functional loss (tumor suppressor genes). Tumor suppressor gene loss represents a significant portion of the many genetic alterations that drive the formation of cancers, but it remains a largely unaddressed target space. Targeting tumor suppressor gene loss directly is not possible because they are deleted or inactivated, and the immune evasion effects of tumor suppressor gene loss have only recently been described. We are using the concept of synthetic lethality to address the unmet medical need of large groups of patients characterized by tumor suppressor gene loss and activation of immune evasion genes.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Synthetic lethality to address tumor suppressor gene loss</w:t>
      </w:r>
    </w:p>
    <w:p>
      <w:pPr>
        <w:spacing w:after="0" w:line="234"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Synthetic lethal therapies for cancer refers to pairs of genes in which one is inactivated by a genetic alteration and the other is inhibited pharmacologically. 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w:t>
      </w:r>
    </w:p>
    <w:p>
      <w:pPr>
        <w:sectPr>
          <w:pgSz w:w="12960" w:h="16560" w:orient="portrait"/>
          <w:cols w:equalWidth="0" w:num="1">
            <w:col w:w="10160"/>
          </w:cols>
          <w:pgMar w:left="1360" w:top="1422" w:right="1440" w:bottom="535"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960" w:h="16560" w:orient="portrait"/>
          <w:cols w:equalWidth="0" w:num="1">
            <w:col w:w="10160"/>
          </w:cols>
          <w:pgMar w:left="1360" w:top="1422" w:right="1440" w:bottom="535" w:gutter="0" w:footer="0" w:header="0"/>
          <w:type w:val="continuous"/>
        </w:sectPr>
      </w:pPr>
    </w:p>
    <w:bookmarkStart w:id="12" w:name="page13"/>
    <w:bookmarkEnd w:id="12"/>
    <w:p>
      <w:pPr>
        <w:ind w:right="400"/>
        <w:spacing w:after="0" w:line="258" w:lineRule="auto"/>
        <w:rPr>
          <w:sz w:val="20"/>
          <w:szCs w:val="20"/>
          <w:color w:val="auto"/>
        </w:rPr>
      </w:pPr>
      <w:r>
        <w:rPr>
          <w:rFonts w:ascii="Times New Roman" w:cs="Times New Roman" w:eastAsia="Times New Roman" w:hAnsi="Times New Roman"/>
          <w:sz w:val="20"/>
          <w:szCs w:val="20"/>
          <w:color w:val="auto"/>
        </w:rPr>
        <w:t>vulnerable to the synthetic lethal drug target and are largely unaffected at drug doses where the mutant cancer cells are selectively killed, as noted in Figure 2 below. The recent success of PARP inhibitors in BRCA-mutant breast, ovarian and prostate cancers is the first clinical example of using synthetic lethality to target tumor suppressor gene loss.</w:t>
      </w:r>
    </w:p>
    <w:p>
      <w:pPr>
        <w:spacing w:after="0" w:line="190"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20"/>
          <w:szCs w:val="20"/>
          <w:i w:val="1"/>
          <w:iCs w:val="1"/>
          <w:color w:val="auto"/>
        </w:rPr>
        <w:t>Figure 2. In cancer cells, when a tumor suppressor gene is lost, it creates a genetic vulnerability that allows an inhibitor to target a synthetic lethal partner gene causing cell death. This selective killing only occurs in cancer cells with tumor suppressor loss, therefore largely sparing the normal cells. Therefore, these synthetic lethality targets inherently can offer a wide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130175</wp:posOffset>
            </wp:positionV>
            <wp:extent cx="4953000" cy="2019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4953000" cy="201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60" w:firstLine="562"/>
        <w:spacing w:after="0" w:line="252" w:lineRule="auto"/>
        <w:rPr>
          <w:sz w:val="20"/>
          <w:szCs w:val="20"/>
          <w:color w:val="auto"/>
        </w:rPr>
      </w:pPr>
      <w:r>
        <w:rPr>
          <w:rFonts w:ascii="Times New Roman" w:cs="Times New Roman" w:eastAsia="Times New Roman" w:hAnsi="Times New Roman"/>
          <w:sz w:val="20"/>
          <w:szCs w:val="20"/>
          <w:color w:val="auto"/>
        </w:rPr>
        <w:t>Moreover, we are using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the potential for maximum clinical benefit for the patient.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immune evasion platform</w:t>
      </w:r>
    </w:p>
    <w:p>
      <w:pPr>
        <w:spacing w:after="0" w:line="234"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synthetic lethal target discovery approach can be adapted to identify druggable targets that do not kill cancer cells directly, but rather attract immune cells to destroy them. Our immune evasion target discovery platform was designed to leverage immuno-oncology therapies with genetically defined patient populations to maximize clinical benefit. We are addressing the unmet medical need of this large group of patients by identifying novel immune evasion genes that (i) are activated by tumor suppressor gene loss and (ii) the effects of which can be reversed through inhibition with a small molecule. In the first step, we perform an in vivo CRISPR-based screen using immune cell-mediated cell killing as the readout. This first step allows us to identify tumor suppressor genes linked to immune evasion. For the second step, we repeat the in vivo CRISPR screen in animals with an intact immune system looking for potential drug targets that reverse the immune evasion effects of the tumor suppressor gene deletion.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PROGRAMS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PRMT5 inhibitors</w:t>
      </w:r>
    </w:p>
    <w:p>
      <w:pPr>
        <w:spacing w:after="0" w:line="23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PRMT5 has long been a therapeutic target of interest for cancer given its role in regulating proteins involved in multiple essential cellular functions, including RNA splicing, cell cycling, cell death, and metabolic signaling. PRMT5 is a protein arginine methyltransferase that modifies the activity of these proteins, which are critical for growth and viability of both normal and cancer cells. The first generation of PRMT5 inhibitors did not advance in clinical development because they were either SAM-cooperative or SAM-competitive (and not MTA-cooperative), and as a result, they killed rapidly growing normal cells (bone marrow cells in particular) as effectively as cancer cells and therefore on-target, dose-limiting bone marrow toxicity prevented adequate target inhibition in cancer cells. To address this problem, we designed TNG462 and TNG456 to be MTA-cooperative - and thus selectively active (synthetic lethal) - in cancer cells that have a homozygous deletion of MTAP, which is not deleted in normal cells.</w:t>
      </w:r>
    </w:p>
    <w:p>
      <w:pPr>
        <w:spacing w:after="0" w:line="196"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This synthetic lethal interaction occurs when MTAP is co-deleted as a “passenger” with the frequently deleted tumor suppressor gene CDKN2A. The synthetic lethality occurs because MTAP-deleted cells accumulate the PRMT5 inhibitory factor MTA. As a result, PRMT5 is partially inhibited in MTAP-deleted cells, making those cells more sensitive than normal cells to further inhibition of PRMT5 activity. Taking advantage of this unique interaction between PRMT5 inhibition and</w:t>
      </w:r>
    </w:p>
    <w:p>
      <w:pPr>
        <w:sectPr>
          <w:pgSz w:w="12960" w:h="16560" w:orient="portrait"/>
          <w:cols w:equalWidth="0" w:num="1">
            <w:col w:w="10160"/>
          </w:cols>
          <w:pgMar w:left="1360" w:top="1420" w:right="1440" w:bottom="535"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960" w:h="16560" w:orient="portrait"/>
          <w:cols w:equalWidth="0" w:num="1">
            <w:col w:w="10160"/>
          </w:cols>
          <w:pgMar w:left="1360" w:top="1420" w:right="1440" w:bottom="535" w:gutter="0" w:footer="0" w:header="0"/>
          <w:type w:val="continuous"/>
        </w:sectPr>
      </w:pPr>
    </w:p>
    <w:bookmarkStart w:id="13" w:name="page14"/>
    <w:bookmarkEnd w:id="13"/>
    <w:p>
      <w:pPr>
        <w:ind w:right="80"/>
        <w:spacing w:after="0" w:line="249" w:lineRule="auto"/>
        <w:rPr>
          <w:sz w:val="20"/>
          <w:szCs w:val="20"/>
          <w:color w:val="auto"/>
        </w:rPr>
      </w:pPr>
      <w:r>
        <w:rPr>
          <w:rFonts w:ascii="Times New Roman" w:cs="Times New Roman" w:eastAsia="Times New Roman" w:hAnsi="Times New Roman"/>
          <w:sz w:val="20"/>
          <w:szCs w:val="20"/>
          <w:color w:val="auto"/>
        </w:rPr>
        <w:t>MTAP deletion requires that the inhibitors have a specific binding mechanism called MTA cooperativity. TNG908, TNG462 and TNG456 bind cooperatively with MTA to inhibit PRMT5 function by blocking access to the PRMT5 active site for both protein substrates and the activating PRMT5 co-factor SAM, specifically in tumor cells which are MTAP deleted. This MTA-cooperative binding mechanism allows selective inhibition of PRMT5 in tumor cells that have lost MTAP while being relatively inert in normal cells without MTAP deletion.</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MTAP-deletion frequency in multiple solid tumor types</w:t>
      </w:r>
    </w:p>
    <w:p>
      <w:pPr>
        <w:spacing w:after="0" w:line="230"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19"/>
          <w:szCs w:val="19"/>
          <w:color w:val="auto"/>
        </w:rPr>
        <w:t>A partial deletion of chromosome 9p21, driven by loss of the tumor suppressor gene CDKN2A, is the most common homozygous deletion in human cancer. MTAP is adjacent to CDKN2A and is lost along with it in 80-90% of CDKN2A-deleted tumors, thus MTAP is one of the most commonly deleted genes across all cancer types. Based on The Cancer Genome Atlas and Dana Farber Cancer Institute (O’Kane, G.M et al. Cancer Res., 2024) data, there are at least 15 cancer types where MTAP loss occurs in more than 10% of patients, including approximately 10% of non-squamous NSCLC, 20% of squamous NSCLC, 25% of bladder cancers, 35% of pancreatic cancers, and 45% of GBM. Our development program for TNG462 is focusing primarily on patients with pancreatic and lung cancer, and we estimate that the annual addressable patient population in the U.S. for these indications totals approximately 37,000 patients. Our development program for TNG456 will focus primarily on patients with GBM, which has an annual addressable U.S. patient population of approximately 7,000 patients.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Strong preclinical data demonstrated with our MTA-cooperative PRMT5 inhibitors in MTAP-deleted cancers</w:t>
      </w:r>
    </w:p>
    <w:p>
      <w:pPr>
        <w:spacing w:after="0" w:line="234"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auto"/>
        </w:rPr>
        <w:t>Since PRMT5 is an essential enzyme for all cell types, we designed our PRMT5 inhibitors to be selectively active in cancer cells that have a homozygous deletion of MTAP, which is not deleted in normal cells.</w:t>
      </w:r>
    </w:p>
    <w:p>
      <w:pPr>
        <w:spacing w:after="0" w:line="159"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In normal cells with MTAP, MTA is rapidly degraded by MTAP and therefore does not inhibit PRMT5. When MTAP is deleted in cancer cells, intracellular MTA is markedly elevated compared to normal cells (Figures 3 and 4 below) and partially inhibits PRMT5. Our inhibitors preferentially bind PRMT5 in the presence of MTA and “lock” the enzyme into the inactive state which further inhibits PRMT5 and prevents it from methylating target proteins critical for cell survival. As a result, our inhibitors selectively kill MTAP-deleted tumor cells with elevated MTA levels while sparing normal cells.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3.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163195</wp:posOffset>
            </wp:positionV>
            <wp:extent cx="4648200" cy="2705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4648200" cy="270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20"/>
          <w:szCs w:val="20"/>
          <w:i w:val="1"/>
          <w:iCs w:val="1"/>
          <w:color w:val="auto"/>
        </w:rPr>
        <w:t>Figure 4. TNG462 and TNG456 have an MTA-cooperative mechanism of action that is selective for MTAP-deleted cancer cells</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960" w:h="16560" w:orient="portrait"/>
          <w:cols w:equalWidth="0" w:num="1">
            <w:col w:w="10160"/>
          </w:cols>
          <w:pgMar w:left="1360" w:top="1420" w:right="1440" w:bottom="535"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1567815</wp:posOffset>
            </wp:positionH>
            <wp:positionV relativeFrom="page">
              <wp:posOffset>914400</wp:posOffset>
            </wp:positionV>
            <wp:extent cx="5010150" cy="2190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010150"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In preclinical studies, our PRMT5 inhibitors drive dose-dependent, on-target, anti-tumor activity including deep and durable regressions in MTAP-null xenograft models regardless of histology. TNG462 and TNG456 have demonstrated increased potency and MTAP deletion selectivity as compared to TNG908 in these preclinical studies.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Figure 5. TNG908, TNG462 and TNG456 are potent and highly MTAP-selective.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156845</wp:posOffset>
            </wp:positionV>
            <wp:extent cx="3292475" cy="974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329247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0" w:firstLine="770"/>
        <w:spacing w:after="0" w:line="252" w:lineRule="auto"/>
        <w:rPr>
          <w:sz w:val="20"/>
          <w:szCs w:val="20"/>
          <w:color w:val="auto"/>
        </w:rPr>
      </w:pPr>
      <w:r>
        <w:rPr>
          <w:rFonts w:ascii="Times New Roman" w:cs="Times New Roman" w:eastAsia="Times New Roman" w:hAnsi="Times New Roman"/>
          <w:sz w:val="20"/>
          <w:szCs w:val="20"/>
          <w:color w:val="auto"/>
        </w:rPr>
        <w:t>During the course of the TNG908 Phase1/2 clinical trial, we determined that the TNG908 exposure in the brain of GBM patients did not achieve the necessary threshold for efficacy. Due to the predicted brain penetrance and increased potency and selectivity of TNG456, we expect that brain exposure of TNG456 at well-tolerated doses will be above the clinical efficacy threshold required in GBM.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6. TNG908 (actual) and TNG456 (predicted) steady-state clinical exposure in plasma and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163195</wp:posOffset>
            </wp:positionV>
            <wp:extent cx="6438900" cy="246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6438900" cy="246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combination data</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960" w:h="16560" w:orient="portrait"/>
          <w:cols w:equalWidth="0" w:num="1">
            <w:col w:w="10160"/>
          </w:cols>
          <w:pgMar w:left="1360" w:top="1440" w:right="1440" w:bottom="535" w:gutter="0" w:footer="0" w:header="0"/>
        </w:sectPr>
      </w:pPr>
    </w:p>
    <w:bookmarkStart w:id="15" w:name="page16"/>
    <w:bookmarkEnd w:id="15"/>
    <w:p>
      <w:pPr>
        <w:ind w:right="260" w:firstLine="720"/>
        <w:spacing w:after="0" w:line="252" w:lineRule="auto"/>
        <w:rPr>
          <w:sz w:val="20"/>
          <w:szCs w:val="20"/>
          <w:color w:val="auto"/>
        </w:rPr>
      </w:pPr>
      <w:r>
        <w:rPr>
          <w:rFonts w:ascii="Times New Roman" w:cs="Times New Roman" w:eastAsia="Times New Roman" w:hAnsi="Times New Roman"/>
          <w:sz w:val="20"/>
          <w:szCs w:val="20"/>
          <w:color w:val="auto"/>
        </w:rPr>
        <w:t>We plan to develop TNG462 and TNG456 as monotherapy agents and in combination with other agents. Based on strong preclinical data showing significant in vivo combination benefit, clinical combinations that are currently being executed, planned or are of potential interest for the future with our PRMT5 inhibitors include KRAS, CDK4/6, EGFR and MAT2A inhibitors and potentially other oncogene-targeted therapies.</w:t>
      </w:r>
    </w:p>
    <w:p>
      <w:pPr>
        <w:spacing w:after="0" w:line="88" w:lineRule="exact"/>
        <w:rPr>
          <w:sz w:val="20"/>
          <w:szCs w:val="20"/>
          <w:color w:val="auto"/>
        </w:rPr>
      </w:pPr>
    </w:p>
    <w:p>
      <w:pPr>
        <w:ind w:left="980" w:right="60" w:hanging="490"/>
        <w:spacing w:after="0" w:line="265"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19"/>
          <w:szCs w:val="19"/>
          <w:color w:val="auto"/>
        </w:rPr>
        <w:t>Approximately 30% of MTAP-deleted lung adenocarcinomas and &gt;90% of MTAP-deleted pancreatic adenocarcinomas are also KRAS-mutant. Preclinical in vivo studies further support testing these combinations in clinical trials. We have a clinical collaboration with Revolution Medicines, Inc., or RevMed, to combine TNG462 with daraxonrasib (RMC-6236), a RAS(ON) multi-selective inhibitor, and separately with zoldonrasib (RMC-9805), a RAS(ON) G12D-selective inhibitor, in MTAP-deleted, KRAS-mutant pancreatic and lung cancer.</w:t>
      </w:r>
    </w:p>
    <w:p>
      <w:pPr>
        <w:spacing w:after="0" w:line="78" w:lineRule="exact"/>
        <w:rPr>
          <w:sz w:val="20"/>
          <w:szCs w:val="20"/>
          <w:color w:val="auto"/>
        </w:rPr>
      </w:pPr>
    </w:p>
    <w:p>
      <w:pPr>
        <w:ind w:left="980" w:right="40" w:hanging="490"/>
        <w:spacing w:after="0" w:line="233"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Essentially all MTAP-deleted tumors also harbor a CDKN2A deletion, which may sensitize cancers to CDK4/6 inhibition. We have demonstrated the efficacy of this combination in preclinical in vivo studies. We have a clinical collaboration agreement with Eli Lilly and Company, or Lilly, that will supply Verzenio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(abemaciclib), a CDK4/6 inhibitor, for use in combination with TNG456 in our planned Phase 1/2 clinical trial focused in MTAP-deleted GBM.</w:t>
      </w:r>
    </w:p>
    <w:p>
      <w:pPr>
        <w:spacing w:after="0" w:line="100" w:lineRule="exact"/>
        <w:rPr>
          <w:sz w:val="20"/>
          <w:szCs w:val="20"/>
          <w:color w:val="auto"/>
        </w:rPr>
      </w:pPr>
    </w:p>
    <w:p>
      <w:pPr>
        <w:ind w:left="980" w:right="24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20%-50% of MTAP-deleted lung adenocarcinomas are also EGFR-mutant. Combining TNG462 with an EGFR inhibitor in these patients may have a clinical benefit. Preclinical studies in EGFR-mutant lung models further support testing these combinations in clinical trials.</w:t>
      </w:r>
    </w:p>
    <w:p>
      <w:pPr>
        <w:spacing w:after="0" w:line="82" w:lineRule="exact"/>
        <w:rPr>
          <w:sz w:val="20"/>
          <w:szCs w:val="20"/>
          <w:color w:val="auto"/>
        </w:rPr>
      </w:pPr>
    </w:p>
    <w:p>
      <w:pPr>
        <w:ind w:left="980" w:right="180" w:hanging="490"/>
        <w:spacing w:after="0" w:line="249"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MAT2A inhibitors reduce intracellular levels of the activating PRMT5 co-factor, SAM, and increase the ratio of MTA to SAM in MTAP-deleted cells. Strong synergy has been demonstrated preclinically with sub-therapeutic doses of TNG462 and a MAT2A inhibitor, suggesting that this could be a beneficial clinical combination in MTAP-deleted tumors. However, single agent TNG462 with optimized dosing is as efficacious as the combination with a MAT2A in the same xenograft model.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trials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TNG462 Phase 1/2</w:t>
      </w:r>
    </w:p>
    <w:p>
      <w:pPr>
        <w:spacing w:after="0" w:line="23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TNG462 Phase 1/2 clinical trial is evaluating the safety and efficacy of TNG462 in patients with MTAP-deleted solid tumors. The first patient was dosed in July 2023. The dose expansion portion of the clinical trial opened in July 2024 and is focused on patients with MTAP-deleted pancreatic and lung cancer. We are currently enrolling patients at 250 mg QD.</w:t>
      </w:r>
    </w:p>
    <w:p>
      <w:pPr>
        <w:spacing w:after="0" w:line="17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In November 2024, we reported on the 59 patients enrolled in this Phase 1/2 clinical trial across 13 histologies, with 39 evaluable patients at active doses (160-600 mg QD). We reported RECIST partial responses in multiple tumor types, including pancreatic and lung cancer. The median progression-free survival, or PFS, in evaluable patients at active doses in the escalation portion of the trial was 24 weeks. Additionally, we disclosed promising early efficacy data in cholangiocarcinoma, with an overall response rate (ORR) of 43% (3/7 patients with RECIST partial responses). Enrollment is ongoing, data are continuing to mature across tumor types and we plan to provide clinical data in 2025.</w:t>
      </w:r>
    </w:p>
    <w:p>
      <w:pPr>
        <w:spacing w:after="0" w:line="19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Overall, our initial data showed that TNG462 has a more durable clinical activity and we observed a cleaner safety and tolerability profile than AMG193 (based on publicly available information; comparable PFS data on BMS's PRMT5 inhibitor are not available). These data support our view that TNG462 has the potential to be a best-in-class molecule. Future development plans for TNG462 include both monotherapy and combination trials, including a planned combination clinical trial with RAS(ON) multi- and G12D-selective inhibitors from RevMed, which we expect to begin enrolling in the first half of 2025. The novel combinations with RAS(ON) multi - and G12D-selective inhibitors are supported by strong preclinical data, as well as clinical data demonstrating each molecule has been well-tolerated and active as a single agent. We are also investigating combinations with TNG462 and pembrolizimab and chemotherapy, respectively, to support potential first line registrational studies in pancreatic and lung cancer.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TNG456 Phase 1/2</w:t>
      </w:r>
    </w:p>
    <w:p>
      <w:pPr>
        <w:spacing w:after="0" w:line="240"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In January 2025, the FDA cleared the IND for the TNG456 Phase 1/2 clinical trial for TNG456, in which we plan to evaluate patients with TNG456 monotherapy as well as in combination with abemaciclib. We expect enrollment to begin in the first half of 2025 and plan to focus on patients with CNS cancers, including GBM.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TNG908 Phase 1/2</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960" w:h="16560" w:orient="portrait"/>
          <w:cols w:equalWidth="0" w:num="1">
            <w:col w:w="10160"/>
          </w:cols>
          <w:pgMar w:left="1360" w:top="1420" w:right="1440" w:bottom="535" w:gutter="0" w:footer="0" w:header="0"/>
          <w:type w:val="continuous"/>
        </w:sectPr>
      </w:pPr>
    </w:p>
    <w:bookmarkStart w:id="16" w:name="page17"/>
    <w:bookmarkEnd w:id="16"/>
    <w:p>
      <w:pPr>
        <w:ind w:right="200" w:firstLine="720"/>
        <w:spacing w:after="0" w:line="258" w:lineRule="auto"/>
        <w:rPr>
          <w:sz w:val="20"/>
          <w:szCs w:val="20"/>
          <w:color w:val="auto"/>
        </w:rPr>
      </w:pPr>
      <w:r>
        <w:rPr>
          <w:rFonts w:ascii="Times New Roman" w:cs="Times New Roman" w:eastAsia="Times New Roman" w:hAnsi="Times New Roman"/>
          <w:sz w:val="20"/>
          <w:szCs w:val="20"/>
          <w:color w:val="auto"/>
        </w:rPr>
        <w:t>The TNG908 Phase 1/2 first-in-human trial was evaluating the oral administration of TNG908 monotherapy in patients with MTAP -deleted tumors. The FDA cleared the IND for the TNG908 Phase 1/2 clinical trial in the first quarter of 2022. TNG908 dose escalation began in August 2022 and enrollment in the dose expansion cohorts began in April 2024.</w:t>
      </w:r>
    </w:p>
    <w:p>
      <w:pPr>
        <w:spacing w:after="0" w:line="178"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In November 2024, we announced data from the Phase 1/2 clinical trial of TNG908, demonstrating durable clinical responses, including RECIST partial responses across multiple tumor types (including pancreatic and lung cancer), and a good safety and tolerability profile. Patients in the dose escalation cohort treated with active doses of TNG908 had a median PFS of 16 weeks (excluding GBM). However, we did not observe any responses by RANO criteria in GBM, a development focus of TNG908. As a result, we stopped enrollment of the TNG908 clinical trial and discontinued further development in order to fully resource TNG462 and TNG456 development.</w:t>
      </w:r>
    </w:p>
    <w:p>
      <w:pPr>
        <w:spacing w:after="0" w:line="190" w:lineRule="exact"/>
        <w:rPr>
          <w:sz w:val="20"/>
          <w:szCs w:val="20"/>
          <w:color w:val="auto"/>
        </w:rPr>
      </w:pPr>
    </w:p>
    <w:p>
      <w:pPr>
        <w:ind w:right="20" w:firstLine="820"/>
        <w:spacing w:after="0" w:line="244" w:lineRule="auto"/>
        <w:rPr>
          <w:sz w:val="20"/>
          <w:szCs w:val="20"/>
          <w:color w:val="auto"/>
        </w:rPr>
      </w:pPr>
      <w:r>
        <w:rPr>
          <w:rFonts w:ascii="Times New Roman" w:cs="Times New Roman" w:eastAsia="Times New Roman" w:hAnsi="Times New Roman"/>
          <w:sz w:val="20"/>
          <w:szCs w:val="20"/>
          <w:color w:val="auto"/>
        </w:rPr>
        <w:t>As of January 2025, the TNG908 Phase 1/2 trial had enrolled 110 patients, 77 patients with non-CNS tumors and 33 with GBM. Of the 77 patients with non-CNS tumors, 39 patients were evaluable at active doses. Eight partial responses were observed (four confirmed, three yet to confirm and one failed to confirm). In pancreatic cancer, four of eleven patients had RECIST partial responses (ORR 36%) and three of eleven pancreatic cancer patients had stable disease. In lung cancer, one of nine patients had a RECIST partial response (ORR 11%) and six of the nine had stable disease. Median time on study in dose escalation at active doses was 16 weeks, excluding GBM patients. Of the 33 patients with CNS tumors, 23 patients were evaluable at active doses as of January 2025, with a median time on study of less than 8 weeks. Among GBM patients, there were no RANO partial responses and brain exposure was approximately 30% of plasma exposure. The TNG908 brain exposures in the three patients sampled were below what we believe to be the activity threshold for this molecule. TNG908 was safe and well-tolerated at doses below 900 mg BID.</w:t>
      </w:r>
    </w:p>
    <w:p>
      <w:pPr>
        <w:spacing w:after="0" w:line="192" w:lineRule="exact"/>
        <w:rPr>
          <w:sz w:val="20"/>
          <w:szCs w:val="20"/>
          <w:color w:val="auto"/>
        </w:rPr>
      </w:pPr>
    </w:p>
    <w:p>
      <w:pPr>
        <w:ind w:firstLine="860"/>
        <w:spacing w:after="0" w:line="249" w:lineRule="auto"/>
        <w:rPr>
          <w:sz w:val="20"/>
          <w:szCs w:val="20"/>
          <w:color w:val="auto"/>
        </w:rPr>
      </w:pPr>
      <w:r>
        <w:rPr>
          <w:rFonts w:ascii="Times New Roman" w:cs="Times New Roman" w:eastAsia="Times New Roman" w:hAnsi="Times New Roman"/>
          <w:sz w:val="20"/>
          <w:szCs w:val="20"/>
          <w:color w:val="auto"/>
        </w:rPr>
        <w:t>The Phase 1/2 clinical trial data suggest TNG908 is an active and well-tolerated MTA-cooperative PRMT5 inhibitor in non-CNS solid tumors. However, we believe TNG462 has the potential to be the best-in-class molecule given that it has favorable pharmacokinetics, pharmacodynamics, safety and tolerability compared to TNG908. Based on our preclinical data, we expect that TNG456 will have CNS exposure above the efficacy threshold. For these reasons, we discontinued further development of TNG908 to fully resource the development of TNG462 and TNG456.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CoREST inhibition to reserve immune evasion</w:t>
      </w:r>
    </w:p>
    <w:p>
      <w:pPr>
        <w:spacing w:after="0" w:line="244" w:lineRule="exact"/>
        <w:rPr>
          <w:sz w:val="20"/>
          <w:szCs w:val="20"/>
          <w:color w:val="auto"/>
        </w:rPr>
      </w:pPr>
    </w:p>
    <w:p>
      <w:pPr>
        <w:ind w:right="260" w:firstLine="720"/>
        <w:spacing w:after="0" w:line="252" w:lineRule="auto"/>
        <w:rPr>
          <w:sz w:val="20"/>
          <w:szCs w:val="20"/>
          <w:color w:val="auto"/>
        </w:rPr>
      </w:pPr>
      <w:r>
        <w:rPr>
          <w:rFonts w:ascii="Times New Roman" w:cs="Times New Roman" w:eastAsia="Times New Roman" w:hAnsi="Times New Roman"/>
          <w:sz w:val="20"/>
          <w:szCs w:val="20"/>
          <w:color w:val="auto"/>
        </w:rPr>
        <w:t>CoREST was discovered using our immune evasion target discovery platform as a drug target with the potential to reverse the immune evasion associated with STK11 mutations. This platform uses high throughput in vivo CRISPR-based target discovery screens to identify druggable targets that do not kill cancer cells directly but rather attract immune cells to destroy them in the context of specific tumor suppressor gene loss.</w:t>
      </w:r>
    </w:p>
    <w:p>
      <w:pPr>
        <w:spacing w:after="0" w:line="184"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STK11 loss-of-function mutations occur in approximately 20% of NSCLC, 15% of cervical, 10% carcinoma of unknown primary, 5% of breast and 3% of pancreatic cancers. STK11 loss-of-function mutations in lung cancer result in the inactivity of treatment with an immune checkpoint inhibitor, such as anti-PD-1. As a result, checkpoint inhibitor therapy is not sufficient to overcome the immune evasive environment of STK11-mutant tumors, leading to very limited clinical response in these patients. Inhibition of the CoREST complex by TNG260 has been shown in preclinical studies to lead to changes in expression of immune-related genes that favor a more active immune environment. For example, TNG260 treatment leads to increased expression of CXCL9, CXCL10, and CXCL11, which are cytokines responsible for recruiting T effector cells, therefore increasing the anti-tumor immune response when combined with anti-PD-1 antibody. Additionally, the combination of TNG260 with an anti-PD -1 antibody in preclinical studies leads to decreased expression of CCL1 and CCL22, which are chemokines responsible for recruiting immune suppressive regulatory T cells to the tumor environment. Together, this leads to an uncoupling of the levels of T effector and regulatory T cells in the tumor, which contributes to a more active immune microenvironment and re-sensitization to anti-PD-1 treatment.</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960" w:h="16560" w:orient="portrait"/>
          <w:cols w:equalWidth="0" w:num="1">
            <w:col w:w="10160"/>
          </w:cols>
          <w:pgMar w:left="1360" w:top="1420" w:right="1440" w:bottom="535" w:gutter="0" w:footer="0" w:header="0"/>
          <w:type w:val="continuous"/>
        </w:sectPr>
      </w:pPr>
    </w:p>
    <w:bookmarkStart w:id="17" w:name="page18"/>
    <w:bookmarkEnd w:id="17"/>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7. TNG260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562600" cy="2522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5562600"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Our in vivo CRISPR discovery platform enabled the discovery of STK11 as a tumor suppressor gene that drives immune evasion when not functional in cancer cells. We engineered a syngeneic mouse tumor model in which STK11 loss-of-function drives resistance to immune checkpoint blockade. Applying our in vivo CRISPR screen in this STK11 loss-of-function model, HDAC1 was identified as a target that reversed anti-PD-1 resistance caused by STK11 deletion. Though HDAC1 is a component of three major regulatory complexes, we observed that TNG260 is highly selective and only inhibits the CoREST complex and spares the other two complexes (Sin3 and NuRD).</w:t>
      </w:r>
    </w:p>
    <w:p>
      <w:pPr>
        <w:spacing w:after="0" w:line="190"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In preclinical models, TNG260 demonstrated strong genetic and pharmacologic validation showing reprogramming of the tumor microenvironment and strong sensitization to anti-PD-1 therapy in STK11-deficient tumor models. In a syngeneic mouse tumor model where STK11 mutations drive resistance to immune checkpoint blockade, CoREST inhibition by TNG260 in combination with an anti-PD-1 antibody resulted in complete tumor regressions in five out of eight treated mice. Treatment was stopped on Day 48 and the five of eight mice that were completely tumor-free at that time remained tumor-free for 21 days with no further treatment. Furthermore, when tumor cells were re-implanted in these mice on day 69, they were rejected, compared to a treatment-naïve group of animals where tumors grew as expected. This demonstrated the induction of immune memory in the animals with complete responses to TNG260 with anti-PD-1 antibody (Figure 15).</w:t>
      </w:r>
    </w:p>
    <w:p>
      <w:pPr>
        <w:spacing w:after="0" w:line="19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0"/>
          <w:szCs w:val="20"/>
          <w:i w:val="1"/>
          <w:iCs w:val="1"/>
          <w:color w:val="auto"/>
        </w:rPr>
        <w:t>Figure 8: Pharmacologic proof-of-concept for CoREST inhibition in STK11 mutant MC38 mouse tumors with TNG260 in combination with an anti-PD-1 antibody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960" w:h="16560" w:orient="portrait"/>
          <w:cols w:equalWidth="0" w:num="1">
            <w:col w:w="10160"/>
          </w:cols>
          <w:pgMar w:left="1360" w:top="1440" w:right="1440" w:bottom="535"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1858010</wp:posOffset>
            </wp:positionH>
            <wp:positionV relativeFrom="page">
              <wp:posOffset>914400</wp:posOffset>
            </wp:positionV>
            <wp:extent cx="4468495" cy="2743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46849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TNG260 Phase 1/2</w:t>
      </w:r>
    </w:p>
    <w:p>
      <w:pPr>
        <w:spacing w:after="0" w:line="230"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Our Phase 1/2 first-in-human trial of TNG260 evaluates the oral administration of TNG260 in combination with pembrolizumab (an anti-PD-1 antibody) in patients with STK11-mutant solid tumors focused on lung cancer. As TNG260 is designed to work in combination with anti-PD-1 antibodies in tumors with STK11 loss, enrollment is limited to patients with STK11 mutated tumors.</w:t>
      </w:r>
    </w:p>
    <w:p>
      <w:pPr>
        <w:spacing w:after="0" w:line="18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In the first quarter of 2023, the FDA cleared the TNG260 IND and we announced the first patient in the Phase 1/2 clinical trial was dosed in July 2023. In the dose escalation phase of the TNG260 Phase 1/2 trial, patients received TNG260 as single agent for the first 21 days of therapy, at which time pembrolizumab was added to TNG260. This safety evaluation period was not required as part of the dose escalation portion of the clinical trial. We are enrolling patients in the dose expansion portion of the trial at 80 mg QD. Clinical proof-of-mechanism has been established for TNG260 based on pharmacodynamic data from on-treatment patient biopsies, with favorable safety, tolerability and pharmacokinetic profiles to date. We plan to provide clinical data on the TNG260 clinical trial in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Collaboration and License Agreements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 and License Agreement with Gilead Sciences</w:t>
      </w:r>
    </w:p>
    <w:p>
      <w:pPr>
        <w:spacing w:after="0" w:line="240" w:lineRule="exact"/>
        <w:rPr>
          <w:sz w:val="20"/>
          <w:szCs w:val="20"/>
          <w:color w:val="auto"/>
        </w:rPr>
      </w:pPr>
    </w:p>
    <w:p>
      <w:pPr>
        <w:ind w:right="40" w:firstLine="562"/>
        <w:spacing w:after="0" w:line="257" w:lineRule="auto"/>
        <w:rPr>
          <w:sz w:val="20"/>
          <w:szCs w:val="20"/>
          <w:color w:val="auto"/>
        </w:rPr>
      </w:pPr>
      <w:r>
        <w:rPr>
          <w:rFonts w:ascii="Times New Roman" w:cs="Times New Roman" w:eastAsia="Times New Roman" w:hAnsi="Times New Roman"/>
          <w:sz w:val="19"/>
          <w:szCs w:val="19"/>
          <w:color w:val="auto"/>
        </w:rPr>
        <w:t>In August 2020, we entered into an amended and restated research collaboration and license agreement, which we refer to as the Gilead Agreement, with Gilead. The Gilead Agreement expanded our 2018 collaboration with Gilead, or the 2018 Gilead Agreement. Pursuant to the Gilead Agreement, we use our proprietary functional genomics-based discovery platform to identify and develop novel immune evasion targets during a seven-year period ending in August 2027,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196" w:lineRule="exact"/>
        <w:rPr>
          <w:sz w:val="20"/>
          <w:szCs w:val="20"/>
          <w:color w:val="auto"/>
        </w:rPr>
      </w:pPr>
    </w:p>
    <w:p>
      <w:pPr>
        <w:ind w:right="160" w:firstLine="562"/>
        <w:spacing w:after="0" w:line="260" w:lineRule="auto"/>
        <w:rPr>
          <w:sz w:val="20"/>
          <w:szCs w:val="20"/>
          <w:color w:val="auto"/>
        </w:rPr>
      </w:pPr>
      <w:r>
        <w:rPr>
          <w:rFonts w:ascii="Times New Roman" w:cs="Times New Roman" w:eastAsia="Times New Roman" w:hAnsi="Times New Roman"/>
          <w:sz w:val="19"/>
          <w:szCs w:val="19"/>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and as of December 31, 2024, we received $38.2 million in license fees and $24.0 million in research extension fees. We are eligible to receive up to an additional $410.0 million per program in license, research extension, and clinical, regulatory and commercial milestone payments. We are also eligible to receive tiered royalties in the first decile on net sales by Gilead on a country-by-country and product-by-product basis until the later of (i) the expiration of the last valid claim of our patents or, in some instances, certain of Gilead’s patents, in each case covering such product in such country or (ii) ten years after the first commercial sale of such product in such country. For those</w:t>
      </w:r>
    </w:p>
    <w:p>
      <w:pPr>
        <w:sectPr>
          <w:pgSz w:w="12960" w:h="16560" w:orient="portrait"/>
          <w:cols w:equalWidth="0" w:num="1">
            <w:col w:w="10160"/>
          </w:cols>
          <w:pgMar w:left="1360" w:top="1440" w:right="1440" w:bottom="535"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960" w:h="16560" w:orient="portrait"/>
          <w:cols w:equalWidth="0" w:num="1">
            <w:col w:w="10160"/>
          </w:cols>
          <w:pgMar w:left="1360" w:top="1440" w:right="1440" w:bottom="535" w:gutter="0" w:footer="0" w:header="0"/>
          <w:type w:val="continuous"/>
        </w:sectPr>
      </w:pPr>
    </w:p>
    <w:bookmarkStart w:id="19" w:name="page20"/>
    <w:bookmarkEnd w:id="19"/>
    <w:p>
      <w:pPr>
        <w:ind w:right="140"/>
        <w:spacing w:after="0" w:line="258" w:lineRule="auto"/>
        <w:rPr>
          <w:sz w:val="20"/>
          <w:szCs w:val="20"/>
          <w:color w:val="auto"/>
        </w:rPr>
      </w:pPr>
      <w:r>
        <w:rPr>
          <w:rFonts w:ascii="Times New Roman" w:cs="Times New Roman" w:eastAsia="Times New Roman" w:hAnsi="Times New Roman"/>
          <w:sz w:val="20"/>
          <w:szCs w:val="20"/>
          <w:color w:val="auto"/>
        </w:rPr>
        <w:t>products that we opt to co-develop and co-promote in the United States, we and Gilead will equally split profits and losses from the sales of such products in the United States, as well as development costs for such products attributable to the United States.</w:t>
      </w:r>
    </w:p>
    <w:p>
      <w:pPr>
        <w:spacing w:after="0" w:line="188" w:lineRule="exact"/>
        <w:rPr>
          <w:sz w:val="20"/>
          <w:szCs w:val="20"/>
          <w:color w:val="auto"/>
        </w:rPr>
      </w:pPr>
    </w:p>
    <w:p>
      <w:pPr>
        <w:ind w:right="60" w:firstLine="562"/>
        <w:spacing w:after="0" w:line="246" w:lineRule="auto"/>
        <w:rPr>
          <w:sz w:val="20"/>
          <w:szCs w:val="20"/>
          <w:color w:val="auto"/>
        </w:rPr>
      </w:pPr>
      <w:r>
        <w:rPr>
          <w:rFonts w:ascii="Times New Roman" w:cs="Times New Roman" w:eastAsia="Times New Roman" w:hAnsi="Times New Roman"/>
          <w:sz w:val="20"/>
          <w:szCs w:val="20"/>
          <w:color w:val="auto"/>
        </w:rPr>
        <w:t>Either party may terminate the Gilead Agreement if the other party materially breaches the terms of such agreement, subject to specified notice and cure provisions, or enters into bankruptcy or insolvency proceedings. 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w:t>
      </w:r>
    </w:p>
    <w:p>
      <w:pPr>
        <w:spacing w:after="0" w:line="200" w:lineRule="exact"/>
        <w:rPr>
          <w:sz w:val="20"/>
          <w:szCs w:val="20"/>
          <w:color w:val="auto"/>
        </w:rPr>
      </w:pPr>
    </w:p>
    <w:p>
      <w:pPr>
        <w:ind w:right="360" w:firstLine="562"/>
        <w:spacing w:after="0" w:line="277" w:lineRule="auto"/>
        <w:rPr>
          <w:sz w:val="20"/>
          <w:szCs w:val="20"/>
          <w:color w:val="auto"/>
        </w:rPr>
      </w:pPr>
      <w:r>
        <w:rPr>
          <w:rFonts w:ascii="Times New Roman" w:cs="Times New Roman" w:eastAsia="Times New Roman" w:hAnsi="Times New Roman"/>
          <w:sz w:val="20"/>
          <w:szCs w:val="20"/>
          <w:color w:val="auto"/>
        </w:rPr>
        <w:t>To date, Gilead has licensed four of our programs and has research option-extended two programs (of these option-extended programs, one was licensed and one stopped further development) under the Gilead agreements.</w:t>
      </w:r>
    </w:p>
    <w:p>
      <w:pPr>
        <w:spacing w:after="0" w:line="169" w:lineRule="exact"/>
        <w:rPr>
          <w:sz w:val="20"/>
          <w:szCs w:val="20"/>
          <w:color w:val="auto"/>
        </w:rPr>
      </w:pPr>
    </w:p>
    <w:p>
      <w:pPr>
        <w:ind w:right="160" w:firstLine="562"/>
        <w:spacing w:after="0" w:line="249" w:lineRule="auto"/>
        <w:rPr>
          <w:sz w:val="20"/>
          <w:szCs w:val="20"/>
          <w:color w:val="auto"/>
        </w:rPr>
      </w:pPr>
      <w:r>
        <w:rPr>
          <w:rFonts w:ascii="Times New Roman" w:cs="Times New Roman" w:eastAsia="Times New Roman" w:hAnsi="Times New Roman"/>
          <w:sz w:val="20"/>
          <w:szCs w:val="20"/>
          <w:color w:val="auto"/>
        </w:rPr>
        <w:t>Our collaboration with Gilead excludes our lead programs, PRMT5 and CoREST, as well as a growing pipeline of novel targets identified in our non-immune related target discovery screens.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Medivir AB</w:t>
      </w:r>
    </w:p>
    <w:p>
      <w:pPr>
        <w:spacing w:after="0" w:line="240" w:lineRule="exact"/>
        <w:rPr>
          <w:sz w:val="20"/>
          <w:szCs w:val="20"/>
          <w:color w:val="auto"/>
        </w:rPr>
      </w:pPr>
    </w:p>
    <w:p>
      <w:pPr>
        <w:ind w:right="20" w:firstLine="562"/>
        <w:spacing w:after="0" w:line="252" w:lineRule="auto"/>
        <w:rPr>
          <w:sz w:val="20"/>
          <w:szCs w:val="20"/>
          <w:color w:val="auto"/>
        </w:rPr>
      </w:pPr>
      <w:r>
        <w:rPr>
          <w:rFonts w:ascii="Times New Roman" w:cs="Times New Roman" w:eastAsia="Times New Roman" w:hAnsi="Times New Roman"/>
          <w:sz w:val="20"/>
          <w:szCs w:val="20"/>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194"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20"/>
          <w:szCs w:val="20"/>
          <w:color w:val="auto"/>
        </w:rPr>
        <w:t>In May 2023, we made the decision to discontinue further development of TNG348, the basis of our USP1 program, due to liver toxicity experienced by patients in the dose escalation portion of the Phase1/2 clinical trial. As a result, we do not expect any on-going material obligations under the Medivir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 Collaboration and Supply Agreement with RevMed</w:t>
      </w:r>
    </w:p>
    <w:p>
      <w:pPr>
        <w:spacing w:after="0" w:line="24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In November 2024, the Company and RevMed entered into a Clinical Trial Collaboration and Supply Agreement. The agreement provides that RevMed will supply daraxonrasib (RMC-6236), a RAS(ON) multi-selective inhibitor, and zoldonrasib (RMC-9805), a RAS(ON) G12D-selective inhibitor, at no cost to us for use in trials that will include the combination of TNG462 and each of these RAS(ON) inhibitors. We will be the sponsor of the combination trials and bear associated costs. Each company will retain commercial rights to its respective compounds, and the agreement is mutually non-exclusive.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 Collaboration and Supply Agreement with Lilly</w:t>
      </w:r>
    </w:p>
    <w:p>
      <w:pPr>
        <w:spacing w:after="0" w:line="240"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In December 2024, we entered into a Clinical Trial Collaboration and Supply Agreement with Lilly. The agreement provides that Lilly will supply abemaciclib for use in a clinical trial that will include the combination of TNG456 and abemaciclib. We will be the sponsor of the combination trial. Each company will retain commercial rights to its respective compounds, and the agreement is mutually non-exclusive.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4" w:lineRule="exact"/>
        <w:rPr>
          <w:sz w:val="20"/>
          <w:szCs w:val="20"/>
          <w:color w:val="auto"/>
        </w:rPr>
      </w:pPr>
    </w:p>
    <w:p>
      <w:pPr>
        <w:ind w:right="40" w:firstLine="562"/>
        <w:spacing w:after="0" w:line="260" w:lineRule="auto"/>
        <w:rPr>
          <w:sz w:val="20"/>
          <w:szCs w:val="20"/>
          <w:color w:val="auto"/>
        </w:rPr>
      </w:pPr>
      <w:r>
        <w:rPr>
          <w:rFonts w:ascii="Times New Roman" w:cs="Times New Roman" w:eastAsia="Times New Roman" w:hAnsi="Times New Roman"/>
          <w:sz w:val="19"/>
          <w:szCs w:val="19"/>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third-party Contract Development and Manufacturing Organizations, or CDMOs, for the manufacturing, packaging, labeling and distribution of our investigational products for preclinical and clinical testing, as well as for commercial manufacturing if any of our investigational products obtain marketing approval. A team of internal experts oversee activities at our contracted CDMOs with the goal of ensuring our investigational products are being manufactured under current good manufacturing practices, or cGMP. Currently, all manufacturing of the drug substance for our product candidates to be used in our clinical trials is conducted by one manufacturer and manufacturing of the drug</w:t>
      </w:r>
    </w:p>
    <w:p>
      <w:pPr>
        <w:sectPr>
          <w:pgSz w:w="12960" w:h="16560" w:orient="portrait"/>
          <w:cols w:equalWidth="0" w:num="1">
            <w:col w:w="10160"/>
          </w:cols>
          <w:pgMar w:left="1360" w:top="1420" w:right="1440" w:bottom="535"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960" w:h="16560" w:orient="portrait"/>
          <w:cols w:equalWidth="0" w:num="1">
            <w:col w:w="10160"/>
          </w:cols>
          <w:pgMar w:left="1360" w:top="1420" w:right="1440" w:bottom="535" w:gutter="0" w:footer="0" w:header="0"/>
          <w:type w:val="continuous"/>
        </w:sectPr>
      </w:pPr>
    </w:p>
    <w:bookmarkStart w:id="20" w:name="page21"/>
    <w:bookmarkEnd w:id="20"/>
    <w:p>
      <w:pPr>
        <w:spacing w:after="0" w:line="243" w:lineRule="auto"/>
        <w:rPr>
          <w:sz w:val="20"/>
          <w:szCs w:val="20"/>
          <w:color w:val="auto"/>
        </w:rPr>
      </w:pPr>
      <w:r>
        <w:rPr>
          <w:rFonts w:ascii="Times New Roman" w:cs="Times New Roman" w:eastAsia="Times New Roman" w:hAnsi="Times New Roman"/>
          <w:sz w:val="20"/>
          <w:szCs w:val="20"/>
          <w:color w:val="auto"/>
        </w:rPr>
        <w:t>product to be used in our clinical trials is conducted by two manufacturers. We believe that the contracted CDMOs have the capacity to support our potential registrational clinical studies, in addition to the first-in-human studies of our product candidates. The operations of one of these CDMOs are located outside the U.S. and the other CDMO conducts its operations for us in a single location in the United States. In addition to the risks related to having only two CDMOs (and only one manufacturer of drug substance), we may also encounter challenges related to supply chain, climate issues, pandemic and geopolitical risks. We plan to further expand and diversify our supply chain by identifying and contracting other CDMOs (beyond the two CDMOs that are currently conducting operations for us) with the capacity and expertise to support the drug substance and drug product for our product candidates and other investigational products in our pipeline and to manufacture commercial supply of our drugs (if those therapies obtain regulatory approval). For additional information and details on the risk related to manufacturing, see “Item 1A. Risk Factors —</w:t>
      </w:r>
      <w:r>
        <w:rPr>
          <w:rFonts w:ascii="Times New Roman" w:cs="Times New Roman" w:eastAsia="Times New Roman" w:hAnsi="Times New Roman"/>
          <w:sz w:val="20"/>
          <w:szCs w:val="20"/>
          <w:i w:val="1"/>
          <w:iCs w:val="1"/>
          <w:color w:val="auto"/>
        </w:rPr>
        <w:t>The third parties upon whom we rely for the supply of the active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pharmaceutical ingredients and drug product to be used in our product candidates are our sole sources of supply, and the loss of any of these suppliers could significantly harm our business. </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ind w:right="120" w:firstLine="562"/>
        <w:spacing w:after="0" w:line="244" w:lineRule="auto"/>
        <w:rPr>
          <w:sz w:val="20"/>
          <w:szCs w:val="20"/>
          <w:color w:val="auto"/>
        </w:rPr>
      </w:pPr>
      <w:r>
        <w:rPr>
          <w:rFonts w:ascii="Times New Roman" w:cs="Times New Roman" w:eastAsia="Times New Roman" w:hAnsi="Times New Roman"/>
          <w:sz w:val="20"/>
          <w:szCs w:val="20"/>
          <w:color w:val="auto"/>
        </w:rPr>
        <w:t>We strive to protect and enhance the proprietary technology, inventions and improvements that we believe are commercially important to the development of our business and our product candidates,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 opportunities to develop, strengthen and maintain our proprietary position in the field of precision oncology that may be important for the development of our business and product candidates. We additionally may rely on regulatory protection afforded through data exclusivity, market exclusivity and patent term extensions, where available. Patent rights and regulatory protections are key factors that determine the period of market exclusivity for products in our industry. It is during the period of market exclusivity that, we believe, our potential future products have their greatest commercial value.</w:t>
      </w:r>
    </w:p>
    <w:p>
      <w:pPr>
        <w:spacing w:after="0" w:line="206" w:lineRule="exact"/>
        <w:rPr>
          <w:sz w:val="20"/>
          <w:szCs w:val="20"/>
          <w:color w:val="auto"/>
        </w:rPr>
      </w:pPr>
    </w:p>
    <w:p>
      <w:pPr>
        <w:ind w:right="40" w:firstLine="562"/>
        <w:spacing w:after="0" w:line="243" w:lineRule="auto"/>
        <w:rPr>
          <w:sz w:val="20"/>
          <w:szCs w:val="20"/>
          <w:color w:val="auto"/>
        </w:rPr>
      </w:pPr>
      <w:r>
        <w:rPr>
          <w:rFonts w:ascii="Times New Roman" w:cs="Times New Roman" w:eastAsia="Times New Roman" w:hAnsi="Times New Roman"/>
          <w:sz w:val="20"/>
          <w:szCs w:val="20"/>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 candidates (and any future products that may be approved for marketing by regulatory authorities) may depend on the extent to which we have rights under valid and enforceable licenses, patents, or trade secrets that cover these activities. In some cases, enforcement of these rights may depend on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and to the extent such patents are commercially useful in protecting our commercial products or methods of manufacturing, such patents may be challenged or invalidated or otherwise become less useful in protecting our commercial products and methods of manufacturing.</w:t>
      </w:r>
    </w:p>
    <w:p>
      <w:pPr>
        <w:spacing w:after="0" w:line="203" w:lineRule="exact"/>
        <w:rPr>
          <w:sz w:val="20"/>
          <w:szCs w:val="20"/>
          <w:color w:val="auto"/>
        </w:rPr>
      </w:pPr>
    </w:p>
    <w:p>
      <w:pPr>
        <w:ind w:right="60" w:firstLine="562"/>
        <w:spacing w:after="0" w:line="246" w:lineRule="auto"/>
        <w:rPr>
          <w:sz w:val="20"/>
          <w:szCs w:val="20"/>
          <w:color w:val="auto"/>
        </w:rPr>
      </w:pPr>
      <w:r>
        <w:rPr>
          <w:rFonts w:ascii="Times New Roman" w:cs="Times New Roman" w:eastAsia="Times New Roman" w:hAnsi="Times New Roman"/>
          <w:sz w:val="20"/>
          <w:szCs w:val="20"/>
          <w:color w:val="auto"/>
        </w:rPr>
        <w:t>Because a significant portion of a pharmaceutical product’s patent protection can elapse during the course of developing and obtaining regulatory approval of the product, certain countries, including the U.S., provide compensatory mechanisms to extend patent terms for pharmaceutical products. Patent expiration dates noted in the following paragraphs refer to statutory expiration dates and do not take into account any potential patent term adjustment or extension that may be available, or any potential disclaimers that may be needed to obtain certain patents that may reduce the term of such patents to correspond to that of earlier-expiring patents. There is no guarantee that any of our product candidates would be eligible for patent term extensions.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PRMT5 inhibitors</w:t>
      </w:r>
    </w:p>
    <w:p>
      <w:pPr>
        <w:spacing w:after="0" w:line="238" w:lineRule="exact"/>
        <w:rPr>
          <w:sz w:val="20"/>
          <w:szCs w:val="20"/>
          <w:color w:val="auto"/>
        </w:rPr>
      </w:pPr>
    </w:p>
    <w:p>
      <w:pPr>
        <w:ind w:right="220" w:firstLine="562"/>
        <w:spacing w:after="0" w:line="277" w:lineRule="auto"/>
        <w:rPr>
          <w:sz w:val="20"/>
          <w:szCs w:val="20"/>
          <w:color w:val="auto"/>
        </w:rPr>
      </w:pPr>
      <w:r>
        <w:rPr>
          <w:rFonts w:ascii="Times New Roman" w:cs="Times New Roman" w:eastAsia="Times New Roman" w:hAnsi="Times New Roman"/>
          <w:sz w:val="20"/>
          <w:szCs w:val="20"/>
          <w:color w:val="auto"/>
        </w:rPr>
        <w:t>We exclusively own ten patent families covering the composition of matter, methods of use, manufacture, crystalline forms and formulations for TNG908, TNG462, TNG456 and other structurally related PRMT5 inhibitors.</w:t>
      </w:r>
    </w:p>
    <w:p>
      <w:pPr>
        <w:spacing w:after="0" w:line="63" w:lineRule="exact"/>
        <w:rPr>
          <w:sz w:val="20"/>
          <w:szCs w:val="20"/>
          <w:color w:val="auto"/>
        </w:rPr>
      </w:pPr>
    </w:p>
    <w:p>
      <w:pPr>
        <w:jc w:val="both"/>
        <w:ind w:left="980" w:right="120" w:hanging="490"/>
        <w:spacing w:after="0" w:line="252"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For the first family, two US patents have been granted, and patent applications are pending in the United States, Argentina, Pakistan, Taiwan, Australia, Brazil, Canada, China, Eurasia, Europe, Hong Kong, Israel, India, Japan, Korea, Mexico, Malaysia, New Zealand, Singapore, Thailand, Ukraine and South Africa. Any patents granted in this family would be expected to expire no earlier than 2041.</w:t>
      </w:r>
    </w:p>
    <w:p>
      <w:pPr>
        <w:spacing w:after="0" w:line="88" w:lineRule="exact"/>
        <w:rPr>
          <w:sz w:val="20"/>
          <w:szCs w:val="20"/>
          <w:color w:val="auto"/>
        </w:rPr>
      </w:pPr>
    </w:p>
    <w:p>
      <w:pPr>
        <w:ind w:left="980" w:right="18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For the second family, patent applications are pending in the United States, Australia, Brazil, Canada, China, Eurasia, Europe, Israel, India, Japan, Korea, Mexico, Malaysia, New Zealand, Singapore, Thailand, Ukraine and South Africa. Any patents granted in this family would be expected to expire no earlier than 2042.</w:t>
      </w:r>
    </w:p>
    <w:p>
      <w:pPr>
        <w:sectPr>
          <w:pgSz w:w="12960" w:h="16560" w:orient="portrait"/>
          <w:cols w:equalWidth="0" w:num="1">
            <w:col w:w="10160"/>
          </w:cols>
          <w:pgMar w:left="1360" w:top="1420" w:right="1440" w:bottom="535" w:gutter="0" w:footer="0" w:header="0"/>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960" w:h="16560" w:orient="portrait"/>
          <w:cols w:equalWidth="0" w:num="1">
            <w:col w:w="10160"/>
          </w:cols>
          <w:pgMar w:left="1360" w:top="1420" w:right="1440" w:bottom="535" w:gutter="0" w:footer="0" w:header="0"/>
          <w:type w:val="continuous"/>
        </w:sectPr>
      </w:pPr>
    </w:p>
    <w:bookmarkStart w:id="21" w:name="page22"/>
    <w:bookmarkEnd w:id="21"/>
    <w:p>
      <w:pPr>
        <w:ind w:left="980" w:right="2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For the third family, patent application are pending in the United States, Taiwan, Australia, Brazil, Canada, China, Eurasia, Europe, Israel, India, Japan, Korea, Mexico, Malaysia, New Zealand, Singapore, Thailand, Ukraine and South Africa. Any patents granted in this family would be expected to expire no earlier than 2043.</w:t>
      </w:r>
    </w:p>
    <w:p>
      <w:pPr>
        <w:spacing w:after="0" w:line="82" w:lineRule="exact"/>
        <w:rPr>
          <w:sz w:val="20"/>
          <w:szCs w:val="20"/>
          <w:color w:val="auto"/>
        </w:rPr>
      </w:pPr>
    </w:p>
    <w:p>
      <w:pPr>
        <w:ind w:left="980" w:right="38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A Patent Cooperation Treaty and a United States application are pending in the fourth family, and any patents granted in this family would be expected to expire no earlier than 2043.</w:t>
      </w:r>
    </w:p>
    <w:p>
      <w:pPr>
        <w:spacing w:after="0" w:line="63" w:lineRule="exact"/>
        <w:rPr>
          <w:sz w:val="20"/>
          <w:szCs w:val="20"/>
          <w:color w:val="auto"/>
        </w:rPr>
      </w:pPr>
    </w:p>
    <w:p>
      <w:pPr>
        <w:ind w:left="980" w:right="360" w:hanging="490"/>
        <w:spacing w:after="0" w:line="305"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19"/>
          <w:szCs w:val="19"/>
          <w:color w:val="auto"/>
        </w:rPr>
        <w:t>Provisional United States applications are pending in each of the fifth, sixth, seventh, eighth, ninth and tenth patent families. Any patents granted in any of these families would be expected to expire no earlier than 2045.</w:t>
      </w:r>
    </w:p>
    <w:p>
      <w:pPr>
        <w:spacing w:after="0" w:line="145" w:lineRule="exact"/>
        <w:rPr>
          <w:sz w:val="20"/>
          <w:szCs w:val="20"/>
          <w:color w:val="auto"/>
        </w:rPr>
      </w:pPr>
    </w:p>
    <w:p>
      <w:pPr>
        <w:jc w:val="both"/>
        <w:ind w:right="40" w:firstLine="562"/>
        <w:spacing w:after="0" w:line="252" w:lineRule="auto"/>
        <w:rPr>
          <w:sz w:val="20"/>
          <w:szCs w:val="20"/>
          <w:color w:val="auto"/>
        </w:rPr>
      </w:pPr>
      <w:r>
        <w:rPr>
          <w:rFonts w:ascii="Times New Roman" w:cs="Times New Roman" w:eastAsia="Times New Roman" w:hAnsi="Times New Roman"/>
          <w:sz w:val="20"/>
          <w:szCs w:val="20"/>
          <w:color w:val="auto"/>
        </w:rPr>
        <w:t>Additionally, we exclusively own five patent families covering other PRMT5 inhibitors and their methods of use with expiration dates ranging from 2039 to 2043. Two US patents have been granted in the first family. A US patent application is pending in the second family. Patent applications are pending in United States, Taiwan, Europe and Japan for the third family. Patent applications are pending in the United States, Taiwan, Europe and Japan for the remaining two families.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CoREST inhibitors</w:t>
      </w:r>
    </w:p>
    <w:p>
      <w:pPr>
        <w:spacing w:after="0" w:line="228"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We exclusively own four patent families covering the composition of matter, methods of use, solid forms and methods of manufacturing for our product candidate TNG260 and other structurally related CoREST inhibitors. For the first family, a United States patent is granted and patent applications are pending in the United States, Taiwan, Australia, Brazil, Canada, China, Eurasia, Europe, Hong Kong, Israel, India, Japan, Korea, Mexico, Malaysia, New Zealand, Singapore, Thailand, Ukraine and South Africa. Any patents granted in this family would be expected to expire no earlier than 2042. A Patent Cooperation Treaty application is pending in the second family and any issued patents in this family, if granted, are expected to expire no earlier than 2043. Provisional US applications are pending in the remaining two families.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4" w:lineRule="exact"/>
        <w:rPr>
          <w:sz w:val="20"/>
          <w:szCs w:val="20"/>
          <w:color w:val="auto"/>
        </w:rPr>
      </w:pPr>
    </w:p>
    <w:p>
      <w:pPr>
        <w:ind w:right="160" w:firstLine="562"/>
        <w:spacing w:after="0" w:line="244" w:lineRule="auto"/>
        <w:rPr>
          <w:sz w:val="20"/>
          <w:szCs w:val="20"/>
          <w:color w:val="auto"/>
        </w:rPr>
      </w:pPr>
      <w:r>
        <w:rPr>
          <w:rFonts w:ascii="Times New Roman" w:cs="Times New Roman" w:eastAsia="Times New Roman" w:hAnsi="Times New Roman"/>
          <w:sz w:val="20"/>
          <w:szCs w:val="20"/>
          <w:color w:val="auto"/>
        </w:rPr>
        <w:t>The FDA and other regulatory authorities at federal, state and local levels, as well as in foreign countries, extensively regulate, among other things, the research, development, testing, clinical trials,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development and manufacturing organizations, or CDMOs, will be required to navigate the various preclinical, clinical, manufacturing and approval requirements of the governing regulatory authorities of the countries in which we wish to conduct studies or seek approval of our product candidates. The process of obtaining regulatory approvals for drugs and ensuring subsequent compliance with appropriate federal, state, local and foreign statutes and regulations requires the expenditure of substantial time and financial resources.</w:t>
      </w:r>
    </w:p>
    <w:p>
      <w:pPr>
        <w:spacing w:after="0" w:line="206" w:lineRule="exact"/>
        <w:rPr>
          <w:sz w:val="20"/>
          <w:szCs w:val="20"/>
          <w:color w:val="auto"/>
        </w:rPr>
      </w:pPr>
    </w:p>
    <w:p>
      <w:pPr>
        <w:ind w:right="40" w:firstLine="562"/>
        <w:spacing w:after="0" w:line="244" w:lineRule="auto"/>
        <w:rPr>
          <w:sz w:val="20"/>
          <w:szCs w:val="20"/>
          <w:color w:val="auto"/>
        </w:rPr>
      </w:pPr>
      <w:r>
        <w:rPr>
          <w:rFonts w:ascii="Times New Roman" w:cs="Times New Roman" w:eastAsia="Times New Roman" w:hAnsi="Times New Roman"/>
          <w:sz w:val="20"/>
          <w:szCs w:val="20"/>
          <w:color w:val="auto"/>
        </w:rPr>
        <w:t>In the United States, the FDA regulates drug products under the Federal Food, Drug, and Cosmetic Act, or FD&amp;C Act, its implementing regulations, and other federal statutes and regulations. Drugs are also subject to other federal, state and local statutes and regulations. If we fail to comply with applicable FDA or other regulatory requirements at any time with respect to product development, clinical testing, approval or any other regulatory requirements relating to product manufacture, processing, handling, storage, quality control, safety, pharmacovigilance,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total or partial suspensions of manufacturing or distribution, injunctions, fines, civil penalties or criminal prosecution.</w:t>
      </w:r>
    </w:p>
    <w:p>
      <w:pPr>
        <w:spacing w:after="0" w:line="202" w:lineRule="exact"/>
        <w:rPr>
          <w:sz w:val="20"/>
          <w:szCs w:val="20"/>
          <w:color w:val="auto"/>
        </w:rPr>
      </w:pPr>
    </w:p>
    <w:p>
      <w:pPr>
        <w:jc w:val="both"/>
        <w:ind w:right="200" w:firstLine="562"/>
        <w:spacing w:after="0" w:line="258" w:lineRule="auto"/>
        <w:rPr>
          <w:sz w:val="20"/>
          <w:szCs w:val="20"/>
          <w:color w:val="auto"/>
        </w:rPr>
      </w:pPr>
      <w:r>
        <w:rPr>
          <w:rFonts w:ascii="Times New Roman" w:cs="Times New Roman" w:eastAsia="Times New Roman" w:hAnsi="Times New Roman"/>
          <w:sz w:val="20"/>
          <w:szCs w:val="20"/>
          <w:color w:val="auto"/>
        </w:rPr>
        <w:t>Our product candidates must be approved for therapeutic indications by the FDA before they may be marketed in the United States. For drug product candidates regulated under the FD&amp;C Act, the FDA must approve a New Drug Application, or NDA. The process generally involves the following:</w:t>
      </w:r>
    </w:p>
    <w:p>
      <w:pPr>
        <w:spacing w:after="0" w:line="83" w:lineRule="exact"/>
        <w:rPr>
          <w:sz w:val="20"/>
          <w:szCs w:val="20"/>
          <w:color w:val="auto"/>
        </w:rPr>
      </w:pPr>
    </w:p>
    <w:p>
      <w:pPr>
        <w:ind w:left="980" w:right="4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completion of extensive preclinical studies in accordance with applicable regulations, including studies conducted in accordance with good laboratory practice, or GLP, requirements;</w:t>
      </w:r>
    </w:p>
    <w:p>
      <w:pPr>
        <w:spacing w:after="0" w:line="63" w:lineRule="exact"/>
        <w:rPr>
          <w:sz w:val="20"/>
          <w:szCs w:val="20"/>
          <w:color w:val="auto"/>
        </w:rPr>
      </w:pPr>
    </w:p>
    <w:p>
      <w:pPr>
        <w:ind w:left="980" w:right="32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manufacturing in compliance with current Good Manufacturing Practices, or cGMP, of the drug substance and drug product to be used in human clinical trials along with required analytical and stability testing;</w:t>
      </w:r>
    </w:p>
    <w:p>
      <w:pPr>
        <w:spacing w:after="0" w:line="63" w:lineRule="exact"/>
        <w:rPr>
          <w:sz w:val="20"/>
          <w:szCs w:val="20"/>
          <w:color w:val="auto"/>
        </w:rPr>
      </w:pPr>
    </w:p>
    <w:p>
      <w:pPr>
        <w:ind w:left="980" w:right="46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submission to the FDA of an IND, which must become effective before clinical trials may begin and must be updated when certain changes are made;</w:t>
      </w:r>
    </w:p>
    <w:p>
      <w:pPr>
        <w:sectPr>
          <w:pgSz w:w="12960" w:h="16560" w:orient="portrait"/>
          <w:cols w:equalWidth="0" w:num="1">
            <w:col w:w="10160"/>
          </w:cols>
          <w:pgMar w:left="1360" w:top="1434" w:right="1440" w:bottom="535"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960" w:h="16560" w:orient="portrait"/>
          <w:cols w:equalWidth="0" w:num="1">
            <w:col w:w="10160"/>
          </w:cols>
          <w:pgMar w:left="1360" w:top="1434" w:right="1440" w:bottom="535" w:gutter="0" w:footer="0" w:header="0"/>
          <w:type w:val="continuous"/>
        </w:sectPr>
      </w:pPr>
    </w:p>
    <w:bookmarkStart w:id="22" w:name="page23"/>
    <w:bookmarkEnd w:id="22"/>
    <w:p>
      <w:pPr>
        <w:ind w:left="980" w:right="2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approval by an institutional review board, or IRB, or independent ethics committee at each clinical trial site before a clinical trial may be initiated at that site;</w:t>
      </w:r>
    </w:p>
    <w:p>
      <w:pPr>
        <w:spacing w:after="0" w:line="63" w:lineRule="exact"/>
        <w:rPr>
          <w:sz w:val="20"/>
          <w:szCs w:val="20"/>
          <w:color w:val="auto"/>
        </w:rPr>
      </w:pPr>
    </w:p>
    <w:p>
      <w:pPr>
        <w:ind w:left="980" w:right="16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preparation and submission of an NDA to the FDA;</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a determination by the FDA within 60 days of its receipt of an NDA to file the application for review;</w:t>
      </w:r>
    </w:p>
    <w:p>
      <w:pPr>
        <w:spacing w:after="0" w:line="134" w:lineRule="exact"/>
        <w:rPr>
          <w:sz w:val="20"/>
          <w:szCs w:val="20"/>
          <w:color w:val="auto"/>
        </w:rPr>
      </w:pPr>
    </w:p>
    <w:p>
      <w:pPr>
        <w:ind w:left="980" w:right="10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satisfactory completion of one or more FDA pre-approval inspections of the manufacturing facility or facilities where the drug will be produced to assess compliance with cGMP requirements to confirm the facilities, methods and controls are adequate to assure the drug’s identity, strength, quality and purity;</w:t>
      </w:r>
    </w:p>
    <w:p>
      <w:pPr>
        <w:spacing w:after="0" w:line="82" w:lineRule="exact"/>
        <w:rPr>
          <w:sz w:val="20"/>
          <w:szCs w:val="20"/>
          <w:color w:val="auto"/>
        </w:rPr>
      </w:pPr>
    </w:p>
    <w:p>
      <w:pPr>
        <w:ind w:left="500" w:right="560"/>
        <w:spacing w:after="0" w:line="378"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satisfactory completion of an FDA audit of clinical trial sites that generated the data in support of the NDA;</w:t>
      </w:r>
      <w:r>
        <w:rPr>
          <w:rFonts w:ascii="Arial" w:cs="Arial" w:eastAsia="Arial" w:hAnsi="Arial"/>
          <w:sz w:val="20"/>
          <w:szCs w:val="20"/>
          <w:color w:val="auto"/>
        </w:rPr>
        <w:t xml:space="preserve"> \ </w:t>
      </w:r>
      <w:r>
        <w:rPr>
          <w:rFonts w:ascii="Times New Roman" w:cs="Times New Roman" w:eastAsia="Times New Roman" w:hAnsi="Times New Roman"/>
          <w:sz w:val="20"/>
          <w:szCs w:val="20"/>
          <w:color w:val="auto"/>
        </w:rPr>
        <w:t>payment of an application fee, as applicable, for FDA review of the NDA; and</w:t>
      </w:r>
    </w:p>
    <w:p>
      <w:pPr>
        <w:spacing w:after="0" w:line="1" w:lineRule="exact"/>
        <w:rPr>
          <w:sz w:val="20"/>
          <w:szCs w:val="20"/>
          <w:color w:val="auto"/>
        </w:rPr>
      </w:pPr>
    </w:p>
    <w:p>
      <w:pPr>
        <w:ind w:left="980" w:right="30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FDA review of the NDA, including, where applicable, consideration of the views of any FDA advisory committee, and FDA approval of the NDA prior to any commercial marketing or sale of the drug in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 and clinical trials for drugs</w:t>
      </w:r>
    </w:p>
    <w:p>
      <w:pPr>
        <w:spacing w:after="0" w:line="240" w:lineRule="exact"/>
        <w:rPr>
          <w:sz w:val="20"/>
          <w:szCs w:val="20"/>
          <w:color w:val="auto"/>
        </w:rPr>
      </w:pPr>
    </w:p>
    <w:p>
      <w:pPr>
        <w:ind w:right="100" w:firstLine="562"/>
        <w:spacing w:after="0" w:line="247" w:lineRule="auto"/>
        <w:rPr>
          <w:sz w:val="20"/>
          <w:szCs w:val="20"/>
          <w:color w:val="auto"/>
        </w:rPr>
      </w:pPr>
      <w:r>
        <w:rPr>
          <w:rFonts w:ascii="Times New Roman" w:cs="Times New Roman" w:eastAsia="Times New Roman" w:hAnsi="Times New Roman"/>
          <w:sz w:val="20"/>
          <w:szCs w:val="20"/>
          <w:color w:val="auto"/>
        </w:rPr>
        <w:t>Before testing any drug in humans, the product candidate must undergo rigorous preclinical testing. Preclinical studies include laboratory evaluations of product chemistry, formulation and stability, as well as in vitro and animal studies to assess safety and in some cases to establish the rationale for therapeutic use. The conduct of preclinical studies is subject to federal and state regulation and requirements, including GLP requirements for certain safety/toxicology studies. The results of the preclinical studies, together with manufacturing information and analytical data, must be submitted to the FDA as part of an IND.</w:t>
      </w:r>
    </w:p>
    <w:p>
      <w:pPr>
        <w:spacing w:after="0" w:line="200" w:lineRule="exact"/>
        <w:rPr>
          <w:sz w:val="20"/>
          <w:szCs w:val="20"/>
          <w:color w:val="auto"/>
        </w:rPr>
      </w:pPr>
    </w:p>
    <w:p>
      <w:pPr>
        <w:ind w:right="300" w:firstLine="562"/>
        <w:spacing w:after="0" w:line="244" w:lineRule="auto"/>
        <w:rPr>
          <w:sz w:val="20"/>
          <w:szCs w:val="20"/>
          <w:color w:val="auto"/>
        </w:rPr>
      </w:pPr>
      <w:r>
        <w:rPr>
          <w:rFonts w:ascii="Times New Roman" w:cs="Times New Roman" w:eastAsia="Times New Roman" w:hAnsi="Times New Roman"/>
          <w:sz w:val="20"/>
          <w:szCs w:val="20"/>
          <w:color w:val="auto"/>
        </w:rPr>
        <w:t>An IND is a request for authorization from the FDA to administer an investigational product to humans and must become effective before clinical trials may begin. An IND includes the general investigational plan and the protocol(s) for clinical studies, the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Additional preclinical testing may and often does continue after the IND is submitted. The IND automatically becomes effective 30 days after receipt by the FDA, unless the FDA raises concerns or questions within the 30-day time period, including concerns that human research subjects will be exposed to unreasonable health risks, and imposes a full or partial clinical hold. A clinical hold can also be imposed once a trial has already begun, thereby halting the trial until any safety concerns or deficiencies articulated by FDA are corrected.</w:t>
      </w:r>
    </w:p>
    <w:p>
      <w:pPr>
        <w:spacing w:after="0" w:line="206" w:lineRule="exact"/>
        <w:rPr>
          <w:sz w:val="20"/>
          <w:szCs w:val="20"/>
          <w:color w:val="auto"/>
        </w:rPr>
      </w:pPr>
    </w:p>
    <w:p>
      <w:pPr>
        <w:ind w:right="40" w:firstLine="562"/>
        <w:spacing w:after="0" w:line="242" w:lineRule="auto"/>
        <w:rPr>
          <w:sz w:val="20"/>
          <w:szCs w:val="20"/>
          <w:color w:val="auto"/>
        </w:rPr>
      </w:pPr>
      <w:r>
        <w:rPr>
          <w:rFonts w:ascii="Times New Roman" w:cs="Times New Roman" w:eastAsia="Times New Roman" w:hAnsi="Times New Roman"/>
          <w:sz w:val="20"/>
          <w:szCs w:val="20"/>
          <w:color w:val="auto"/>
        </w:rPr>
        <w:t xml:space="preserve">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 that all research subjects provide their informed consent for their participation in a clinical trial. Clinical trials are conducted under protocols detailing, among other things, the objectives of the clinical trial, dosing procedures, inclusion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oversee the clinical trial until its completion. The FDA, the IRB, or the sponsor may suspend or discontinue a clinical trial at any time on various grounds, including a finding that the subjects are being exposed to an unacceptable health risk. There also are requirements governing the registration and reporting of ongoing and completed clinical trials to public registries. For example, information about certain clinical trials must be submitted within specific timeframes for publication on </w:t>
      </w:r>
      <w:r>
        <w:rPr>
          <w:rFonts w:ascii="Times New Roman" w:cs="Times New Roman" w:eastAsia="Times New Roman" w:hAnsi="Times New Roman"/>
          <w:sz w:val="20"/>
          <w:szCs w:val="20"/>
          <w:i w:val="1"/>
          <w:iCs w:val="1"/>
          <w:color w:val="auto"/>
        </w:rPr>
        <w:t>www.ClinicalTrials.gov</w:t>
      </w:r>
      <w:r>
        <w:rPr>
          <w:rFonts w:ascii="Times New Roman" w:cs="Times New Roman" w:eastAsia="Times New Roman" w:hAnsi="Times New Roman"/>
          <w:sz w:val="20"/>
          <w:szCs w:val="20"/>
          <w:color w:val="auto"/>
        </w:rPr>
        <w:t>, a clinical trials database maintained by the National Institutes of Health.</w:t>
      </w:r>
    </w:p>
    <w:p>
      <w:pPr>
        <w:spacing w:after="0" w:line="211"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20"/>
          <w:szCs w:val="20"/>
          <w:color w:val="auto"/>
        </w:rPr>
        <w:t>A sponsor who wishes to conduct a clinical trial outside of the United States may, but need not, obtain FDA authorization to conduct the clinical trial under an IND. If a foreign clinical trial is not conducted under an IND, the FDA may nevertheless accept the results of the study in support of an NDA if the study was conducted in accordance with GCP</w:t>
      </w:r>
    </w:p>
    <w:p>
      <w:pPr>
        <w:sectPr>
          <w:pgSz w:w="12960" w:h="16560" w:orient="portrait"/>
          <w:cols w:equalWidth="0" w:num="1">
            <w:col w:w="10160"/>
          </w:cols>
          <w:pgMar w:left="1360" w:top="1434" w:right="1440" w:bottom="535"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960" w:h="16560" w:orient="portrait"/>
          <w:cols w:equalWidth="0" w:num="1">
            <w:col w:w="10160"/>
          </w:cols>
          <w:pgMar w:left="1360" w:top="1434" w:right="1440" w:bottom="535" w:gutter="0" w:footer="0" w:header="0"/>
          <w:type w:val="continuous"/>
        </w:sectPr>
      </w:pPr>
    </w:p>
    <w:bookmarkStart w:id="23" w:name="page24"/>
    <w:bookmarkEnd w:id="23"/>
    <w:p>
      <w:pPr>
        <w:ind w:right="620"/>
        <w:spacing w:after="0" w:line="277" w:lineRule="auto"/>
        <w:rPr>
          <w:sz w:val="20"/>
          <w:szCs w:val="20"/>
          <w:color w:val="auto"/>
        </w:rPr>
      </w:pPr>
      <w:r>
        <w:rPr>
          <w:rFonts w:ascii="Times New Roman" w:cs="Times New Roman" w:eastAsia="Times New Roman" w:hAnsi="Times New Roman"/>
          <w:sz w:val="20"/>
          <w:szCs w:val="20"/>
          <w:color w:val="auto"/>
        </w:rPr>
        <w:t>requirements, and the FDA is able to validate the data through independent analysis and an onsite inspection if deemed necessary.</w:t>
      </w:r>
    </w:p>
    <w:p>
      <w:pPr>
        <w:spacing w:after="0" w:line="169" w:lineRule="exact"/>
        <w:rPr>
          <w:sz w:val="20"/>
          <w:szCs w:val="20"/>
          <w:color w:val="auto"/>
        </w:rPr>
      </w:pPr>
    </w:p>
    <w:p>
      <w:pPr>
        <w:ind w:right="280" w:firstLine="562"/>
        <w:spacing w:after="0" w:line="277" w:lineRule="auto"/>
        <w:rPr>
          <w:sz w:val="20"/>
          <w:szCs w:val="20"/>
          <w:color w:val="auto"/>
        </w:rPr>
      </w:pPr>
      <w:r>
        <w:rPr>
          <w:rFonts w:ascii="Times New Roman" w:cs="Times New Roman" w:eastAsia="Times New Roman" w:hAnsi="Times New Roman"/>
          <w:sz w:val="20"/>
          <w:szCs w:val="20"/>
          <w:color w:val="auto"/>
        </w:rPr>
        <w:t>Clinical trials to evaluate therapeutic indications to support NDAs for marketing approval are typically conducted in three sequential phases, which may overlap or be combined.</w:t>
      </w:r>
    </w:p>
    <w:p>
      <w:pPr>
        <w:spacing w:after="0" w:line="63" w:lineRule="exact"/>
        <w:rPr>
          <w:sz w:val="20"/>
          <w:szCs w:val="20"/>
          <w:color w:val="auto"/>
        </w:rPr>
      </w:pPr>
    </w:p>
    <w:p>
      <w:pPr>
        <w:ind w:left="980" w:right="60" w:hanging="490"/>
        <w:spacing w:after="0" w:line="252"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i w:val="1"/>
          <w:iCs w:val="1"/>
          <w:color w:val="auto"/>
        </w:rPr>
        <w:t xml:space="preserve">Phase 1 </w:t>
      </w:r>
      <w:r>
        <w:rPr>
          <w:rFonts w:ascii="Times New Roman" w:cs="Times New Roman" w:eastAsia="Times New Roman" w:hAnsi="Times New Roman"/>
          <w:sz w:val="20"/>
          <w:szCs w:val="20"/>
          <w:color w:val="auto"/>
        </w:rPr>
        <w:t>— Phase 1 clinical trials involve initial introduction of the investigational product in a limited population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healthy human volunteers or patients with the target disease or condition. These studies are typically designed to test the safety, dosage tolerance, absorption, metabolism, distribution, and excretion of the investigational product in humans, and, if possible, to gain early evidence of effectiveness.</w:t>
      </w:r>
    </w:p>
    <w:p>
      <w:pPr>
        <w:spacing w:after="0" w:line="88" w:lineRule="exact"/>
        <w:rPr>
          <w:sz w:val="20"/>
          <w:szCs w:val="20"/>
          <w:color w:val="auto"/>
        </w:rPr>
      </w:pPr>
    </w:p>
    <w:p>
      <w:pPr>
        <w:ind w:left="980" w:right="14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i w:val="1"/>
          <w:iCs w:val="1"/>
          <w:color w:val="auto"/>
        </w:rPr>
        <w:t xml:space="preserve">Phase 2 </w:t>
      </w:r>
      <w:r>
        <w:rPr>
          <w:rFonts w:ascii="Times New Roman" w:cs="Times New Roman" w:eastAsia="Times New Roman" w:hAnsi="Times New Roman"/>
          <w:sz w:val="20"/>
          <w:szCs w:val="20"/>
          <w:color w:val="auto"/>
        </w:rPr>
        <w:t>— Phase 2 clinical trials typically involve administration of the investigational product to a limited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patient population with a specified disease or condition to evaluate the drug’s potential efficacy, to determine the optimal dosages and dosing schedule and to identify possible adverse side effects and safety risks.</w:t>
      </w:r>
    </w:p>
    <w:p>
      <w:pPr>
        <w:spacing w:after="0" w:line="82" w:lineRule="exact"/>
        <w:rPr>
          <w:sz w:val="20"/>
          <w:szCs w:val="20"/>
          <w:color w:val="auto"/>
        </w:rPr>
      </w:pPr>
    </w:p>
    <w:p>
      <w:pPr>
        <w:ind w:left="980" w:right="40" w:hanging="490"/>
        <w:spacing w:after="0" w:line="24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i w:val="1"/>
          <w:iCs w:val="1"/>
          <w:color w:val="auto"/>
        </w:rPr>
        <w:t xml:space="preserve">Phase 3 </w:t>
      </w:r>
      <w:r>
        <w:rPr>
          <w:rFonts w:ascii="Times New Roman" w:cs="Times New Roman" w:eastAsia="Times New Roman" w:hAnsi="Times New Roman"/>
          <w:sz w:val="20"/>
          <w:szCs w:val="20"/>
          <w:color w:val="auto"/>
        </w:rPr>
        <w:t>— Phase 3 clinical trials typically involve administration of the investigational product to an expanded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profile of the investigational product and to provide an adequate basis for product approval and physician labeling. Generally, two adequate and well-controlled Phase 3 trials are required by the FDA for approval of an NDA.</w:t>
      </w:r>
    </w:p>
    <w:p>
      <w:pPr>
        <w:spacing w:after="0" w:line="200" w:lineRule="exact"/>
        <w:rPr>
          <w:sz w:val="20"/>
          <w:szCs w:val="20"/>
          <w:color w:val="auto"/>
        </w:rPr>
      </w:pPr>
    </w:p>
    <w:p>
      <w:pPr>
        <w:ind w:right="200" w:firstLine="562"/>
        <w:spacing w:after="0" w:line="258" w:lineRule="auto"/>
        <w:rPr>
          <w:sz w:val="20"/>
          <w:szCs w:val="20"/>
          <w:color w:val="auto"/>
        </w:rPr>
      </w:pPr>
      <w:r>
        <w:rPr>
          <w:rFonts w:ascii="Times New Roman" w:cs="Times New Roman" w:eastAsia="Times New Roman" w:hAnsi="Times New Roman"/>
          <w:sz w:val="20"/>
          <w:szCs w:val="20"/>
          <w:color w:val="auto"/>
        </w:rPr>
        <w:t>In 2023, we received FDA clearances of our IND applications for TNG462 and TNG260 to initiate Phase 1/2 clinical trials for each product candidate. In 2025, we received clearance of our IND application for TNG456 to initiate Phase 1/2 clinical trials for this product candidate.</w:t>
      </w:r>
    </w:p>
    <w:p>
      <w:pPr>
        <w:spacing w:after="0" w:line="188" w:lineRule="exact"/>
        <w:rPr>
          <w:sz w:val="20"/>
          <w:szCs w:val="20"/>
          <w:color w:val="auto"/>
        </w:rPr>
      </w:pPr>
    </w:p>
    <w:p>
      <w:pPr>
        <w:ind w:right="120" w:firstLine="562"/>
        <w:spacing w:after="0" w:line="245" w:lineRule="auto"/>
        <w:rPr>
          <w:sz w:val="20"/>
          <w:szCs w:val="20"/>
          <w:color w:val="auto"/>
        </w:rPr>
      </w:pPr>
      <w:r>
        <w:rPr>
          <w:rFonts w:ascii="Times New Roman" w:cs="Times New Roman" w:eastAsia="Times New Roman" w:hAnsi="Times New Roman"/>
          <w:sz w:val="20"/>
          <w:szCs w:val="20"/>
          <w:color w:val="auto"/>
        </w:rPr>
        <w:t>In March 2022, the FDA released final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first-in-human clinical trial) to compress the traditional three phases of trials into one continuous trial called an expansion cohort trial. Information to support the design of individual expansion cohorts are included in IND applications and assessed by the FDA.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Expansion cohort trials can potentially bring efficiency to drug development and reduce development costs and time.</w:t>
      </w:r>
    </w:p>
    <w:p>
      <w:pPr>
        <w:spacing w:after="0" w:line="212" w:lineRule="exact"/>
        <w:rPr>
          <w:sz w:val="20"/>
          <w:szCs w:val="20"/>
          <w:color w:val="auto"/>
        </w:rPr>
      </w:pPr>
    </w:p>
    <w:p>
      <w:pPr>
        <w:ind w:right="160" w:firstLine="562"/>
        <w:spacing w:after="0" w:line="252" w:lineRule="auto"/>
        <w:rPr>
          <w:sz w:val="20"/>
          <w:szCs w:val="20"/>
          <w:color w:val="auto"/>
        </w:rPr>
      </w:pPr>
      <w:r>
        <w:rPr>
          <w:rFonts w:ascii="Times New Roman" w:cs="Times New Roman" w:eastAsia="Times New Roman" w:hAnsi="Times New Roman"/>
          <w:sz w:val="20"/>
          <w:szCs w:val="20"/>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94" w:lineRule="exact"/>
        <w:rPr>
          <w:sz w:val="20"/>
          <w:szCs w:val="20"/>
          <w:color w:val="auto"/>
        </w:rPr>
      </w:pPr>
    </w:p>
    <w:p>
      <w:pPr>
        <w:ind w:right="20" w:firstLine="562"/>
        <w:spacing w:after="0" w:line="246" w:lineRule="auto"/>
        <w:rPr>
          <w:sz w:val="20"/>
          <w:szCs w:val="20"/>
          <w:color w:val="auto"/>
        </w:rPr>
      </w:pPr>
      <w:r>
        <w:rPr>
          <w:rFonts w:ascii="Times New Roman" w:cs="Times New Roman" w:eastAsia="Times New Roman" w:hAnsi="Times New Roman"/>
          <w:sz w:val="20"/>
          <w:szCs w:val="20"/>
          <w:color w:val="auto"/>
        </w:rPr>
        <w:t>Progress reports detailing the results of clinical trials, among other information related to development under an IND, must be submitted at least annually to the FDA. Written IND safety reports must be submitted to the FDA and investigators within 15 days to report serious and unexpected suspected adverse events, findings from other studies or animal or in vitro testing that suggest a significant risk for human subjects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200" w:lineRule="exact"/>
        <w:rPr>
          <w:sz w:val="20"/>
          <w:szCs w:val="20"/>
          <w:color w:val="auto"/>
        </w:rPr>
      </w:pPr>
    </w:p>
    <w:p>
      <w:pPr>
        <w:ind w:right="60" w:firstLine="562"/>
        <w:spacing w:after="0" w:line="246"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marketing approval for drugs</w:t>
      </w:r>
    </w:p>
    <w:p>
      <w:pPr>
        <w:spacing w:after="0" w:line="240" w:lineRule="exact"/>
        <w:rPr>
          <w:sz w:val="20"/>
          <w:szCs w:val="20"/>
          <w:color w:val="auto"/>
        </w:rPr>
      </w:pPr>
    </w:p>
    <w:p>
      <w:pPr>
        <w:ind w:right="20" w:firstLine="562"/>
        <w:spacing w:after="0" w:line="252"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preclinical studies and clinical trials, together with detailed information relating to the product’s chemistry, manufacturing, and controls and proposed labeling, among other things, are submitted to the FDA as part of an NDA package requesting approval to market the product for one or more indications. An NDA must contain data supporting the drug’s safety and efficacy for the requested indications and must</w:t>
      </w:r>
    </w:p>
    <w:p>
      <w:pPr>
        <w:sectPr>
          <w:pgSz w:w="12960" w:h="16560" w:orient="portrait"/>
          <w:cols w:equalWidth="0" w:num="1">
            <w:col w:w="10160"/>
          </w:cols>
          <w:pgMar w:left="1360" w:top="1420" w:right="1440" w:bottom="535"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960" w:h="16560" w:orient="portrait"/>
          <w:cols w:equalWidth="0" w:num="1">
            <w:col w:w="10160"/>
          </w:cols>
          <w:pgMar w:left="1360" w:top="1420" w:right="1440" w:bottom="535" w:gutter="0" w:footer="0" w:header="0"/>
          <w:type w:val="continuous"/>
        </w:sectPr>
      </w:pPr>
    </w:p>
    <w:bookmarkStart w:id="24" w:name="page25"/>
    <w:bookmarkEnd w:id="24"/>
    <w:p>
      <w:pPr>
        <w:ind w:right="140"/>
        <w:spacing w:after="0" w:line="249" w:lineRule="auto"/>
        <w:rPr>
          <w:sz w:val="20"/>
          <w:szCs w:val="20"/>
          <w:color w:val="auto"/>
        </w:rPr>
      </w:pPr>
      <w:r>
        <w:rPr>
          <w:rFonts w:ascii="Times New Roman" w:cs="Times New Roman" w:eastAsia="Times New Roman" w:hAnsi="Times New Roman"/>
          <w:sz w:val="20"/>
          <w:szCs w:val="20"/>
          <w:color w:val="auto"/>
        </w:rPr>
        <w:t>include both negative and ambiguous results of preclinical studies and clinical trials, as well as positive findings. Data may come from company-sponsored clinical trials intended to test the safety and efficacy of the product candidate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97" w:lineRule="exact"/>
        <w:rPr>
          <w:sz w:val="20"/>
          <w:szCs w:val="20"/>
          <w:color w:val="auto"/>
        </w:rPr>
      </w:pPr>
    </w:p>
    <w:p>
      <w:pPr>
        <w:ind w:right="60" w:firstLine="562"/>
        <w:spacing w:after="0" w:line="243" w:lineRule="auto"/>
        <w:rPr>
          <w:sz w:val="20"/>
          <w:szCs w:val="20"/>
          <w:color w:val="auto"/>
        </w:rPr>
      </w:pPr>
      <w:r>
        <w:rPr>
          <w:rFonts w:ascii="Times New Roman" w:cs="Times New Roman" w:eastAsia="Times New Roman" w:hAnsi="Times New Roman"/>
          <w:sz w:val="20"/>
          <w:szCs w:val="20"/>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 Further, under PDUFA, as amended, each NDA must be accompanied by a substantial application fee.</w:t>
      </w:r>
    </w:p>
    <w:p>
      <w:pPr>
        <w:spacing w:after="0" w:line="206" w:lineRule="exact"/>
        <w:rPr>
          <w:sz w:val="20"/>
          <w:szCs w:val="20"/>
          <w:color w:val="auto"/>
        </w:rPr>
      </w:pPr>
    </w:p>
    <w:p>
      <w:pPr>
        <w:ind w:right="100" w:firstLine="562"/>
        <w:spacing w:after="0" w:line="252" w:lineRule="auto"/>
        <w:rPr>
          <w:sz w:val="20"/>
          <w:szCs w:val="20"/>
          <w:color w:val="auto"/>
        </w:rPr>
      </w:pPr>
      <w:r>
        <w:rPr>
          <w:rFonts w:ascii="Times New Roman" w:cs="Times New Roman" w:eastAsia="Times New Roman" w:hAnsi="Times New Roman"/>
          <w:sz w:val="20"/>
          <w:szCs w:val="20"/>
          <w:color w:val="auto"/>
        </w:rPr>
        <w:t>The FDA also may require submission of a Risk Evaluation and Mitigation Strategy, or REMS, if it believes such a strategy is necessary to ensure that the benefits of the drug outweigh its risks. A REMS can include use of risk evaluation and mitigation strategies such as medication guides, physician communication plans, assessment plans, and/or elements to assure safe use, such as restricted distribution methods, patient registries, special monitoring or other risk-minimization tools.</w:t>
      </w:r>
    </w:p>
    <w:p>
      <w:pPr>
        <w:spacing w:after="0" w:line="194" w:lineRule="exact"/>
        <w:rPr>
          <w:sz w:val="20"/>
          <w:szCs w:val="20"/>
          <w:color w:val="auto"/>
        </w:rPr>
      </w:pPr>
    </w:p>
    <w:p>
      <w:pPr>
        <w:ind w:right="100" w:firstLine="562"/>
        <w:spacing w:after="0" w:line="249" w:lineRule="auto"/>
        <w:rPr>
          <w:sz w:val="20"/>
          <w:szCs w:val="20"/>
          <w:color w:val="auto"/>
        </w:rPr>
      </w:pPr>
      <w:r>
        <w:rPr>
          <w:rFonts w:ascii="Times New Roman" w:cs="Times New Roman" w:eastAsia="Times New Roman" w:hAnsi="Times New Roman"/>
          <w:sz w:val="20"/>
          <w:szCs w:val="20"/>
          <w:color w:val="auto"/>
        </w:rPr>
        <w:t>The FDA may refer an application for a novel drug to an advisory committee. An advisory committee is a panel of independent experts, including clinicians and other scientific experts, which reviews, evaluates and provides advice requested by the FDA, including in some cases a recommendation as to whether the application should be approved and under what conditions. The FDA is not bound by the recommendations of an advisory committee, but it considers such recommendations carefully when making decisions.</w:t>
      </w:r>
    </w:p>
    <w:p>
      <w:pPr>
        <w:spacing w:after="0" w:line="197" w:lineRule="exact"/>
        <w:rPr>
          <w:sz w:val="20"/>
          <w:szCs w:val="20"/>
          <w:color w:val="auto"/>
        </w:rPr>
      </w:pPr>
    </w:p>
    <w:p>
      <w:pPr>
        <w:ind w:right="200" w:firstLine="562"/>
        <w:spacing w:after="0" w:line="249" w:lineRule="auto"/>
        <w:rPr>
          <w:sz w:val="20"/>
          <w:szCs w:val="20"/>
          <w:color w:val="auto"/>
        </w:rPr>
      </w:pPr>
      <w:r>
        <w:rPr>
          <w:rFonts w:ascii="Times New Roman" w:cs="Times New Roman" w:eastAsia="Times New Roman" w:hAnsi="Times New Roman"/>
          <w:sz w:val="20"/>
          <w:szCs w:val="20"/>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the integrity of the clinical data submitted to the FDA.</w:t>
      </w:r>
    </w:p>
    <w:p>
      <w:pPr>
        <w:spacing w:after="0" w:line="197" w:lineRule="exact"/>
        <w:rPr>
          <w:sz w:val="20"/>
          <w:szCs w:val="20"/>
          <w:color w:val="auto"/>
        </w:rPr>
      </w:pPr>
    </w:p>
    <w:p>
      <w:pPr>
        <w:ind w:right="120" w:firstLine="562"/>
        <w:spacing w:after="0" w:line="244" w:lineRule="auto"/>
        <w:rPr>
          <w:sz w:val="20"/>
          <w:szCs w:val="20"/>
          <w:color w:val="auto"/>
        </w:rPr>
      </w:pPr>
      <w:r>
        <w:rPr>
          <w:rFonts w:ascii="Times New Roman" w:cs="Times New Roman" w:eastAsia="Times New Roman" w:hAnsi="Times New Roman"/>
          <w:sz w:val="20"/>
          <w:szCs w:val="20"/>
          <w:color w:val="auto"/>
        </w:rPr>
        <w:t>After evaluating the NDA and all related information, including an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states specific conditions that must be met in order to secure final approval of the NDA. The FDA may require additional clinical or preclinical testing or recommend other actions, such as requests for additional information or clarification, that the applicant might take in order to resubmit the NDA for FDA reconsideration. Even with a submission that includes this additional information, the FDA ultimately may decide that the application does not satisfy the regulatory criteria for approval. If and when those criteria have been met to the FDA’s satisfaction, the FDA will typically issue an approval letter. An approval letter authorizes commercial marketing of the product with specific prescribing information for one or more indications.</w:t>
      </w:r>
    </w:p>
    <w:p>
      <w:pPr>
        <w:spacing w:after="0" w:line="202" w:lineRule="exact"/>
        <w:rPr>
          <w:sz w:val="20"/>
          <w:szCs w:val="20"/>
          <w:color w:val="auto"/>
        </w:rPr>
      </w:pPr>
    </w:p>
    <w:p>
      <w:pPr>
        <w:ind w:right="20" w:firstLine="562"/>
        <w:spacing w:after="0" w:line="244" w:lineRule="auto"/>
        <w:rPr>
          <w:sz w:val="20"/>
          <w:szCs w:val="20"/>
          <w:color w:val="auto"/>
        </w:rPr>
      </w:pPr>
      <w:r>
        <w:rPr>
          <w:rFonts w:ascii="Times New Roman" w:cs="Times New Roman" w:eastAsia="Times New Roman" w:hAnsi="Times New Roman"/>
          <w:sz w:val="20"/>
          <w:szCs w:val="20"/>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post-approval studies or surveillance programs. Some types of changes to the approved product, such as adding new indications, certain manufacturing changes, and additional labeling claims, are subject to further testing requirements and FDA review and approval of a supplemental application.</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960" w:h="16560" w:orient="portrait"/>
          <w:cols w:equalWidth="0" w:num="1">
            <w:col w:w="10160"/>
          </w:cols>
          <w:pgMar w:left="1360" w:top="1420" w:right="1440" w:bottom="53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240" w:lineRule="exact"/>
        <w:rPr>
          <w:sz w:val="20"/>
          <w:szCs w:val="20"/>
          <w:color w:val="auto"/>
        </w:rPr>
      </w:pPr>
    </w:p>
    <w:p>
      <w:pPr>
        <w:ind w:right="20" w:firstLine="562"/>
        <w:spacing w:after="0" w:line="244"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although companies developing orphan-designated products are eligible for certain incentives, including tax credits for qualified clinical testing and waiver of application fees.</w:t>
      </w:r>
    </w:p>
    <w:p>
      <w:pPr>
        <w:spacing w:after="0" w:line="206" w:lineRule="exact"/>
        <w:rPr>
          <w:sz w:val="20"/>
          <w:szCs w:val="20"/>
          <w:color w:val="auto"/>
        </w:rPr>
      </w:pPr>
    </w:p>
    <w:p>
      <w:pPr>
        <w:ind w:right="100" w:firstLine="562"/>
        <w:spacing w:after="0" w:line="243" w:lineRule="auto"/>
        <w:rPr>
          <w:sz w:val="20"/>
          <w:szCs w:val="20"/>
          <w:color w:val="auto"/>
        </w:rPr>
      </w:pPr>
      <w:r>
        <w:rPr>
          <w:rFonts w:ascii="Times New Roman" w:cs="Times New Roman" w:eastAsia="Times New Roman" w:hAnsi="Times New Roman"/>
          <w:sz w:val="20"/>
          <w:szCs w:val="20"/>
          <w:color w:val="auto"/>
        </w:rPr>
        <w:t>If a product that has orphan drug designation subsequently receives the first FDA approval for the disease or condition for which it has such designation, the product is entitled to a seven-year period of marketing exclusivity during which the FDA may not approve any other applications to market the same drug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drugs for the indication for which the orphan product has exclusivity or obtain approval for the same drug for a different indication than that for which the orphan product has exclusivity. Orphan drug exclusivity could block the approval of one of our product candidates for seven years if a competitor obtains approval for the same drug for the same indication before we do, unless we are able to demonstrate that our product candidate is clinically superior. If an orphan designated product receives marketing approval for an indication broader than its designation, it may not be entitled to orphan exclusivity. Additionally, certain provisions of the Inflation Reduction Act of 2022, or IRA, may impact the usefulness of an orphan drug designation. (For additional information, see “—</w:t>
      </w:r>
      <w:r>
        <w:rPr>
          <w:rFonts w:ascii="Times New Roman" w:cs="Times New Roman" w:eastAsia="Times New Roman" w:hAnsi="Times New Roman"/>
          <w:sz w:val="20"/>
          <w:szCs w:val="20"/>
          <w:i w:val="1"/>
          <w:iCs w:val="1"/>
          <w:color w:val="auto"/>
        </w:rPr>
        <w:t>Current and future healthcare reform legislation.</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firstLine="562"/>
        <w:spacing w:after="0" w:line="277" w:lineRule="auto"/>
        <w:rPr>
          <w:sz w:val="20"/>
          <w:szCs w:val="20"/>
          <w:color w:val="auto"/>
        </w:rPr>
      </w:pPr>
      <w:r>
        <w:rPr>
          <w:rFonts w:ascii="Times New Roman" w:cs="Times New Roman" w:eastAsia="Times New Roman" w:hAnsi="Times New Roman"/>
          <w:sz w:val="20"/>
          <w:szCs w:val="20"/>
          <w:color w:val="auto"/>
        </w:rPr>
        <w:t>The FDA has granted orphan drug designation to TNG462 for the treatment of soft tissue sarcoma and for the treatment of pancreatic cancer.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 for drugs</w:t>
      </w:r>
    </w:p>
    <w:p>
      <w:pPr>
        <w:spacing w:after="0" w:line="240" w:lineRule="exact"/>
        <w:rPr>
          <w:sz w:val="20"/>
          <w:szCs w:val="20"/>
          <w:color w:val="auto"/>
        </w:rPr>
      </w:pPr>
    </w:p>
    <w:p>
      <w:pPr>
        <w:ind w:right="100" w:firstLine="562"/>
        <w:spacing w:after="0" w:line="252" w:lineRule="auto"/>
        <w:rPr>
          <w:sz w:val="20"/>
          <w:szCs w:val="20"/>
          <w:color w:val="auto"/>
        </w:rPr>
      </w:pPr>
      <w:r>
        <w:rPr>
          <w:rFonts w:ascii="Times New Roman" w:cs="Times New Roman" w:eastAsia="Times New Roman" w:hAnsi="Times New Roman"/>
          <w:sz w:val="20"/>
          <w:szCs w:val="20"/>
          <w:color w:val="auto"/>
        </w:rPr>
        <w:t>The FDA has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the purpose of these programs is to get important new drugs to patients more quickly than standard FDA review timelines typically permit.</w:t>
      </w:r>
    </w:p>
    <w:p>
      <w:pPr>
        <w:spacing w:after="0" w:line="194" w:lineRule="exact"/>
        <w:rPr>
          <w:sz w:val="20"/>
          <w:szCs w:val="20"/>
          <w:color w:val="auto"/>
        </w:rPr>
      </w:pPr>
    </w:p>
    <w:p>
      <w:pPr>
        <w:ind w:firstLine="562"/>
        <w:spacing w:after="0" w:line="243" w:lineRule="auto"/>
        <w:rPr>
          <w:sz w:val="20"/>
          <w:szCs w:val="20"/>
          <w:color w:val="auto"/>
        </w:rPr>
      </w:pPr>
      <w:r>
        <w:rPr>
          <w:rFonts w:ascii="Times New Roman" w:cs="Times New Roman" w:eastAsia="Times New Roman" w:hAnsi="Times New Roman"/>
          <w:sz w:val="20"/>
          <w:szCs w:val="20"/>
          <w:color w:val="auto"/>
        </w:rPr>
        <w:t>A product candidate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In 2023, the FDA granted Fast Track designation to: (i) TNG462 for previously treated, locally advanced, and unresectable or metastatic MTAP-deleted solid tumors and (ii) TNG260 in combination with an anti-PD-1 antibody for the treatment of patients with previously treated, advanced (metastatic or locally advanced and not amenable to curative intent therapy) NSCLC with STK-11 mutations. In February 2025, the FDA granted Fast Track designation to TNG456 for the following two indications: (A) as a single agent, for the treatment of patients with locally advanced or metastatic solid tumors with MTAP loss and (B) in combination with abemaciclib, for the treatment of patients with locally advanced or metastatic NSCLC with MTAP loss.</w:t>
      </w:r>
    </w:p>
    <w:p>
      <w:pPr>
        <w:spacing w:after="0" w:line="206" w:lineRule="exact"/>
        <w:rPr>
          <w:sz w:val="20"/>
          <w:szCs w:val="20"/>
          <w:color w:val="auto"/>
        </w:rPr>
      </w:pPr>
    </w:p>
    <w:p>
      <w:pPr>
        <w:ind w:right="20" w:firstLine="562"/>
        <w:spacing w:after="0" w:line="249" w:lineRule="auto"/>
        <w:rPr>
          <w:sz w:val="20"/>
          <w:szCs w:val="20"/>
          <w:color w:val="auto"/>
        </w:rPr>
      </w:pPr>
      <w:r>
        <w:rPr>
          <w:rFonts w:ascii="Times New Roman" w:cs="Times New Roman" w:eastAsia="Times New Roman" w:hAnsi="Times New Roman"/>
          <w:sz w:val="20"/>
          <w:szCs w:val="20"/>
          <w:color w:val="auto"/>
        </w:rPr>
        <w:t>In addition, a product candidate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as well as more intensive FDA interaction and guidance.</w:t>
      </w:r>
    </w:p>
    <w:p>
      <w:pPr>
        <w:spacing w:after="0" w:line="197" w:lineRule="exact"/>
        <w:rPr>
          <w:sz w:val="20"/>
          <w:szCs w:val="20"/>
          <w:color w:val="auto"/>
        </w:rPr>
      </w:pPr>
    </w:p>
    <w:p>
      <w:pPr>
        <w:ind w:right="100" w:firstLine="562"/>
        <w:spacing w:after="0" w:line="265" w:lineRule="auto"/>
        <w:rPr>
          <w:sz w:val="20"/>
          <w:szCs w:val="20"/>
          <w:color w:val="auto"/>
        </w:rPr>
      </w:pPr>
      <w:r>
        <w:rPr>
          <w:rFonts w:ascii="Times New Roman" w:cs="Times New Roman" w:eastAsia="Times New Roman" w:hAnsi="Times New Roman"/>
          <w:sz w:val="19"/>
          <w:szCs w:val="19"/>
          <w:color w:val="auto"/>
        </w:rPr>
        <w:t>Products with Fast Track or Breakthrough Therapy designation may also be eligible for additional FDA programs intended to expedite the review and approval process, including priority review and accelerated approval. Any product submitted to the FDA for approval that has the potential to provide a significant improvement in safety or effectiveness in the treatment, diagnosis or prevention of a serious disease or condition may be eligible for priority review. Under priority review, the FDA’s PDUFA goal date to take action on an NDA is six months from filing, compared to ten months from filing for a</w:t>
      </w:r>
    </w:p>
    <w:p>
      <w:pPr>
        <w:sectPr>
          <w:pgSz w:w="12960" w:h="16560" w:orient="portrait"/>
          <w:cols w:equalWidth="0" w:num="1">
            <w:col w:w="10160"/>
          </w:cols>
          <w:pgMar w:left="1360" w:top="1420" w:right="1440" w:bottom="535" w:gutter="0" w:footer="0" w:header="0"/>
        </w:sectPr>
      </w:pP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960" w:h="16560" w:orient="portrait"/>
          <w:cols w:equalWidth="0" w:num="1">
            <w:col w:w="10160"/>
          </w:cols>
          <w:pgMar w:left="1360" w:top="1420" w:right="1440" w:bottom="535" w:gutter="0" w:footer="0" w:header="0"/>
          <w:type w:val="continuous"/>
        </w:sectPr>
      </w:pPr>
    </w:p>
    <w:bookmarkStart w:id="26" w:name="page27"/>
    <w:bookmarkEnd w:id="26"/>
    <w:p>
      <w:pPr>
        <w:ind w:right="60"/>
        <w:spacing w:after="0" w:line="249" w:lineRule="auto"/>
        <w:rPr>
          <w:sz w:val="20"/>
          <w:szCs w:val="20"/>
          <w:color w:val="auto"/>
        </w:rPr>
      </w:pPr>
      <w:r>
        <w:rPr>
          <w:rFonts w:ascii="Times New Roman" w:cs="Times New Roman" w:eastAsia="Times New Roman" w:hAnsi="Times New Roman"/>
          <w:sz w:val="20"/>
          <w:szCs w:val="20"/>
          <w:color w:val="auto"/>
        </w:rPr>
        <w:t>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97" w:lineRule="exact"/>
        <w:rPr>
          <w:sz w:val="20"/>
          <w:szCs w:val="20"/>
          <w:color w:val="auto"/>
        </w:rPr>
      </w:pPr>
    </w:p>
    <w:p>
      <w:pPr>
        <w:ind w:right="140" w:firstLine="562"/>
        <w:spacing w:after="0" w:line="247" w:lineRule="auto"/>
        <w:rPr>
          <w:sz w:val="20"/>
          <w:szCs w:val="20"/>
          <w:color w:val="auto"/>
        </w:rPr>
      </w:pPr>
      <w:r>
        <w:rPr>
          <w:rFonts w:ascii="Times New Roman" w:cs="Times New Roman" w:eastAsia="Times New Roman" w:hAnsi="Times New Roman"/>
          <w:sz w:val="20"/>
          <w:szCs w:val="20"/>
          <w:color w:val="auto"/>
        </w:rPr>
        <w:t>Accelerated approval is generally contingent on a sponsor’s agreement to conduct, in a diligent manner, adequate and well-controlled post-approval confirmatory studies to verify and describe the product’s clinical benefit and, under the Food and Drug Omnibus Reform Act of 2022, or FDORA, the FDA may require, as appropriate, that such trials be underway prior to approval. Under FDORA, the FDA has increased authority for expedited procedures to withdraw approval of a drug or an indication approved under accelerated approval if, for example, the confirmatory trial fails to verify the predicted clinical benefit of the product.</w:t>
      </w:r>
    </w:p>
    <w:p>
      <w:pPr>
        <w:spacing w:after="0" w:line="200" w:lineRule="exact"/>
        <w:rPr>
          <w:sz w:val="20"/>
          <w:szCs w:val="20"/>
          <w:color w:val="auto"/>
        </w:rPr>
      </w:pPr>
    </w:p>
    <w:p>
      <w:pPr>
        <w:ind w:right="20" w:firstLine="562"/>
        <w:spacing w:after="0" w:line="252"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the time period for FDA review or approval may not be shortened. Furthermore, these FDA programs do not change the scientific or medical standards for approval or the quality of evidence necessary to support approval, though they may expedite the development or review process.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information and pediatric exclusivity</w:t>
      </w:r>
    </w:p>
    <w:p>
      <w:pPr>
        <w:spacing w:after="0" w:line="240" w:lineRule="exact"/>
        <w:rPr>
          <w:sz w:val="20"/>
          <w:szCs w:val="20"/>
          <w:color w:val="auto"/>
        </w:rPr>
      </w:pPr>
    </w:p>
    <w:p>
      <w:pPr>
        <w:ind w:right="20" w:firstLine="562"/>
        <w:spacing w:after="0" w:line="242" w:lineRule="auto"/>
        <w:rPr>
          <w:sz w:val="20"/>
          <w:szCs w:val="20"/>
          <w:color w:val="auto"/>
        </w:rPr>
      </w:pPr>
      <w:r>
        <w:rPr>
          <w:rFonts w:ascii="Times New Roman" w:cs="Times New Roman" w:eastAsia="Times New Roman" w:hAnsi="Times New Roman"/>
          <w:sz w:val="20"/>
          <w:szCs w:val="20"/>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PREA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The FDA and the sponsor must reach an agreement on the PSP.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211"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20"/>
          <w:szCs w:val="20"/>
          <w:color w:val="auto"/>
        </w:rPr>
        <w:t>A drug may also obtain pediatric exclusivity in the United States. Pediatric exclusivity, if granted, adds six months to existing exclusivity periods and patent terms. This six-month exclusivity may be granted based on the voluntary completion of a pediatric study that adequately responds to an FDA-issued “Written Request” for such a study.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post-approval requirements for drugs</w:t>
      </w:r>
    </w:p>
    <w:p>
      <w:pPr>
        <w:spacing w:after="0" w:line="240" w:lineRule="exact"/>
        <w:rPr>
          <w:sz w:val="20"/>
          <w:szCs w:val="20"/>
          <w:color w:val="auto"/>
        </w:rPr>
      </w:pPr>
    </w:p>
    <w:p>
      <w:pPr>
        <w:ind w:right="80" w:firstLine="562"/>
        <w:spacing w:after="0" w:line="243" w:lineRule="auto"/>
        <w:rPr>
          <w:sz w:val="20"/>
          <w:szCs w:val="20"/>
          <w:color w:val="auto"/>
        </w:rPr>
      </w:pPr>
      <w:r>
        <w:rPr>
          <w:rFonts w:ascii="Times New Roman" w:cs="Times New Roman" w:eastAsia="Times New Roman" w:hAnsi="Times New Roman"/>
          <w:sz w:val="20"/>
          <w:szCs w:val="20"/>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and promotion and advertising requirements. FDA's advertising and promotion requirements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enforce the laws and regulations prohibiting the promotion of off-label uses,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reimbursed under federal health care programs. Promotional materials for approved drugs must be submitted to the FDA in conjunction with their first use or first publication. Further, for certain modifications to the drug, including changes in indications, labeling or manufacturing</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960" w:h="16560" w:orient="portrait"/>
          <w:cols w:equalWidth="0" w:num="1">
            <w:col w:w="10160"/>
          </w:cols>
          <w:pgMar w:left="1360" w:top="1420" w:right="1440" w:bottom="535" w:gutter="0" w:footer="0" w:header="0"/>
          <w:type w:val="continuous"/>
        </w:sectPr>
      </w:pPr>
    </w:p>
    <w:bookmarkStart w:id="27" w:name="page28"/>
    <w:bookmarkEnd w:id="27"/>
    <w:p>
      <w:pPr>
        <w:ind w:right="120"/>
        <w:spacing w:after="0" w:line="277" w:lineRule="auto"/>
        <w:rPr>
          <w:sz w:val="20"/>
          <w:szCs w:val="20"/>
          <w:color w:val="auto"/>
        </w:rPr>
      </w:pPr>
      <w:r>
        <w:rPr>
          <w:rFonts w:ascii="Times New Roman" w:cs="Times New Roman" w:eastAsia="Times New Roman" w:hAnsi="Times New Roman"/>
          <w:sz w:val="20"/>
          <w:szCs w:val="20"/>
          <w:color w:val="auto"/>
        </w:rPr>
        <w:t>processes or facilities, the applicant may be required to submit and obtain prior FDA approval of an NDA supplement, which may require the development of additional data or preclinical studies and clinical trials.</w:t>
      </w:r>
    </w:p>
    <w:p>
      <w:pPr>
        <w:spacing w:after="0" w:line="169" w:lineRule="exact"/>
        <w:rPr>
          <w:sz w:val="20"/>
          <w:szCs w:val="20"/>
          <w:color w:val="auto"/>
        </w:rPr>
      </w:pPr>
    </w:p>
    <w:p>
      <w:pPr>
        <w:ind w:right="40" w:firstLine="562"/>
        <w:spacing w:after="0" w:line="243" w:lineRule="auto"/>
        <w:rPr>
          <w:sz w:val="20"/>
          <w:szCs w:val="20"/>
          <w:color w:val="auto"/>
        </w:rPr>
      </w:pPr>
      <w:r>
        <w:rPr>
          <w:rFonts w:ascii="Times New Roman" w:cs="Times New Roman" w:eastAsia="Times New Roman" w:hAnsi="Times New Roman"/>
          <w:sz w:val="20"/>
          <w:szCs w:val="20"/>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as well as the manufacturing process for making the drug to confirm continued compliance with cGMP. Manufacturers and certain subcontractors must register their establishments with the FDA and applicable state agencies and are subject to periodic unannounced inspections for compliance with regulatory requirements. Changes to the manufacturing process are strictly regulated and, depending on the nature of the change, may require prior FDA approval before implementation. In addition, manufacturers and other parties involved in the drug supply chain must comply with product tracking and tracing requirements and notify the FDA of counterfeit, diverted, stolen and intentionally adulterated products or products that are otherwise unfit for distribution. Accordingly, manufacturers must continue to expend time, money and effort in the area of production and quality control to maintain compliance with cGMP and other regulatory requirements.</w:t>
      </w:r>
    </w:p>
    <w:p>
      <w:pPr>
        <w:spacing w:after="0" w:line="208" w:lineRule="exact"/>
        <w:rPr>
          <w:sz w:val="20"/>
          <w:szCs w:val="20"/>
          <w:color w:val="auto"/>
        </w:rPr>
      </w:pPr>
    </w:p>
    <w:p>
      <w:pPr>
        <w:ind w:right="80" w:firstLine="562"/>
        <w:spacing w:after="0" w:line="247" w:lineRule="auto"/>
        <w:rPr>
          <w:sz w:val="20"/>
          <w:szCs w:val="20"/>
          <w:color w:val="auto"/>
        </w:rPr>
      </w:pPr>
      <w:r>
        <w:rPr>
          <w:rFonts w:ascii="Times New Roman" w:cs="Times New Roman" w:eastAsia="Times New Roman" w:hAnsi="Times New Roman"/>
          <w:sz w:val="20"/>
          <w:szCs w:val="20"/>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4" w:lineRule="exact"/>
        <w:rPr>
          <w:sz w:val="20"/>
          <w:szCs w:val="20"/>
          <w:color w:val="auto"/>
        </w:rPr>
      </w:pPr>
    </w:p>
    <w:p>
      <w:pPr>
        <w:ind w:left="980" w:right="58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3" w:lineRule="exact"/>
        <w:rPr>
          <w:sz w:val="20"/>
          <w:szCs w:val="20"/>
          <w:color w:val="auto"/>
        </w:rPr>
      </w:pPr>
    </w:p>
    <w:p>
      <w:pPr>
        <w:ind w:left="980" w:right="44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issuance of safety alerts, Dear Healthcare Provider letters, press releases or other communications containing warnings or other safety information about the product;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fines, warning letters or holds on post-approval clinical trials;</w:t>
      </w:r>
    </w:p>
    <w:p>
      <w:pPr>
        <w:spacing w:after="0" w:line="134" w:lineRule="exact"/>
        <w:rPr>
          <w:sz w:val="20"/>
          <w:szCs w:val="20"/>
          <w:color w:val="auto"/>
        </w:rPr>
      </w:pPr>
    </w:p>
    <w:p>
      <w:pPr>
        <w:ind w:left="980" w:right="16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refusal of the FDA to approve applications or supplements to approved applications, or suspension or revocation of product approvals;</w:t>
      </w:r>
    </w:p>
    <w:p>
      <w:pPr>
        <w:spacing w:after="0" w:line="63" w:lineRule="exact"/>
        <w:rPr>
          <w:sz w:val="20"/>
          <w:szCs w:val="20"/>
          <w:color w:val="auto"/>
        </w:rPr>
      </w:pPr>
    </w:p>
    <w:p>
      <w:pPr>
        <w:ind w:left="500" w:right="2640"/>
        <w:spacing w:after="0" w:line="378"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product seizure or detention, or refusal to permit the import or export of products;</w:t>
      </w:r>
      <w:r>
        <w:rPr>
          <w:rFonts w:ascii="Arial" w:cs="Arial" w:eastAsia="Arial" w:hAnsi="Arial"/>
          <w:sz w:val="20"/>
          <w:szCs w:val="20"/>
          <w:color w:val="auto"/>
        </w:rPr>
        <w:t xml:space="preserve"> \ </w:t>
      </w:r>
      <w:r>
        <w:rPr>
          <w:rFonts w:ascii="Times New Roman" w:cs="Times New Roman" w:eastAsia="Times New Roman" w:hAnsi="Times New Roman"/>
          <w:sz w:val="20"/>
          <w:szCs w:val="20"/>
          <w:color w:val="auto"/>
        </w:rPr>
        <w:t>injunctions or the imposition of civil or criminal penalties; and</w:t>
      </w:r>
    </w:p>
    <w:p>
      <w:pPr>
        <w:spacing w:after="0" w:line="1" w:lineRule="exact"/>
        <w:rPr>
          <w:sz w:val="20"/>
          <w:szCs w:val="20"/>
          <w:color w:val="auto"/>
        </w:rPr>
      </w:pPr>
    </w:p>
    <w:p>
      <w:pPr>
        <w:ind w:left="980" w:right="40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consent decrees, corporate integrity agreements, debarment or exclusion from federal healthcare programs; or mandated modification of promotional materials and labeling and issuance of corrective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companion diagnostics</w:t>
      </w:r>
    </w:p>
    <w:p>
      <w:pPr>
        <w:spacing w:after="0" w:line="240" w:lineRule="exact"/>
        <w:rPr>
          <w:sz w:val="20"/>
          <w:szCs w:val="20"/>
          <w:color w:val="auto"/>
        </w:rPr>
      </w:pPr>
    </w:p>
    <w:p>
      <w:pPr>
        <w:ind w:right="20" w:firstLine="562"/>
        <w:spacing w:after="0" w:line="242" w:lineRule="auto"/>
        <w:rPr>
          <w:sz w:val="20"/>
          <w:szCs w:val="20"/>
          <w:color w:val="auto"/>
        </w:rPr>
      </w:pPr>
      <w:r>
        <w:rPr>
          <w:rFonts w:ascii="Times New Roman" w:cs="Times New Roman" w:eastAsia="Times New Roman" w:hAnsi="Times New Roman"/>
          <w:sz w:val="20"/>
          <w:szCs w:val="20"/>
          <w:color w:val="auto"/>
        </w:rPr>
        <w:t>Companion diagnostics provide information that is essential for the safe and effective use of a corresponding drug. A companion diagnostic may be used to help identify patients who are most likely to benefit from a particular drug, identify patients likely to be at increased risk for serious side effects as a result of treatment with a particular drug, or monitor response to treatment with a particular drug for the purpose of adjusting treatment to achieve improved safety or effectiveness. Companion diagnostics are regulated as medical devices by the FDA. In the United States, the FD&amp;C Act,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premarket approval, or PMA. In January 2024, FDA announced its intention to initiate a reclassification process for most in vitro diagnostics, including companion diagnostics. FDA also indicated that it will continue to take a risk-based approach in the initial classification of individual in vitro diagnostics to determine whether a new diagnostic test may be classified into class II through the de novo classification process. In so doing, FDA signaled that it may regulate most future companion diagnostics as class II devices (which is a medical device that poses a medium to high risk to patients and users).</w:t>
      </w:r>
    </w:p>
    <w:p>
      <w:pPr>
        <w:spacing w:after="0" w:line="209" w:lineRule="exact"/>
        <w:rPr>
          <w:sz w:val="20"/>
          <w:szCs w:val="20"/>
          <w:color w:val="auto"/>
        </w:rPr>
      </w:pPr>
    </w:p>
    <w:p>
      <w:pPr>
        <w:ind w:right="80" w:firstLine="562"/>
        <w:spacing w:after="0" w:line="278" w:lineRule="auto"/>
        <w:rPr>
          <w:sz w:val="20"/>
          <w:szCs w:val="20"/>
          <w:color w:val="auto"/>
        </w:rPr>
      </w:pPr>
      <w:r>
        <w:rPr>
          <w:rFonts w:ascii="Times New Roman" w:cs="Times New Roman" w:eastAsia="Times New Roman" w:hAnsi="Times New Roman"/>
          <w:sz w:val="19"/>
          <w:szCs w:val="19"/>
          <w:color w:val="auto"/>
        </w:rPr>
        <w:t>The FDA has issued several guidance documents regarding the co-development of drugs and companion diagnostic tests, including a 2014 final guidance titled “Guidance for Industry: In Vitro Companion Diagnostic Devices”, a 2016 draft guidance titled “Principles for Codevelopment of an In Vitro Companion Diagnostic Device with a Therapeutic Product,” and</w:t>
      </w:r>
    </w:p>
    <w:p>
      <w:pPr>
        <w:sectPr>
          <w:pgSz w:w="12960" w:h="16560" w:orient="portrait"/>
          <w:cols w:equalWidth="0" w:num="1">
            <w:col w:w="10160"/>
          </w:cols>
          <w:pgMar w:left="1360" w:top="1420" w:right="1440" w:bottom="535" w:gutter="0" w:footer="0" w:header="0"/>
        </w:sectPr>
      </w:pP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960" w:h="16560" w:orient="portrait"/>
          <w:cols w:equalWidth="0" w:num="1">
            <w:col w:w="10160"/>
          </w:cols>
          <w:pgMar w:left="1360" w:top="1420" w:right="1440" w:bottom="535" w:gutter="0" w:footer="0" w:header="0"/>
          <w:type w:val="continuous"/>
        </w:sectPr>
      </w:pPr>
    </w:p>
    <w:bookmarkStart w:id="28" w:name="page29"/>
    <w:bookmarkEnd w:id="28"/>
    <w:p>
      <w:pPr>
        <w:ind w:right="60"/>
        <w:spacing w:after="0" w:line="247" w:lineRule="auto"/>
        <w:rPr>
          <w:sz w:val="20"/>
          <w:szCs w:val="20"/>
          <w:color w:val="auto"/>
        </w:rPr>
      </w:pPr>
      <w:r>
        <w:rPr>
          <w:rFonts w:ascii="Times New Roman" w:cs="Times New Roman" w:eastAsia="Times New Roman" w:hAnsi="Times New Roman"/>
          <w:sz w:val="20"/>
          <w:szCs w:val="20"/>
          <w:color w:val="auto"/>
        </w:rPr>
        <w:t>a 2020 final guidance titled “Developing and Labeling In Vitro Companion Diagnostic Devices for a Specific Group or Class of Oncology Therapeutic Products". Once cleared or approved, the companion diagnostic device must comply with applicable post-marketing requirements including the FDA’s quality system regulation (QSR), adverse event reporting, recalls and corrections, and product marketing requirements and limitations. Like drug manufacturers, companion diagnostic manufacturers are subject to unannounced FDA inspections at any time during which the FDA will conduct an audit of the product(s) and the company’s facilities for compliance with regulatory requirements.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regulatory matters</w:t>
      </w:r>
    </w:p>
    <w:p>
      <w:pPr>
        <w:spacing w:after="0" w:line="240" w:lineRule="exact"/>
        <w:rPr>
          <w:sz w:val="20"/>
          <w:szCs w:val="20"/>
          <w:color w:val="auto"/>
        </w:rPr>
      </w:pPr>
    </w:p>
    <w:p>
      <w:pPr>
        <w:ind w:right="40" w:firstLine="562"/>
        <w:spacing w:after="0" w:line="247" w:lineRule="auto"/>
        <w:rPr>
          <w:sz w:val="20"/>
          <w:szCs w:val="20"/>
          <w:color w:val="auto"/>
        </w:rPr>
      </w:pPr>
      <w:r>
        <w:rPr>
          <w:rFonts w:ascii="Times New Roman" w:cs="Times New Roman" w:eastAsia="Times New Roman" w:hAnsi="Times New Roman"/>
          <w:sz w:val="20"/>
          <w:szCs w:val="20"/>
          <w:color w:val="auto"/>
        </w:rPr>
        <w:t>Manufacturing, sales, promotion and other activities of product candidates following product approval, where applicable, and commercialization are also subject to regulation by numerous regulatory authorities in the United States in addition to the FDA, which may include the Centers for Medicare &amp; Medicaid Services, or CMS, other divisions of the U.S.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240" w:lineRule="exact"/>
        <w:rPr>
          <w:sz w:val="20"/>
          <w:szCs w:val="20"/>
          <w:color w:val="auto"/>
        </w:rPr>
      </w:pPr>
    </w:p>
    <w:p>
      <w:pPr>
        <w:ind w:right="20" w:firstLine="562"/>
        <w:spacing w:after="0" w:line="246" w:lineRule="auto"/>
        <w:rPr>
          <w:sz w:val="20"/>
          <w:szCs w:val="20"/>
          <w:color w:val="auto"/>
        </w:rPr>
      </w:pPr>
      <w:r>
        <w:rPr>
          <w:rFonts w:ascii="Times New Roman" w:cs="Times New Roman" w:eastAsia="Times New Roman" w:hAnsi="Times New Roman"/>
          <w:sz w:val="20"/>
          <w:szCs w:val="20"/>
          <w:color w:val="auto"/>
        </w:rPr>
        <w:t>Healthcare providers, physicians, and third-party payors will play a primary role in the recommendation and prescription of any products for which we will seek to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future. In the United States, these laws include, without limitation, state and federal anti-kickback, false claims, physician transparency, and patient data privacy and security laws and regulations, including but not limited to those described below.</w:t>
      </w:r>
    </w:p>
    <w:p>
      <w:pPr>
        <w:spacing w:after="0" w:line="94" w:lineRule="exact"/>
        <w:rPr>
          <w:sz w:val="20"/>
          <w:szCs w:val="20"/>
          <w:color w:val="auto"/>
        </w:rPr>
      </w:pPr>
    </w:p>
    <w:p>
      <w:pPr>
        <w:ind w:left="980" w:right="20" w:hanging="490"/>
        <w:spacing w:after="0" w:line="243"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97" w:lineRule="exact"/>
        <w:rPr>
          <w:sz w:val="20"/>
          <w:szCs w:val="20"/>
          <w:color w:val="auto"/>
        </w:rPr>
      </w:pPr>
    </w:p>
    <w:p>
      <w:pPr>
        <w:ind w:left="980" w:right="120" w:hanging="490"/>
        <w:spacing w:after="0" w:line="244"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99" w:lineRule="exact"/>
        <w:rPr>
          <w:sz w:val="20"/>
          <w:szCs w:val="20"/>
          <w:color w:val="auto"/>
        </w:rPr>
      </w:pPr>
    </w:p>
    <w:p>
      <w:pPr>
        <w:ind w:left="980" w:right="340" w:hanging="490"/>
        <w:spacing w:after="0" w:line="252"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88" w:lineRule="exact"/>
        <w:rPr>
          <w:sz w:val="20"/>
          <w:szCs w:val="20"/>
          <w:color w:val="auto"/>
        </w:rPr>
      </w:pPr>
    </w:p>
    <w:p>
      <w:pPr>
        <w:ind w:left="980" w:right="40" w:hanging="490"/>
        <w:spacing w:after="0" w:line="249"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w:t>
      </w:r>
    </w:p>
    <w:p>
      <w:pPr>
        <w:sectPr>
          <w:pgSz w:w="12960" w:h="16560" w:orient="portrait"/>
          <w:cols w:equalWidth="0" w:num="1">
            <w:col w:w="10160"/>
          </w:cols>
          <w:pgMar w:left="1360" w:top="1420" w:right="1440" w:bottom="535"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960" w:h="16560" w:orient="portrait"/>
          <w:cols w:equalWidth="0" w:num="1">
            <w:col w:w="10160"/>
          </w:cols>
          <w:pgMar w:left="1360" w:top="1420" w:right="1440" w:bottom="535" w:gutter="0" w:footer="0" w:header="0"/>
          <w:type w:val="continuous"/>
        </w:sectPr>
      </w:pPr>
    </w:p>
    <w:bookmarkStart w:id="29" w:name="page30"/>
    <w:bookmarkEnd w:id="29"/>
    <w:p>
      <w:pPr>
        <w:ind w:left="980" w:right="780"/>
        <w:spacing w:after="0" w:line="277" w:lineRule="auto"/>
        <w:rPr>
          <w:sz w:val="20"/>
          <w:szCs w:val="20"/>
          <w:color w:val="auto"/>
        </w:rPr>
      </w:pPr>
      <w:r>
        <w:rPr>
          <w:rFonts w:ascii="Times New Roman" w:cs="Times New Roman" w:eastAsia="Times New Roman" w:hAnsi="Times New Roman"/>
          <w:sz w:val="20"/>
          <w:szCs w:val="20"/>
          <w:color w:val="auto"/>
        </w:rPr>
        <w:t>federal Anti-Kickback Statute, a person or entity may be found guilty of violating HIPAA without actual knowledge of the statute or specific intent to violate it.</w:t>
      </w:r>
    </w:p>
    <w:p>
      <w:pPr>
        <w:spacing w:after="0" w:line="63" w:lineRule="exact"/>
        <w:rPr>
          <w:sz w:val="20"/>
          <w:szCs w:val="20"/>
          <w:color w:val="auto"/>
        </w:rPr>
      </w:pPr>
    </w:p>
    <w:p>
      <w:pPr>
        <w:ind w:left="980" w:right="40" w:hanging="490"/>
        <w:spacing w:after="0" w:line="245"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96" w:lineRule="exact"/>
        <w:rPr>
          <w:sz w:val="20"/>
          <w:szCs w:val="20"/>
          <w:color w:val="auto"/>
        </w:rPr>
      </w:pPr>
    </w:p>
    <w:p>
      <w:pPr>
        <w:ind w:left="980" w:right="50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82" w:lineRule="exact"/>
        <w:rPr>
          <w:sz w:val="20"/>
          <w:szCs w:val="20"/>
          <w:color w:val="auto"/>
        </w:rPr>
      </w:pPr>
    </w:p>
    <w:p>
      <w:pPr>
        <w:ind w:left="980" w:right="20" w:hanging="490"/>
        <w:spacing w:after="0" w:line="245"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as well as certain other non-physician licensed providers such as physician assistants and nurse practitioners) and teaching hospitals, as well as ownership and investment interests held by physicians and their immediate family members.</w:t>
      </w:r>
    </w:p>
    <w:p>
      <w:pPr>
        <w:spacing w:after="0" w:line="96" w:lineRule="exact"/>
        <w:rPr>
          <w:sz w:val="20"/>
          <w:szCs w:val="20"/>
          <w:color w:val="auto"/>
        </w:rPr>
      </w:pPr>
    </w:p>
    <w:p>
      <w:pPr>
        <w:ind w:left="980" w:right="40" w:hanging="490"/>
        <w:spacing w:after="0" w:line="244"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206" w:lineRule="exact"/>
        <w:rPr>
          <w:sz w:val="20"/>
          <w:szCs w:val="20"/>
          <w:color w:val="auto"/>
        </w:rPr>
      </w:pPr>
    </w:p>
    <w:p>
      <w:pPr>
        <w:ind w:right="40" w:firstLine="562"/>
        <w:spacing w:after="0" w:line="243"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Coverage and Reimbursement</w:t>
      </w:r>
    </w:p>
    <w:p>
      <w:pPr>
        <w:spacing w:after="0" w:line="240" w:lineRule="exact"/>
        <w:rPr>
          <w:sz w:val="20"/>
          <w:szCs w:val="20"/>
          <w:color w:val="auto"/>
        </w:rPr>
      </w:pPr>
    </w:p>
    <w:p>
      <w:pPr>
        <w:ind w:right="100" w:firstLine="562"/>
        <w:spacing w:after="0" w:line="243" w:lineRule="auto"/>
        <w:rPr>
          <w:sz w:val="20"/>
          <w:szCs w:val="20"/>
          <w:color w:val="auto"/>
        </w:rPr>
      </w:pPr>
      <w:r>
        <w:rPr>
          <w:rFonts w:ascii="Times New Roman" w:cs="Times New Roman" w:eastAsia="Times New Roman" w:hAnsi="Times New Roman"/>
          <w:sz w:val="20"/>
          <w:szCs w:val="20"/>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CMS decides whether and to what extent a new medicine will be covered and reimbursed under Medicare and private payors tend to follow CMS to a substantial degree.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w:t>
      </w:r>
    </w:p>
    <w:p>
      <w:pPr>
        <w:sectPr>
          <w:pgSz w:w="12960" w:h="16560" w:orient="portrait"/>
          <w:cols w:equalWidth="0" w:num="1">
            <w:col w:w="10160"/>
          </w:cols>
          <w:pgMar w:left="1360" w:top="1420" w:right="1440" w:bottom="535" w:gutter="0" w:footer="0" w:header="0"/>
        </w:sectPr>
      </w:pP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960" w:h="16560" w:orient="portrait"/>
          <w:cols w:equalWidth="0" w:num="1">
            <w:col w:w="10160"/>
          </w:cols>
          <w:pgMar w:left="1360" w:top="1420" w:right="1440" w:bottom="535" w:gutter="0" w:footer="0" w:header="0"/>
          <w:type w:val="continuous"/>
        </w:sectPr>
      </w:pPr>
    </w:p>
    <w:bookmarkStart w:id="30" w:name="page31"/>
    <w:bookmarkEnd w:id="30"/>
    <w:p>
      <w:pPr>
        <w:ind w:right="420"/>
        <w:spacing w:after="0" w:line="277" w:lineRule="auto"/>
        <w:rPr>
          <w:sz w:val="20"/>
          <w:szCs w:val="20"/>
          <w:color w:val="auto"/>
        </w:rPr>
      </w:pPr>
      <w:r>
        <w:rPr>
          <w:rFonts w:ascii="Times New Roman" w:cs="Times New Roman" w:eastAsia="Times New Roman" w:hAnsi="Times New Roman"/>
          <w:sz w:val="20"/>
          <w:szCs w:val="20"/>
          <w:color w:val="auto"/>
        </w:rPr>
        <w:t>coverage to specific products on an approved list, also known as a formulary, which might not include all of the approved products for a particular indication.</w:t>
      </w:r>
    </w:p>
    <w:p>
      <w:pPr>
        <w:spacing w:after="0" w:line="169" w:lineRule="exact"/>
        <w:rPr>
          <w:sz w:val="20"/>
          <w:szCs w:val="20"/>
          <w:color w:val="auto"/>
        </w:rPr>
      </w:pPr>
    </w:p>
    <w:p>
      <w:pPr>
        <w:ind w:firstLine="562"/>
        <w:spacing w:after="0" w:line="246" w:lineRule="auto"/>
        <w:rPr>
          <w:sz w:val="20"/>
          <w:szCs w:val="20"/>
          <w:color w:val="auto"/>
        </w:rPr>
      </w:pPr>
      <w:r>
        <w:rPr>
          <w:rFonts w:ascii="Times New Roman" w:cs="Times New Roman" w:eastAsia="Times New Roman" w:hAnsi="Times New Roman"/>
          <w:sz w:val="20"/>
          <w:szCs w:val="20"/>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Some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(when a product candidate is approved for marketing). Levels of coverage and reimbursement for a product can differ significantly from payor to payor.</w:t>
      </w:r>
    </w:p>
    <w:p>
      <w:pPr>
        <w:spacing w:after="0" w:line="200" w:lineRule="exact"/>
        <w:rPr>
          <w:sz w:val="20"/>
          <w:szCs w:val="20"/>
          <w:color w:val="auto"/>
        </w:rPr>
      </w:pPr>
    </w:p>
    <w:p>
      <w:pPr>
        <w:ind w:right="40" w:firstLine="562"/>
        <w:spacing w:after="0" w:line="247" w:lineRule="auto"/>
        <w:rPr>
          <w:sz w:val="20"/>
          <w:szCs w:val="20"/>
          <w:color w:val="auto"/>
        </w:rPr>
      </w:pPr>
      <w:r>
        <w:rPr>
          <w:rFonts w:ascii="Times New Roman" w:cs="Times New Roman" w:eastAsia="Times New Roman" w:hAnsi="Times New Roman"/>
          <w:sz w:val="20"/>
          <w:szCs w:val="20"/>
          <w:color w:val="auto"/>
        </w:rPr>
        <w:t>The containment of healthcare costs has become a priority of federal, state and foreign governments (and other third-party payers), and the prices of pharmaceutical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w:t>
      </w:r>
    </w:p>
    <w:p>
      <w:pPr>
        <w:spacing w:after="0" w:line="200" w:lineRule="exact"/>
        <w:rPr>
          <w:sz w:val="20"/>
          <w:szCs w:val="20"/>
          <w:color w:val="auto"/>
        </w:rPr>
      </w:pPr>
    </w:p>
    <w:p>
      <w:pPr>
        <w:ind w:right="40" w:firstLine="562"/>
        <w:spacing w:after="0" w:line="242" w:lineRule="auto"/>
        <w:rPr>
          <w:sz w:val="20"/>
          <w:szCs w:val="20"/>
          <w:color w:val="auto"/>
        </w:rPr>
      </w:pPr>
      <w:r>
        <w:rPr>
          <w:rFonts w:ascii="Times New Roman" w:cs="Times New Roman" w:eastAsia="Times New Roman" w:hAnsi="Times New Roman"/>
          <w:sz w:val="20"/>
          <w:szCs w:val="20"/>
          <w:color w:val="auto"/>
        </w:rPr>
        <w:t xml:space="preserve">In the European Union, or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and future healthcare reform legislation</w:t>
      </w:r>
    </w:p>
    <w:p>
      <w:pPr>
        <w:spacing w:after="0" w:line="240" w:lineRule="exact"/>
        <w:rPr>
          <w:sz w:val="20"/>
          <w:szCs w:val="20"/>
          <w:color w:val="auto"/>
        </w:rPr>
      </w:pPr>
    </w:p>
    <w:p>
      <w:pPr>
        <w:ind w:right="80" w:firstLine="562"/>
        <w:spacing w:after="0" w:line="247" w:lineRule="auto"/>
        <w:rPr>
          <w:sz w:val="20"/>
          <w:szCs w:val="20"/>
          <w:color w:val="auto"/>
        </w:rPr>
      </w:pPr>
      <w:r>
        <w:rPr>
          <w:rFonts w:ascii="Times New Roman" w:cs="Times New Roman" w:eastAsia="Times New Roman" w:hAnsi="Times New Roman"/>
          <w:sz w:val="20"/>
          <w:szCs w:val="20"/>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94" w:lineRule="exact"/>
        <w:rPr>
          <w:sz w:val="20"/>
          <w:szCs w:val="20"/>
          <w:color w:val="auto"/>
        </w:rPr>
      </w:pPr>
    </w:p>
    <w:p>
      <w:pPr>
        <w:ind w:left="980" w:right="32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82" w:lineRule="exact"/>
        <w:rPr>
          <w:sz w:val="20"/>
          <w:szCs w:val="20"/>
          <w:color w:val="auto"/>
        </w:rPr>
      </w:pPr>
    </w:p>
    <w:p>
      <w:pPr>
        <w:ind w:left="980" w:right="66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expanded eligibility criteria for Medicaid, thereby potentially increasing a manufacturer’s Medicaid rebate liability;</w:t>
      </w:r>
    </w:p>
    <w:p>
      <w:pPr>
        <w:spacing w:after="0" w:line="63" w:lineRule="exact"/>
        <w:rPr>
          <w:sz w:val="20"/>
          <w:szCs w:val="20"/>
          <w:color w:val="auto"/>
        </w:rPr>
      </w:pPr>
    </w:p>
    <w:p>
      <w:pPr>
        <w:ind w:left="500" w:right="2460"/>
        <w:spacing w:after="0" w:line="378"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expanded manufacturers’ rebate liability under the Medicaid Drug Rebate Program;</w:t>
      </w:r>
      <w:r>
        <w:rPr>
          <w:rFonts w:ascii="Arial" w:cs="Arial" w:eastAsia="Arial" w:hAnsi="Arial"/>
          <w:sz w:val="20"/>
          <w:szCs w:val="20"/>
          <w:color w:val="auto"/>
        </w:rPr>
        <w:t xml:space="preserve"> \ </w:t>
      </w:r>
      <w:r>
        <w:rPr>
          <w:rFonts w:ascii="Times New Roman" w:cs="Times New Roman" w:eastAsia="Times New Roman" w:hAnsi="Times New Roman"/>
          <w:sz w:val="20"/>
          <w:szCs w:val="20"/>
          <w:color w:val="auto"/>
        </w:rPr>
        <w:t>expanded the types of entities eligible for the 340B drug discount program;</w:t>
      </w:r>
    </w:p>
    <w:p>
      <w:pPr>
        <w:spacing w:after="0" w:line="1" w:lineRule="exact"/>
        <w:rPr>
          <w:sz w:val="20"/>
          <w:szCs w:val="20"/>
          <w:color w:val="auto"/>
        </w:rPr>
      </w:pPr>
    </w:p>
    <w:p>
      <w:pPr>
        <w:ind w:left="980" w:right="20" w:hanging="490"/>
        <w:spacing w:after="0" w:line="258"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ectPr>
          <w:pgSz w:w="12960" w:h="16560" w:orient="portrait"/>
          <w:cols w:equalWidth="0" w:num="1">
            <w:col w:w="10160"/>
          </w:cols>
          <w:pgMar w:left="1360" w:top="1420" w:right="1440" w:bottom="535"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960" w:h="16560" w:orient="portrait"/>
          <w:cols w:equalWidth="0" w:num="1">
            <w:col w:w="10160"/>
          </w:cols>
          <w:pgMar w:left="1360" w:top="1420" w:right="1440" w:bottom="535" w:gutter="0" w:footer="0" w:header="0"/>
          <w:type w:val="continuous"/>
        </w:sectPr>
      </w:pPr>
    </w:p>
    <w:bookmarkStart w:id="31" w:name="page32"/>
    <w:bookmarkEnd w:id="31"/>
    <w:p>
      <w:pPr>
        <w:ind w:left="980" w:right="40" w:hanging="490"/>
        <w:spacing w:after="0" w:line="277" w:lineRule="auto"/>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auto"/>
        </w:rPr>
        <w:t>created a Patient-Centered Outcomes Research Institute to oversee, identify priorities in, and conduct comparative clinical effectiveness research, along with funding for such research.</w:t>
      </w:r>
    </w:p>
    <w:p>
      <w:pPr>
        <w:spacing w:after="0" w:line="15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Other legislative changes have been proposed and adopted in the United States since the Affordable Care Act was enacted. For example, the Budget Control Act of 2011 and subsequent legislation, among other things, created measures for spending reductions by Congress that include aggregate reductions of Medicare payments to providers of 2% per fiscal year, which remain in effect through 2031. The U.S. American Taxpayer Relief Act of 2012 further reduced Medicare payments to several types of providers and increased the statute of limitations period for the government to recover overpayments to providers from three to five years. On March 11, 2021, President Biden signed the American Rescue Plan Act of 2021 into law, which eliminates the statutory Medicaid drug rebate cap, currently set at 100% of a drug’s average manufacturer price,for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47"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00" w:lineRule="exact"/>
        <w:rPr>
          <w:sz w:val="20"/>
          <w:szCs w:val="20"/>
          <w:color w:val="auto"/>
        </w:rPr>
      </w:pPr>
    </w:p>
    <w:p>
      <w:pPr>
        <w:ind w:right="40" w:firstLine="562"/>
        <w:spacing w:after="0" w:line="243" w:lineRule="auto"/>
        <w:rPr>
          <w:sz w:val="20"/>
          <w:szCs w:val="20"/>
          <w:color w:val="auto"/>
        </w:rPr>
      </w:pPr>
      <w:r>
        <w:rPr>
          <w:rFonts w:ascii="Times New Roman" w:cs="Times New Roman" w:eastAsia="Times New Roman" w:hAnsi="Times New Roman"/>
          <w:sz w:val="20"/>
          <w:szCs w:val="20"/>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President Biden issued multiple executive orders that have sought to reduce prescription drug costs. In February 2023, HHS issued a proposal in response to an October 2022 executive order from then-President Biden that includes a proposed prescription drug pricing model that will test whether targeted Medicare payment adjustments will sufficiently incentivize manufacturers to complete confirmatory trials for drugs approved through FDA’s accelerated approval pathway. A number of these and other proposed measures may require authorization through additional legislation to become effective, but the Trump Administration and Congress have indicated that they will continue to seek new legislative measures to control drug costs.</w:t>
      </w:r>
    </w:p>
    <w:p>
      <w:pPr>
        <w:spacing w:after="0" w:line="208" w:lineRule="exact"/>
        <w:rPr>
          <w:sz w:val="20"/>
          <w:szCs w:val="20"/>
          <w:color w:val="auto"/>
        </w:rPr>
      </w:pPr>
    </w:p>
    <w:p>
      <w:pPr>
        <w:ind w:right="20" w:firstLine="562"/>
        <w:spacing w:after="0" w:line="242" w:lineRule="auto"/>
        <w:rPr>
          <w:sz w:val="20"/>
          <w:szCs w:val="20"/>
          <w:color w:val="auto"/>
        </w:rPr>
      </w:pPr>
      <w:r>
        <w:rPr>
          <w:rFonts w:ascii="Times New Roman" w:cs="Times New Roman" w:eastAsia="Times New Roman" w:hAnsi="Times New Roman"/>
          <w:sz w:val="20"/>
          <w:szCs w:val="20"/>
          <w:color w:val="auto"/>
        </w:rPr>
        <w:t>The Inflation Reduction Act of 2022, or IRA, includes several provisions that may impact our business to varying degrees, including provisions that reduce the out-of-pocket cap for Medicare Part D beneficiaries from $7,050 to $2,000 starting in 2025, thereby effectively eliminating the coverage gap; impose new manufacturer financial liability on certain drugs under Medicare Part D; and allow the U.S. government to negotiate Medicare Part B and Part D price caps for certain high-cost drugs and biologics without generic or biosimilar competition. Specifically, under the IRA, a single-source pharmaceutical product qualifies for selection for participation in the drug price negotiation program if it is (i) a small-molecule drug for which at least seven years have passed since the date of approval from the FDA and there is no generic on the market (as of the date of selection); or (ii) a biologic for which 11 years have passed since the date of FDA licensure and there is no biosimilar on the market (as of the date of selection). Given that any negotiated price does not take effect until approximately two years after selection, small-molecule drug and biologic manufacturers are afforded at least nine years and 13 years, respectively, before they may be obligated to sell their product under Medicare Part B and Part D, as applicable, at CMS-negotiated pricing. The IRA also requires companies to pay rebates to Medicare to the extent that drug pricing increases faster than inflation, and it also further delayed until January 1, 2032 the implementation of the HHS rebate rule that would have limited the fees that pharmacy benefit managers can charge. Further, under the IRA, orphan drugs are exempted from the Medicare drug price negotiation program, but only if they have a single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 Medicare drug price negotiation program. The effects of the IRA on our business and the healthcare industry in general is not yet known.</w:t>
      </w:r>
    </w:p>
    <w:p>
      <w:pPr>
        <w:spacing w:after="0" w:line="204" w:lineRule="exact"/>
        <w:rPr>
          <w:sz w:val="20"/>
          <w:szCs w:val="20"/>
          <w:color w:val="auto"/>
        </w:rPr>
      </w:pPr>
    </w:p>
    <w:p>
      <w:pPr>
        <w:ind w:right="160" w:firstLine="562"/>
        <w:spacing w:after="0" w:line="258" w:lineRule="auto"/>
        <w:rPr>
          <w:sz w:val="20"/>
          <w:szCs w:val="20"/>
          <w:color w:val="auto"/>
        </w:rPr>
      </w:pPr>
      <w:r>
        <w:rPr>
          <w:rFonts w:ascii="Times New Roman" w:cs="Times New Roman" w:eastAsia="Times New Roman" w:hAnsi="Times New Roman"/>
          <w:sz w:val="20"/>
          <w:szCs w:val="20"/>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ectPr>
          <w:pgSz w:w="12960" w:h="16560" w:orient="portrait"/>
          <w:cols w:equalWidth="0" w:num="1">
            <w:col w:w="10160"/>
          </w:cols>
          <w:pgMar w:left="1360" w:top="1434" w:right="1440" w:bottom="535"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960" w:h="16560" w:orient="portrait"/>
          <w:cols w:equalWidth="0" w:num="1">
            <w:col w:w="10160"/>
          </w:cols>
          <w:pgMar w:left="1360" w:top="1434" w:right="1440" w:bottom="535" w:gutter="0" w:footer="0" w:header="0"/>
          <w:type w:val="continuous"/>
        </w:sectPr>
      </w:pPr>
    </w:p>
    <w:bookmarkStart w:id="32" w:name="page33"/>
    <w:bookmarkEnd w:id="32"/>
    <w:p>
      <w:pPr>
        <w:ind w:right="20" w:firstLine="562"/>
        <w:spacing w:after="0" w:line="244" w:lineRule="auto"/>
        <w:rPr>
          <w:sz w:val="20"/>
          <w:szCs w:val="20"/>
          <w:color w:val="auto"/>
        </w:rPr>
      </w:pPr>
      <w:r>
        <w:rPr>
          <w:rFonts w:ascii="Times New Roman" w:cs="Times New Roman" w:eastAsia="Times New Roman" w:hAnsi="Times New Roman"/>
          <w:sz w:val="20"/>
          <w:szCs w:val="20"/>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(if approved for marketing) or put pressure on our drug pricing, which could negatively affect our business, financial condition, results of operations and prospects.</w:t>
      </w:r>
    </w:p>
    <w:p>
      <w:pPr>
        <w:spacing w:after="0" w:line="206" w:lineRule="exact"/>
        <w:rPr>
          <w:sz w:val="20"/>
          <w:szCs w:val="20"/>
          <w:color w:val="auto"/>
        </w:rPr>
      </w:pPr>
    </w:p>
    <w:p>
      <w:pPr>
        <w:ind w:right="180" w:firstLine="562"/>
        <w:spacing w:after="0" w:line="249" w:lineRule="auto"/>
        <w:rPr>
          <w:sz w:val="20"/>
          <w:szCs w:val="20"/>
          <w:color w:val="auto"/>
        </w:rPr>
      </w:pPr>
      <w:r>
        <w:rPr>
          <w:rFonts w:ascii="Times New Roman" w:cs="Times New Roman" w:eastAsia="Times New Roman" w:hAnsi="Times New Roman"/>
          <w:sz w:val="20"/>
          <w:szCs w:val="20"/>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United States environmental, health and safety laws and regulations</w:t>
      </w:r>
    </w:p>
    <w:p>
      <w:pPr>
        <w:spacing w:after="0" w:line="240" w:lineRule="exact"/>
        <w:rPr>
          <w:sz w:val="20"/>
          <w:szCs w:val="20"/>
          <w:color w:val="auto"/>
        </w:rPr>
      </w:pPr>
    </w:p>
    <w:p>
      <w:pPr>
        <w:ind w:right="40" w:firstLine="562"/>
        <w:spacing w:after="0" w:line="245" w:lineRule="auto"/>
        <w:rPr>
          <w:sz w:val="20"/>
          <w:szCs w:val="20"/>
          <w:color w:val="auto"/>
        </w:rPr>
      </w:pPr>
      <w:r>
        <w:rPr>
          <w:rFonts w:ascii="Times New Roman" w:cs="Times New Roman" w:eastAsia="Times New Roman" w:hAnsi="Times New Roman"/>
          <w:sz w:val="20"/>
          <w:szCs w:val="20"/>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02" w:lineRule="exact"/>
        <w:rPr>
          <w:sz w:val="20"/>
          <w:szCs w:val="20"/>
          <w:color w:val="auto"/>
        </w:rPr>
      </w:pPr>
    </w:p>
    <w:p>
      <w:pPr>
        <w:ind w:right="160" w:firstLine="562"/>
        <w:spacing w:after="0" w:line="258" w:lineRule="auto"/>
        <w:rPr>
          <w:sz w:val="20"/>
          <w:szCs w:val="20"/>
          <w:color w:val="auto"/>
        </w:rPr>
      </w:pPr>
      <w:r>
        <w:rPr>
          <w:rFonts w:ascii="Times New Roman" w:cs="Times New Roman" w:eastAsia="Times New Roman" w:hAnsi="Times New Roman"/>
          <w:sz w:val="20"/>
          <w:szCs w:val="20"/>
          <w:color w:val="auto"/>
        </w:rPr>
        <w:t>We maintain workers’ compensation insurance to cover us for costs and expenses that we may incur due to injuries to our employees, but this insurance may not provide adequate coverage against potential liabilities. We do not maintain insurance for environmental liability or toxic tort claims that may be asserted against us.</w:t>
      </w:r>
    </w:p>
    <w:p>
      <w:pPr>
        <w:spacing w:after="0" w:line="188" w:lineRule="exact"/>
        <w:rPr>
          <w:sz w:val="20"/>
          <w:szCs w:val="20"/>
          <w:color w:val="auto"/>
        </w:rPr>
      </w:pPr>
    </w:p>
    <w:p>
      <w:pPr>
        <w:ind w:right="220" w:firstLine="562"/>
        <w:spacing w:after="0" w:line="252"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 of drugs outside of the United States</w:t>
      </w:r>
    </w:p>
    <w:p>
      <w:pPr>
        <w:spacing w:after="0" w:line="240" w:lineRule="exact"/>
        <w:rPr>
          <w:sz w:val="20"/>
          <w:szCs w:val="20"/>
          <w:color w:val="auto"/>
        </w:rPr>
      </w:pPr>
    </w:p>
    <w:p>
      <w:pPr>
        <w:ind w:right="160" w:firstLine="562"/>
        <w:spacing w:after="0" w:line="247" w:lineRule="auto"/>
        <w:rPr>
          <w:sz w:val="20"/>
          <w:szCs w:val="20"/>
          <w:color w:val="auto"/>
        </w:rPr>
      </w:pPr>
      <w:r>
        <w:rPr>
          <w:rFonts w:ascii="Times New Roman" w:cs="Times New Roman" w:eastAsia="Times New Roman" w:hAnsi="Times New Roman"/>
          <w:sz w:val="20"/>
          <w:szCs w:val="20"/>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promotion and distribution of our potential future products. For instance, in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94" w:lineRule="exact"/>
        <w:rPr>
          <w:sz w:val="20"/>
          <w:szCs w:val="20"/>
          <w:color w:val="auto"/>
        </w:rPr>
      </w:pPr>
    </w:p>
    <w:p>
      <w:pPr>
        <w:ind w:left="1080" w:hanging="360"/>
        <w:spacing w:after="0" w:line="242"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i w:val="1"/>
          <w:iCs w:val="1"/>
          <w:color w:val="auto"/>
        </w:rPr>
        <w:t>Centralized procedure</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 The centralized procedure provides for the grant of a single marketing authorization by</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EU, is a significant therapeutic, scientific or technical innovation, or if its authorization would be in the interest of public health in the EU.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w:t>
      </w:r>
    </w:p>
    <w:p>
      <w:pPr>
        <w:sectPr>
          <w:pgSz w:w="12960" w:h="16560" w:orient="portrait"/>
          <w:cols w:equalWidth="0" w:num="1">
            <w:col w:w="10160"/>
          </w:cols>
          <w:pgMar w:left="1360" w:top="1420" w:right="1440" w:bottom="535"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960" w:h="16560" w:orient="portrait"/>
          <w:cols w:equalWidth="0" w:num="1">
            <w:col w:w="10160"/>
          </w:cols>
          <w:pgMar w:left="1360" w:top="1420" w:right="1440" w:bottom="535" w:gutter="0" w:footer="0" w:header="0"/>
          <w:type w:val="continuous"/>
        </w:sectPr>
      </w:pPr>
    </w:p>
    <w:bookmarkStart w:id="33" w:name="page34"/>
    <w:bookmarkEnd w:id="33"/>
    <w:p>
      <w:pPr>
        <w:ind w:left="1080" w:right="20"/>
        <w:spacing w:after="0" w:line="243" w:lineRule="auto"/>
        <w:rPr>
          <w:sz w:val="20"/>
          <w:szCs w:val="20"/>
          <w:color w:val="auto"/>
        </w:rPr>
      </w:pPr>
      <w:r>
        <w:rPr>
          <w:rFonts w:ascii="Times New Roman" w:cs="Times New Roman" w:eastAsia="Times New Roman" w:hAnsi="Times New Roman"/>
          <w:sz w:val="20"/>
          <w:szCs w:val="20"/>
          <w:color w:val="auto"/>
        </w:rPr>
        <w:t>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26" w:lineRule="exact"/>
        <w:rPr>
          <w:sz w:val="20"/>
          <w:szCs w:val="20"/>
          <w:color w:val="auto"/>
        </w:rPr>
      </w:pPr>
    </w:p>
    <w:p>
      <w:pPr>
        <w:ind w:left="1080" w:right="360" w:hanging="360"/>
        <w:spacing w:after="0" w:line="257"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i w:val="1"/>
          <w:iCs w:val="1"/>
          <w:color w:val="auto"/>
        </w:rPr>
        <w:t>National authorization procedures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 There are also two other possible routes to authorize products for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therapeutic indications in several countries, which are available for products that fall outside the scope of the centralized procedure:</w:t>
      </w:r>
    </w:p>
    <w:p>
      <w:pPr>
        <w:spacing w:after="0" w:line="83" w:lineRule="exact"/>
        <w:rPr>
          <w:sz w:val="20"/>
          <w:szCs w:val="20"/>
          <w:color w:val="auto"/>
        </w:rPr>
      </w:pPr>
    </w:p>
    <w:p>
      <w:pPr>
        <w:ind w:left="1480" w:right="60"/>
        <w:spacing w:after="0" w:line="258" w:lineRule="auto"/>
        <w:rPr>
          <w:sz w:val="20"/>
          <w:szCs w:val="20"/>
          <w:color w:val="auto"/>
        </w:rPr>
      </w:pPr>
      <w:r>
        <w:rPr>
          <w:rFonts w:ascii="Times New Roman" w:cs="Times New Roman" w:eastAsia="Times New Roman" w:hAnsi="Times New Roman"/>
          <w:sz w:val="20"/>
          <w:szCs w:val="20"/>
          <w:color w:val="auto"/>
        </w:rPr>
        <w:t>Using the decentralized procedure, an applicant may apply for simultaneous authorization in more than one EEA country for a medicinal product that has not yet been authorized in any EEA country and that does not fall within the mandatory scope of the centralized procedure.</w:t>
      </w:r>
    </w:p>
    <w:p>
      <w:pPr>
        <w:spacing w:after="0" w:line="82" w:lineRule="exact"/>
        <w:rPr>
          <w:sz w:val="20"/>
          <w:szCs w:val="20"/>
          <w:color w:val="auto"/>
        </w:rPr>
      </w:pPr>
    </w:p>
    <w:p>
      <w:pPr>
        <w:ind w:left="1480" w:right="140"/>
        <w:spacing w:after="0" w:line="252" w:lineRule="auto"/>
        <w:rPr>
          <w:sz w:val="20"/>
          <w:szCs w:val="20"/>
          <w:color w:val="auto"/>
        </w:rPr>
      </w:pPr>
      <w:r>
        <w:rPr>
          <w:rFonts w:ascii="Times New Roman" w:cs="Times New Roman" w:eastAsia="Times New Roman" w:hAnsi="Times New Roman"/>
          <w:sz w:val="20"/>
          <w:szCs w:val="20"/>
          <w:color w:val="auto"/>
        </w:rPr>
        <w:t>Using the mutual recognition procedure, a medicine is first authorized in one EEA country, in accordance with the national procedures of that country. Following this, additional marketing authorizations can be sought from other EEA countries in a procedure whereby the countries concerned recognize the validity of the original, national marketing authorization.</w:t>
      </w:r>
    </w:p>
    <w:p>
      <w:pPr>
        <w:spacing w:after="0" w:line="194" w:lineRule="exact"/>
        <w:rPr>
          <w:sz w:val="20"/>
          <w:szCs w:val="20"/>
          <w:color w:val="auto"/>
        </w:rPr>
      </w:pPr>
    </w:p>
    <w:p>
      <w:pPr>
        <w:ind w:right="140" w:firstLine="562"/>
        <w:spacing w:after="0" w:line="258" w:lineRule="auto"/>
        <w:rPr>
          <w:sz w:val="20"/>
          <w:szCs w:val="20"/>
          <w:color w:val="auto"/>
        </w:rPr>
      </w:pPr>
      <w:r>
        <w:rPr>
          <w:rFonts w:ascii="Times New Roman" w:cs="Times New Roman" w:eastAsia="Times New Roman" w:hAnsi="Times New Roman"/>
          <w:sz w:val="20"/>
          <w:szCs w:val="20"/>
          <w:color w:val="auto"/>
        </w:rPr>
        <w:t>In both cases, as with the centralized procedure, the competent authorities of the EEA countries assess the risk-benefit balance of the product on the basis of scientific criteria concerning its quality, safety and efficacy before granting the marketing authorization.</w:t>
      </w:r>
    </w:p>
    <w:p>
      <w:pPr>
        <w:spacing w:after="0" w:line="188" w:lineRule="exact"/>
        <w:rPr>
          <w:sz w:val="20"/>
          <w:szCs w:val="20"/>
          <w:color w:val="auto"/>
        </w:rPr>
      </w:pPr>
    </w:p>
    <w:p>
      <w:pPr>
        <w:ind w:right="20" w:firstLine="562"/>
        <w:spacing w:after="0" w:line="241" w:lineRule="auto"/>
        <w:rPr>
          <w:sz w:val="20"/>
          <w:szCs w:val="20"/>
          <w:color w:val="auto"/>
        </w:rPr>
      </w:pPr>
      <w:r>
        <w:rPr>
          <w:rFonts w:ascii="Times New Roman" w:cs="Times New Roman" w:eastAsia="Times New Roman" w:hAnsi="Times New Roman"/>
          <w:sz w:val="20"/>
          <w:szCs w:val="20"/>
          <w:color w:val="auto"/>
        </w:rPr>
        <w:t>Now that the United Kingdom, or UK, has left the EU, the UK is no longer covered by the EU procedures for the grant of marketing authorizations under the centralized EU procedure and a separate marketing authorization is therefore required to market drugs in the UK. However, although a separate marketing authorization is required to market a product in the UK, on January 1, 2024, the Medicines and Healthcare Products Regulatory Agency, or MHRA, put in place a new international recognition framework which means that the MHRA may have regard to decisions on the approval of marketing authorizations made by the EMA and certain other regulators when determining an application for a new UK marketing authorization.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On February 27, 2023, the United Kingdom government and the European Commission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United Kingdom. In particular, the MHRA is now responsible for approving all medicinal products destined for the United Kingdom market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Great Britain and Northern Ireland), and the EMA no longer has any role in approving medicinal products destined for Northern Ireland under the EU centralized procedure. A single United Kingdom-wide marketing authorization will be granted by the MHRA for all novel medicinal products to be sold in the United Kingdom, enabling products to be sold in a single pack and under a single authorization throughout the United Kingdom. In addition, the new arrangements require all medicines placed on the UK market to be labelled “UK only”, indicating they are not for sale in the EU.</w:t>
      </w:r>
    </w:p>
    <w:p>
      <w:pPr>
        <w:spacing w:after="0" w:line="221" w:lineRule="exact"/>
        <w:rPr>
          <w:sz w:val="20"/>
          <w:szCs w:val="20"/>
          <w:color w:val="auto"/>
        </w:rPr>
      </w:pPr>
    </w:p>
    <w:p>
      <w:pPr>
        <w:ind w:right="120" w:firstLine="562"/>
        <w:spacing w:after="0" w:line="244" w:lineRule="auto"/>
        <w:rPr>
          <w:sz w:val="20"/>
          <w:szCs w:val="20"/>
          <w:color w:val="auto"/>
        </w:rPr>
      </w:pPr>
      <w:r>
        <w:rPr>
          <w:rFonts w:ascii="Times New Roman" w:cs="Times New Roman" w:eastAsia="Times New Roman" w:hAnsi="Times New Roman"/>
          <w:sz w:val="20"/>
          <w:szCs w:val="20"/>
          <w:color w:val="auto"/>
        </w:rPr>
        <w:t>In the EU, new products that are authorized for marketing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reference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EU during a period of eight years from the date on which the innovator product was first authorized in the EU. The additional two-year period of market exclusivity period prevents a successful generic or biosimilar applicant from commercializing its product in the EU until ten years have elapsed from the initial authorization of the reference product in the EU.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w:t>
      </w:r>
    </w:p>
    <w:p>
      <w:pPr>
        <w:sectPr>
          <w:pgSz w:w="12960" w:h="16560" w:orient="portrait"/>
          <w:cols w:equalWidth="0" w:num="1">
            <w:col w:w="10160"/>
          </w:cols>
          <w:pgMar w:left="1360" w:top="1420" w:right="1440" w:bottom="535"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960" w:h="16560" w:orient="portrait"/>
          <w:cols w:equalWidth="0" w:num="1">
            <w:col w:w="10160"/>
          </w:cols>
          <w:pgMar w:left="1360" w:top="1420" w:right="1440" w:bottom="535" w:gutter="0" w:footer="0" w:header="0"/>
          <w:type w:val="continuous"/>
        </w:sectPr>
      </w:pPr>
    </w:p>
    <w:bookmarkStart w:id="34" w:name="page35"/>
    <w:bookmarkEnd w:id="34"/>
    <w:p>
      <w:pPr>
        <w:ind w:right="140"/>
        <w:spacing w:after="0" w:line="258" w:lineRule="auto"/>
        <w:rPr>
          <w:sz w:val="20"/>
          <w:szCs w:val="20"/>
          <w:color w:val="auto"/>
        </w:rPr>
      </w:pPr>
      <w:r>
        <w:rPr>
          <w:rFonts w:ascii="Times New Roman" w:cs="Times New Roman" w:eastAsia="Times New Roman" w:hAnsi="Times New Roman"/>
          <w:sz w:val="20"/>
          <w:szCs w:val="20"/>
          <w:color w:val="auto"/>
        </w:rPr>
        <w:t>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88" w:lineRule="exact"/>
        <w:rPr>
          <w:sz w:val="20"/>
          <w:szCs w:val="20"/>
          <w:color w:val="auto"/>
        </w:rPr>
      </w:pPr>
    </w:p>
    <w:p>
      <w:pPr>
        <w:ind w:right="40" w:firstLine="562"/>
        <w:spacing w:after="0" w:line="242" w:lineRule="auto"/>
        <w:rPr>
          <w:sz w:val="20"/>
          <w:szCs w:val="20"/>
          <w:color w:val="auto"/>
        </w:rPr>
      </w:pPr>
      <w:r>
        <w:rPr>
          <w:rFonts w:ascii="Times New Roman" w:cs="Times New Roman" w:eastAsia="Times New Roman" w:hAnsi="Times New Roman"/>
          <w:sz w:val="20"/>
          <w:szCs w:val="20"/>
          <w:color w:val="auto"/>
        </w:rPr>
        <w:t>The criteria for designating an “orphan medicinal product” in the EU are similar in principle to those in the United States. In the EU, under Article 3 of Regulation (EC) 141/2000,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EU when the application is made, or (b) it is unlikely that the product, without the benefits derived from orphan status, would generate sufficient return in the EU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certain conditions are met. An orphan product can also obtain an additional two years of market exclusivity in the EU for pediatric studies. Orphan drug designation does not convey any advantage in, or shorten the duration of, the regulatory review and approval process.</w:t>
      </w:r>
    </w:p>
    <w:p>
      <w:pPr>
        <w:spacing w:after="0" w:line="213" w:lineRule="exact"/>
        <w:rPr>
          <w:sz w:val="20"/>
          <w:szCs w:val="20"/>
          <w:color w:val="auto"/>
        </w:rPr>
      </w:pPr>
    </w:p>
    <w:p>
      <w:pPr>
        <w:ind w:right="80" w:firstLine="562"/>
        <w:spacing w:after="0" w:line="277" w:lineRule="auto"/>
        <w:rPr>
          <w:sz w:val="20"/>
          <w:szCs w:val="20"/>
          <w:color w:val="auto"/>
        </w:rPr>
      </w:pPr>
      <w:r>
        <w:rPr>
          <w:rFonts w:ascii="Times New Roman" w:cs="Times New Roman" w:eastAsia="Times New Roman" w:hAnsi="Times New Roman"/>
          <w:sz w:val="20"/>
          <w:szCs w:val="20"/>
          <w:color w:val="auto"/>
        </w:rPr>
        <w:t>Similar to the United States, the various phases of non-clinical and clinical research in the EU are subject to significant regulatory controls.</w:t>
      </w:r>
    </w:p>
    <w:p>
      <w:pPr>
        <w:spacing w:after="0" w:line="169" w:lineRule="exact"/>
        <w:rPr>
          <w:sz w:val="20"/>
          <w:szCs w:val="20"/>
          <w:color w:val="auto"/>
        </w:rPr>
      </w:pPr>
    </w:p>
    <w:p>
      <w:pPr>
        <w:ind w:firstLine="562"/>
        <w:spacing w:after="0" w:line="242" w:lineRule="auto"/>
        <w:rPr>
          <w:sz w:val="20"/>
          <w:szCs w:val="20"/>
          <w:color w:val="auto"/>
        </w:rPr>
      </w:pPr>
      <w:r>
        <w:rPr>
          <w:rFonts w:ascii="Times New Roman" w:cs="Times New Roman" w:eastAsia="Times New Roman" w:hAnsi="Times New Roman"/>
          <w:sz w:val="20"/>
          <w:szCs w:val="20"/>
          <w:color w:val="auto"/>
        </w:rPr>
        <w:t>The system for the approval of clinical trials in the EU is governed by the EU Clinical Trials Regulation 536/2014.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EU Clinical Trials Regulation (which replaced the previous Clinical Trials Directive 2001/20/EC on January 31, 2022) is directly applicable in all Member States (and so does not require national implementing legislation in each Member State) and aims at simplifying and streamlining the approval of clinical studies in the EU. The main characteristics of the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also been established for the assessment of clinical trial applications.</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All of the aforementioned EU rules are generally applicable in the EEA.</w:t>
      </w:r>
    </w:p>
    <w:p>
      <w:pPr>
        <w:spacing w:after="0" w:line="240" w:lineRule="exact"/>
        <w:rPr>
          <w:sz w:val="20"/>
          <w:szCs w:val="20"/>
          <w:color w:val="auto"/>
        </w:rPr>
      </w:pPr>
    </w:p>
    <w:p>
      <w:pPr>
        <w:ind w:right="60" w:firstLine="562"/>
        <w:spacing w:after="0" w:line="249" w:lineRule="auto"/>
        <w:rPr>
          <w:sz w:val="20"/>
          <w:szCs w:val="20"/>
          <w:color w:val="auto"/>
        </w:rPr>
      </w:pPr>
      <w:r>
        <w:rPr>
          <w:rFonts w:ascii="Times New Roman" w:cs="Times New Roman" w:eastAsia="Times New Roman" w:hAnsi="Times New Roman"/>
          <w:sz w:val="20"/>
          <w:szCs w:val="20"/>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 of data collection outside of the United States</w:t>
      </w:r>
    </w:p>
    <w:p>
      <w:pPr>
        <w:spacing w:after="0" w:line="240" w:lineRule="exact"/>
        <w:rPr>
          <w:sz w:val="20"/>
          <w:szCs w:val="20"/>
          <w:color w:val="auto"/>
        </w:rPr>
      </w:pPr>
    </w:p>
    <w:p>
      <w:pPr>
        <w:ind w:right="40" w:firstLine="562"/>
        <w:spacing w:after="0" w:line="243" w:lineRule="auto"/>
        <w:rPr>
          <w:sz w:val="20"/>
          <w:szCs w:val="20"/>
          <w:color w:val="auto"/>
        </w:rPr>
      </w:pPr>
      <w:r>
        <w:rPr>
          <w:rFonts w:ascii="Times New Roman" w:cs="Times New Roman" w:eastAsia="Times New Roman" w:hAnsi="Times New Roman"/>
          <w:sz w:val="20"/>
          <w:szCs w:val="20"/>
          <w:color w:val="auto"/>
        </w:rPr>
        <w:t>We conduct clinical trials in the EU, and as a result are subject to additional privacy restrictions in relation to those clinical trials. The collection and use of personal health data in the EEA is governed by the General Data Protection Regulation 2016/679, or the EU GDPR, and national implementing laws. Switzerland has passed similar laws, and following the UK’s decision to leave the EU, the UK has enacted legislation which is substantially aligned with the GDPR, by virtue of the EU (Withdrawal) Act 2018, as amended (together with the EU GDPR, the GDPR). The GDPR applies to the processing of personal data by any company established in the EEA or UK and to companies established outside the EEA or UK to the extent they process personal data in connection with the offering of goods or services to data subjects in the EEA or UK, or the monitoring of the behavior of data subjects in the EEA or UK. The GDPR enhances data protection obligations for data controllers of personal data, including strict requirements relating to the processing of sensitive data (such as health data), ensuring there is a legal basis or condition to justify the processing of personal data, stringent requirements relating to the consent of data subjects (where required), expanded disclosures about how personal data is used, enhanced requirements for</w:t>
      </w:r>
    </w:p>
    <w:p>
      <w:pPr>
        <w:sectPr>
          <w:pgSz w:w="12960" w:h="16560" w:orient="portrait"/>
          <w:cols w:equalWidth="0" w:num="1">
            <w:col w:w="10160"/>
          </w:cols>
          <w:pgMar w:left="1360" w:top="1420" w:right="1440" w:bottom="535"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960" w:h="16560" w:orient="portrait"/>
          <w:cols w:equalWidth="0" w:num="1">
            <w:col w:w="10160"/>
          </w:cols>
          <w:pgMar w:left="1360" w:top="1420" w:right="1440" w:bottom="535" w:gutter="0" w:footer="0" w:header="0"/>
          <w:type w:val="continuous"/>
        </w:sectPr>
      </w:pPr>
    </w:p>
    <w:bookmarkStart w:id="35" w:name="page36"/>
    <w:bookmarkEnd w:id="35"/>
    <w:p>
      <w:pPr>
        <w:ind w:right="80"/>
        <w:spacing w:after="0" w:line="243" w:lineRule="auto"/>
        <w:rPr>
          <w:sz w:val="20"/>
          <w:szCs w:val="20"/>
          <w:color w:val="auto"/>
        </w:rPr>
      </w:pPr>
      <w:r>
        <w:rPr>
          <w:rFonts w:ascii="Times New Roman" w:cs="Times New Roman" w:eastAsia="Times New Roman" w:hAnsi="Times New Roman"/>
          <w:sz w:val="20"/>
          <w:szCs w:val="20"/>
          <w:color w:val="auto"/>
        </w:rPr>
        <w:t>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or UK to countries that do not ensure an adequate level of protection, like the United States. Failure to comply with the requirements of the GDPR and the related national data protection laws of the EU Member States, the UK,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Maintaining compliance with the GDPR will continue to require significant time, resources and expense. There has been limited enforcement of the GDPR to date in biopharmaceutical development, so we face uncertainty as to the exact interpretation of the new requirements on any current and future trials and we may be unsuccessful in implementing and maintaining all measures required by data protection authorities or courts in interpretation of the law.</w:t>
      </w:r>
    </w:p>
    <w:p>
      <w:pPr>
        <w:spacing w:after="0" w:line="206" w:lineRule="exact"/>
        <w:rPr>
          <w:sz w:val="20"/>
          <w:szCs w:val="20"/>
          <w:color w:val="auto"/>
        </w:rPr>
      </w:pPr>
    </w:p>
    <w:p>
      <w:pPr>
        <w:ind w:right="80" w:firstLine="562"/>
        <w:spacing w:after="0" w:line="245" w:lineRule="auto"/>
        <w:rPr>
          <w:sz w:val="20"/>
          <w:szCs w:val="20"/>
          <w:color w:val="auto"/>
        </w:rPr>
      </w:pPr>
      <w:r>
        <w:rPr>
          <w:rFonts w:ascii="Times New Roman" w:cs="Times New Roman" w:eastAsia="Times New Roman" w:hAnsi="Times New Roman"/>
          <w:sz w:val="20"/>
          <w:szCs w:val="20"/>
          <w:color w:val="auto"/>
        </w:rPr>
        <w:t>Further, since the UK’s decision to leave the EU, the UK is now regarded as a “third country” for the purposes of transfers of personal data from the EEA. The European Commission has, however, issued an adequacy decision recognizing the UK as providing adequate data protection and, therefore, transfers of personal data originating in the EEA to the UK remain unrestricted. Likewise, the UK government has confirmed that personal data transfers from the UK to the EEA remain free flowing. However, the UK government is planning to reform its data protection law with the Data (Use and Access) Bill, which it introduced to Parliament on 24 October 2024. These potential future changes to UK data protection laws may alter the similarities between the UK and EEA data protection regime and threaten the UK adequacy decision from the European Commission.</w:t>
      </w:r>
    </w:p>
    <w:p>
      <w:pPr>
        <w:spacing w:after="0" w:line="202" w:lineRule="exact"/>
        <w:rPr>
          <w:sz w:val="20"/>
          <w:szCs w:val="20"/>
          <w:color w:val="auto"/>
        </w:rPr>
      </w:pPr>
    </w:p>
    <w:p>
      <w:pPr>
        <w:ind w:right="180" w:firstLine="562"/>
        <w:spacing w:after="0" w:line="247" w:lineRule="auto"/>
        <w:rPr>
          <w:sz w:val="20"/>
          <w:szCs w:val="20"/>
          <w:color w:val="auto"/>
        </w:rPr>
      </w:pPr>
      <w:r>
        <w:rPr>
          <w:rFonts w:ascii="Times New Roman" w:cs="Times New Roman" w:eastAsia="Times New Roman" w:hAnsi="Times New Roman"/>
          <w:sz w:val="20"/>
          <w:szCs w:val="20"/>
          <w:color w:val="auto"/>
        </w:rPr>
        <w:t>Data protection authority activity differs across the EU and UK,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200" w:lineRule="exact"/>
        <w:rPr>
          <w:sz w:val="20"/>
          <w:szCs w:val="20"/>
          <w:color w:val="auto"/>
        </w:rPr>
      </w:pPr>
    </w:p>
    <w:p>
      <w:pPr>
        <w:ind w:right="180" w:firstLine="562"/>
        <w:spacing w:after="0" w:line="277" w:lineRule="auto"/>
        <w:rPr>
          <w:sz w:val="20"/>
          <w:szCs w:val="20"/>
          <w:color w:val="auto"/>
        </w:rPr>
      </w:pPr>
      <w:r>
        <w:rPr>
          <w:rFonts w:ascii="Times New Roman" w:cs="Times New Roman" w:eastAsia="Times New Roman" w:hAnsi="Times New Roman"/>
          <w:sz w:val="20"/>
          <w:szCs w:val="20"/>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ind w:right="100" w:firstLine="562"/>
        <w:spacing w:after="0" w:line="247" w:lineRule="auto"/>
        <w:rPr>
          <w:sz w:val="20"/>
          <w:szCs w:val="20"/>
          <w:color w:val="auto"/>
        </w:rPr>
      </w:pPr>
      <w:r>
        <w:rPr>
          <w:rFonts w:ascii="Times New Roman" w:cs="Times New Roman" w:eastAsia="Times New Roman" w:hAnsi="Times New Roman"/>
          <w:sz w:val="20"/>
          <w:szCs w:val="20"/>
          <w:color w:val="auto"/>
        </w:rPr>
        <w:t>We face direct competition from pharmaceutical and biotechnology companies leveraging the principle of synthetic lethality as well as companies developing therapies for the same target pathway and the same indications. Well-established companies that are developing or may develop therapies based on synthetic lethality include AstraZeneca, Amgen, Bristol Myers Squibb (BMS), Gilead, GlaxoSmithKline, Merck KGaA, Pfizer, Lilly and Roche. Smaller and earlier-stage companies focused on synthetic lethality include Artios Pharma, Beigene, Exelixis, IDEAYA Biosciences, Repare Therapeutics and Servier Pharmaceuticals.</w:t>
      </w:r>
    </w:p>
    <w:p>
      <w:pPr>
        <w:spacing w:after="0" w:line="200" w:lineRule="exact"/>
        <w:rPr>
          <w:sz w:val="20"/>
          <w:szCs w:val="20"/>
          <w:color w:val="auto"/>
        </w:rPr>
      </w:pPr>
    </w:p>
    <w:p>
      <w:pPr>
        <w:ind w:right="80" w:firstLine="562"/>
        <w:spacing w:after="0" w:line="246" w:lineRule="auto"/>
        <w:rPr>
          <w:sz w:val="20"/>
          <w:szCs w:val="20"/>
          <w:color w:val="auto"/>
        </w:rPr>
      </w:pPr>
      <w:r>
        <w:rPr>
          <w:rFonts w:ascii="Times New Roman" w:cs="Times New Roman" w:eastAsia="Times New Roman" w:hAnsi="Times New Roman"/>
          <w:sz w:val="20"/>
          <w:szCs w:val="20"/>
          <w:color w:val="auto"/>
        </w:rPr>
        <w:t>Our PRMT5 inhibitor program, which includes TNG462 and TNG456, will face direct competition from companies that have clinical-stage, MTA-cooperative PRMT5 inhibitors that are selective for MTAP-deleted cancers. We are aware that BMS (which acquired Mirati Therapeutics, Inc., or Mirati), Amgen, AstraZeneca, Beigene and Abbisko are in Phase 1/2 clinical trials with MTA-cooperative PRMT5 inhibitor programs, using the same mechanism of action as TNG462 and TNG456. There may be additional competition from other drug candidates not yet in clinic trials, such as Gilead Sciences and IDEAYA Biosciences. Currently, there are no MTA-cooperative PRMT5 inhibitors that are authorized for marketing by any regulatory authority.</w:t>
      </w:r>
    </w:p>
    <w:p>
      <w:pPr>
        <w:spacing w:after="0" w:line="200" w:lineRule="exact"/>
        <w:rPr>
          <w:sz w:val="20"/>
          <w:szCs w:val="20"/>
          <w:color w:val="auto"/>
        </w:rPr>
      </w:pPr>
    </w:p>
    <w:p>
      <w:pPr>
        <w:ind w:right="240" w:firstLine="562"/>
        <w:spacing w:after="0" w:line="249" w:lineRule="auto"/>
        <w:rPr>
          <w:sz w:val="20"/>
          <w:szCs w:val="20"/>
          <w:color w:val="auto"/>
        </w:rPr>
      </w:pPr>
      <w:r>
        <w:rPr>
          <w:rFonts w:ascii="Times New Roman" w:cs="Times New Roman" w:eastAsia="Times New Roman" w:hAnsi="Times New Roman"/>
          <w:sz w:val="20"/>
          <w:szCs w:val="20"/>
          <w:color w:val="auto"/>
        </w:rPr>
        <w:t>Indirect competition may come from MAT2A inhibitor programs that are uniquely different than the TNG462 and TNG456 mechanism of action but are synthetic lethal with MTAP-deletions. MAT2A is an enzyme upstream of PRMT5 essential for the metabolism of the PRMT5 co-factor SAM that acts on the same pathway as TNG462 and TNG456. We are aware that IDEAYA Biosciences, Beigene, Insilico Medicine and Servier Pharmaceuticals have clinical MAT2A inhibitor programs.</w:t>
      </w:r>
    </w:p>
    <w:p>
      <w:pPr>
        <w:spacing w:after="0" w:line="197" w:lineRule="exact"/>
        <w:rPr>
          <w:sz w:val="20"/>
          <w:szCs w:val="20"/>
          <w:color w:val="auto"/>
        </w:rPr>
      </w:pPr>
    </w:p>
    <w:p>
      <w:pPr>
        <w:ind w:right="60" w:firstLine="562"/>
        <w:spacing w:after="0" w:line="258" w:lineRule="auto"/>
        <w:rPr>
          <w:sz w:val="20"/>
          <w:szCs w:val="20"/>
          <w:color w:val="auto"/>
        </w:rPr>
      </w:pPr>
      <w:r>
        <w:rPr>
          <w:rFonts w:ascii="Times New Roman" w:cs="Times New Roman" w:eastAsia="Times New Roman" w:hAnsi="Times New Roman"/>
          <w:sz w:val="20"/>
          <w:szCs w:val="20"/>
          <w:color w:val="auto"/>
        </w:rPr>
        <w:t>We are not aware of any competition from other companies developing a similar mechanism as TNG260, our CoREST inhibitor program. Indirect competition may come from LSD1 inhibitor programs that target a different class of HDAC inhibitors than TNG260. We are aware that Jubilant Therapeutics has an LSD1-HDAC6 clinical program.</w:t>
      </w:r>
    </w:p>
    <w:p>
      <w:pPr>
        <w:sectPr>
          <w:pgSz w:w="12960" w:h="16560" w:orient="portrait"/>
          <w:cols w:equalWidth="0" w:num="1">
            <w:col w:w="10160"/>
          </w:cols>
          <w:pgMar w:left="1360" w:top="1420" w:right="1440" w:bottom="535"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960" w:h="16560" w:orient="portrait"/>
          <w:cols w:equalWidth="0" w:num="1">
            <w:col w:w="10160"/>
          </w:cols>
          <w:pgMar w:left="1360" w:top="1420" w:right="1440" w:bottom="535" w:gutter="0" w:footer="0" w:header="0"/>
          <w:type w:val="continuous"/>
        </w:sectPr>
      </w:pPr>
    </w:p>
    <w:bookmarkStart w:id="36" w:name="page37"/>
    <w:bookmarkEnd w:id="36"/>
    <w:p>
      <w:pPr>
        <w:ind w:right="60" w:firstLine="562"/>
        <w:spacing w:after="0" w:line="243" w:lineRule="auto"/>
        <w:rPr>
          <w:sz w:val="20"/>
          <w:szCs w:val="20"/>
          <w:color w:val="auto"/>
        </w:rPr>
      </w:pPr>
      <w:r>
        <w:rPr>
          <w:rFonts w:ascii="Times New Roman" w:cs="Times New Roman" w:eastAsia="Times New Roman" w:hAnsi="Times New Roman"/>
          <w:sz w:val="20"/>
          <w:szCs w:val="20"/>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If any of our product candidates are approved, they may compete with these existing drugs and other therapies, and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206" w:lineRule="exact"/>
        <w:rPr>
          <w:sz w:val="20"/>
          <w:szCs w:val="20"/>
          <w:color w:val="auto"/>
        </w:rPr>
      </w:pPr>
    </w:p>
    <w:p>
      <w:pPr>
        <w:ind w:right="80" w:firstLine="562"/>
        <w:spacing w:after="0" w:line="246" w:lineRule="auto"/>
        <w:rPr>
          <w:sz w:val="20"/>
          <w:szCs w:val="20"/>
          <w:color w:val="auto"/>
        </w:rPr>
      </w:pPr>
      <w:r>
        <w:rPr>
          <w:rFonts w:ascii="Times New Roman" w:cs="Times New Roman" w:eastAsia="Times New Roman" w:hAnsi="Times New Roman"/>
          <w:sz w:val="20"/>
          <w:szCs w:val="20"/>
          <w:color w:val="auto"/>
        </w:rPr>
        <w:t>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44" w:lineRule="exact"/>
        <w:rPr>
          <w:sz w:val="20"/>
          <w:szCs w:val="20"/>
          <w:color w:val="auto"/>
        </w:rPr>
      </w:pPr>
    </w:p>
    <w:p>
      <w:pPr>
        <w:ind w:right="60" w:firstLine="562"/>
        <w:spacing w:after="0" w:line="247" w:lineRule="auto"/>
        <w:rPr>
          <w:sz w:val="20"/>
          <w:szCs w:val="20"/>
          <w:color w:val="auto"/>
        </w:rPr>
      </w:pPr>
      <w:r>
        <w:rPr>
          <w:rFonts w:ascii="Times New Roman" w:cs="Times New Roman" w:eastAsia="Times New Roman" w:hAnsi="Times New Roman"/>
          <w:sz w:val="20"/>
          <w:szCs w:val="20"/>
          <w:color w:val="auto"/>
        </w:rPr>
        <w:t>Attracting and retaining qualified and experienced employees in research and development, clinical, manufacturing, regulatory, quality and other positions is crucial to our ability to compete effectively. Competition for these employees is intense in the pharmaceutical industry in which we operate. Our ability to recruit and retain such employees depends on a number of factors, including the growth of our organization, the culture and work environment we have created, our organizational values and goals and our corporate philosophy; talent development and career opportunities; and compensation and benefits.</w:t>
      </w:r>
    </w:p>
    <w:p>
      <w:pPr>
        <w:spacing w:after="0" w:line="200" w:lineRule="exact"/>
        <w:rPr>
          <w:sz w:val="20"/>
          <w:szCs w:val="20"/>
          <w:color w:val="auto"/>
        </w:rPr>
      </w:pPr>
    </w:p>
    <w:p>
      <w:pPr>
        <w:ind w:right="200" w:firstLine="562"/>
        <w:spacing w:after="0" w:line="258" w:lineRule="auto"/>
        <w:rPr>
          <w:sz w:val="20"/>
          <w:szCs w:val="20"/>
          <w:color w:val="auto"/>
        </w:rPr>
      </w:pPr>
      <w:r>
        <w:rPr>
          <w:rFonts w:ascii="Times New Roman" w:cs="Times New Roman" w:eastAsia="Times New Roman" w:hAnsi="Times New Roman"/>
          <w:sz w:val="20"/>
          <w:szCs w:val="20"/>
          <w:color w:val="auto"/>
        </w:rPr>
        <w:t>As of December 31, 2024, we had 155 full-time employees. 115 employees are engaged in research and development and 40 are engaged in business development, finance, legal, and general management and administration. None of our employees are represented by labor unions or covered by collective bargaining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Acquisition and Employee Development</w:t>
      </w:r>
    </w:p>
    <w:p>
      <w:pPr>
        <w:spacing w:after="0" w:line="240" w:lineRule="exact"/>
        <w:rPr>
          <w:sz w:val="20"/>
          <w:szCs w:val="20"/>
          <w:color w:val="auto"/>
        </w:rPr>
      </w:pPr>
    </w:p>
    <w:p>
      <w:pPr>
        <w:ind w:right="40" w:firstLine="562"/>
        <w:spacing w:after="0" w:line="243" w:lineRule="auto"/>
        <w:rPr>
          <w:sz w:val="20"/>
          <w:szCs w:val="20"/>
          <w:color w:val="auto"/>
        </w:rPr>
      </w:pPr>
      <w:r>
        <w:rPr>
          <w:rFonts w:ascii="Times New Roman" w:cs="Times New Roman" w:eastAsia="Times New Roman" w:hAnsi="Times New Roman"/>
          <w:sz w:val="20"/>
          <w:szCs w:val="20"/>
          <w:color w:val="auto"/>
        </w:rPr>
        <w:t>Our principal talent acquisition goal is to attract, retain, and develop the highest quality talent. As we build our organization beyond drug discovery and drug development, our goals have been extended to include establishing an employee base that will allow us to efficiently move our pipeline products through clinical trials, regulatory approvals and into the markets where we can help patients and their families and, simultaneously, to have employees that provide diverse backgrounds and ideas, are trained to operate and act at the highest standards of ethics and integrity, and are dedicated to achieve the highest level of innovation and to advance precision oncology treatments through the use of synthetic lethality. To support our talent acquisition, our human resources programs are designed to develop talent to prepare them for leadership positions in the future; reward employees through competitive benefits programs, including competitive pay, incentive compensation, and an equity program that aligns the incentives of our employees with the interests of our shareholders; enhance our culture through efforts aimed at making the workplace engaging and inclusive; and retain and develop talent that embody our core values.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w:t>
      </w:r>
    </w:p>
    <w:p>
      <w:pPr>
        <w:spacing w:after="0" w:line="240" w:lineRule="exact"/>
        <w:rPr>
          <w:sz w:val="20"/>
          <w:szCs w:val="20"/>
          <w:color w:val="auto"/>
        </w:rPr>
      </w:pPr>
    </w:p>
    <w:p>
      <w:pPr>
        <w:ind w:firstLine="562"/>
        <w:spacing w:after="0" w:line="245" w:lineRule="auto"/>
        <w:rPr>
          <w:sz w:val="20"/>
          <w:szCs w:val="20"/>
          <w:color w:val="auto"/>
        </w:rPr>
      </w:pPr>
      <w:r>
        <w:rPr>
          <w:rFonts w:ascii="Times New Roman" w:cs="Times New Roman" w:eastAsia="Times New Roman" w:hAnsi="Times New Roman"/>
          <w:sz w:val="20"/>
          <w:szCs w:val="20"/>
          <w:color w:val="auto"/>
        </w:rPr>
        <w:t>Our employees represent a broad set of backgrounds, perspectives and experiences. We attribute a significant aspect of our early growth and success to the diversity that our employees bring with them to their professional roles. We view our culture, which includes a commitment to diversity, equity and inclusion, as the foundation upon which we are building a leading synthetic lethality business that strives to make advances in oncology care, all with the objective of benefiting patients. We are focused on building a work environment in which employees can express themselves and have a voice in how we operate. To facilitate this, members of our management meet in small group sessions with all employees throughout the year in a program called Tango Connects. The feedback in these meetings informs our professional development programs, compensation structure, employee communication processes and content, organizational development and our culture.</w:t>
      </w:r>
    </w:p>
    <w:p>
      <w:pPr>
        <w:sectPr>
          <w:pgSz w:w="12960" w:h="16560" w:orient="portrait"/>
          <w:cols w:equalWidth="0" w:num="1">
            <w:col w:w="10160"/>
          </w:cols>
          <w:pgMar w:left="1360" w:top="1420" w:right="1440" w:bottom="535"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960" w:h="16560" w:orient="portrait"/>
          <w:cols w:equalWidth="0" w:num="1">
            <w:col w:w="10160"/>
          </w:cols>
          <w:pgMar w:left="1360" w:top="1420" w:right="1440" w:bottom="535" w:gutter="0" w:footer="0" w:header="0"/>
          <w:type w:val="continuous"/>
        </w:sectPr>
      </w:pPr>
    </w:p>
    <w:bookmarkStart w:id="37" w:name="page38"/>
    <w:bookmarkEnd w:id="37"/>
    <w:p>
      <w:pPr>
        <w:ind w:right="20" w:firstLine="562"/>
        <w:spacing w:after="0" w:line="244" w:lineRule="auto"/>
        <w:rPr>
          <w:sz w:val="20"/>
          <w:szCs w:val="20"/>
          <w:color w:val="auto"/>
        </w:rPr>
      </w:pPr>
      <w:r>
        <w:rPr>
          <w:rFonts w:ascii="Times New Roman" w:cs="Times New Roman" w:eastAsia="Times New Roman" w:hAnsi="Times New Roman"/>
          <w:sz w:val="20"/>
          <w:szCs w:val="20"/>
          <w:color w:val="auto"/>
        </w:rPr>
        <w:t>Our commitment to diversity, equity, inclusion, and belonging is an integral part of our corporate culture, embedded within our overall operational framework. We view diversity through a broad lens that encompasses cultural, ethnic, gender, sexual orientation, experiences, world views, and backgrounds, with the goal of fostering a truly inclusive environment. Our recruiting program also aims to ensure that our workforce reflects a wide range of experiences, backgrounds and perspectives. We regularly highlight our employees' diverse backgrounds, experiences, and traditions through in-office events, ensuring that inclusiveness is a daily practice. Our inclusive environment is further supported by multiple forums that encourage employees to share their opinions, including engagement surveys, Tango Connects, and Tips for Tango (an initiative that was instituted to allow employees to submit suggestions to improve any aspect of our work environment, work processes or culture). Utilizing insights from these activities, we are committed to fostering a workplace where inclusiveness and belonging are foundational.</w:t>
      </w:r>
    </w:p>
    <w:p>
      <w:pPr>
        <w:spacing w:after="0" w:line="206" w:lineRule="exact"/>
        <w:rPr>
          <w:sz w:val="20"/>
          <w:szCs w:val="20"/>
          <w:color w:val="auto"/>
        </w:rPr>
      </w:pPr>
    </w:p>
    <w:p>
      <w:pPr>
        <w:ind w:right="40" w:firstLine="562"/>
        <w:spacing w:after="0" w:line="252" w:lineRule="auto"/>
        <w:rPr>
          <w:sz w:val="20"/>
          <w:szCs w:val="20"/>
          <w:color w:val="auto"/>
        </w:rPr>
      </w:pPr>
      <w:r>
        <w:rPr>
          <w:rFonts w:ascii="Times New Roman" w:cs="Times New Roman" w:eastAsia="Times New Roman" w:hAnsi="Times New Roman"/>
          <w:sz w:val="20"/>
          <w:szCs w:val="20"/>
          <w:color w:val="auto"/>
        </w:rPr>
        <w:t>Further, the Nominating and Corporate Governance Committee charter sets forth specific guidelines that the Committee will use in evaluating future individuals for nomination to the Board of Directors. Among the identified factors the Committee is to consider in nominating a candidate is the diversity of a candidate. The Board recognizes that diversity plays an important role in its functioning and operations.</w:t>
      </w:r>
    </w:p>
    <w:p>
      <w:pPr>
        <w:spacing w:after="0" w:line="194" w:lineRule="exact"/>
        <w:rPr>
          <w:sz w:val="20"/>
          <w:szCs w:val="20"/>
          <w:color w:val="auto"/>
        </w:rPr>
      </w:pPr>
    </w:p>
    <w:p>
      <w:pPr>
        <w:ind w:right="540" w:firstLine="562"/>
        <w:spacing w:after="0" w:line="277" w:lineRule="auto"/>
        <w:rPr>
          <w:sz w:val="20"/>
          <w:szCs w:val="20"/>
          <w:color w:val="auto"/>
        </w:rPr>
      </w:pPr>
      <w:r>
        <w:rPr>
          <w:rFonts w:ascii="Times New Roman" w:cs="Times New Roman" w:eastAsia="Times New Roman" w:hAnsi="Times New Roman"/>
          <w:sz w:val="20"/>
          <w:szCs w:val="20"/>
          <w:color w:val="auto"/>
        </w:rPr>
        <w:t>These and similar programs are important to develop a sense of belonging for all employees and for our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Engagement:</w:t>
      </w:r>
    </w:p>
    <w:p>
      <w:pPr>
        <w:spacing w:after="0" w:line="240" w:lineRule="exact"/>
        <w:rPr>
          <w:sz w:val="20"/>
          <w:szCs w:val="20"/>
          <w:color w:val="auto"/>
        </w:rPr>
      </w:pPr>
    </w:p>
    <w:p>
      <w:pPr>
        <w:ind w:right="60" w:firstLine="562"/>
        <w:spacing w:after="0" w:line="246" w:lineRule="auto"/>
        <w:rPr>
          <w:sz w:val="20"/>
          <w:szCs w:val="20"/>
          <w:color w:val="auto"/>
        </w:rPr>
      </w:pPr>
      <w:r>
        <w:rPr>
          <w:rFonts w:ascii="Times New Roman" w:cs="Times New Roman" w:eastAsia="Times New Roman" w:hAnsi="Times New Roman"/>
          <w:sz w:val="20"/>
          <w:szCs w:val="20"/>
          <w:color w:val="auto"/>
        </w:rPr>
        <w:t>We survey our employees on an annual basis to assess the overall engagement of our workforce, and compare our engagement results against prior year results, as well as a set of benchmark companies in the biotech sector and of similar size (as measured by number of employees). We compare both our internal and comparative results to assess our employee engagement performance during the preceding year and to determine areas of focus going forward. We leverage an engagement task force that consists of employees from each of our functional business areas, with the oversight of a member of the management team, to obtain detailed feedback on the survey results and to generate and implement proposals to improve the employee experience.</w:t>
      </w:r>
    </w:p>
    <w:p>
      <w:pPr>
        <w:spacing w:after="0" w:line="200" w:lineRule="exact"/>
        <w:rPr>
          <w:sz w:val="20"/>
          <w:szCs w:val="20"/>
          <w:color w:val="auto"/>
        </w:rPr>
      </w:pPr>
    </w:p>
    <w:p>
      <w:pPr>
        <w:ind w:right="60" w:firstLine="562"/>
        <w:spacing w:after="0" w:line="242" w:lineRule="auto"/>
        <w:rPr>
          <w:sz w:val="20"/>
          <w:szCs w:val="20"/>
          <w:color w:val="auto"/>
        </w:rPr>
      </w:pPr>
      <w:r>
        <w:rPr>
          <w:rFonts w:ascii="Times New Roman" w:cs="Times New Roman" w:eastAsia="Times New Roman" w:hAnsi="Times New Roman"/>
          <w:sz w:val="20"/>
          <w:szCs w:val="20"/>
          <w:color w:val="auto"/>
        </w:rPr>
        <w:t>We implemented a number of initiatives in response to employee feedback in the 2023 engagement survey, including establishing processes for: (i) cultivating a community of respect among associates through company-wide interpersonal communication training and team effectiveness workshops, as well as a revised employee handbook that incorporates respectful interaction and employee dispute escalation and resolution processes into our policies; (ii) taking meaningful action by creating a database that tracks the themes of each year's survey, corporate actions taken and the outcomes of those actions; and (iii) establishing processes to provide associates with meaningful recognition and feedback on performance and contributions by creating new research forums to allow more associates to present the work to a broader corporate audience and utilizing "skip-level" and meetings with corporate leadership in order to allow associates to get feedback and recognition from higher level managers and input on what managers look for in successful associates. In our most recent survey, conducted in 2024, we continued to generate results that were generally higher than our benchmark dataset, which supports our view that we have positive employee engagement. We identified areas where we are performing well, such as our efforts around managers genuinely caring about associate well-being, associates knowing that their work contributes to Company goals and that the Company is committed to social responsibility, including community support and sustainability. As is the case with every survey, we also used the data to identify areas where we want to focus our efforts for improvement, including letting associates know that their feedback is encouraged and will not be viewed negatively. As we did in 2023, we will take these 2024 results, and a new engagement task force has been formed to enable actions that will further improve our engagement.</w:t>
      </w:r>
    </w:p>
    <w:p>
      <w:pPr>
        <w:spacing w:after="0" w:line="207"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20"/>
          <w:szCs w:val="20"/>
          <w:color w:val="auto"/>
        </w:rPr>
        <w:t>We also conduct regular townhall meetings with our employees that are intended to keep our employees updated on important corporate initiatives and to obtain input from employees on these initiatives. We also use periodic employee surveys so we can quickly obtain employee feedback on new programs or policies that are under consideration.</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960" w:h="16560" w:orient="portrait"/>
          <w:cols w:equalWidth="0" w:num="1">
            <w:col w:w="10160"/>
          </w:cols>
          <w:pgMar w:left="1360" w:top="1420" w:right="1440" w:bottom="535"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6" w:lineRule="exact"/>
        <w:rPr>
          <w:sz w:val="20"/>
          <w:szCs w:val="20"/>
          <w:color w:val="auto"/>
        </w:rPr>
      </w:pPr>
    </w:p>
    <w:p>
      <w:pPr>
        <w:ind w:right="20" w:firstLine="555"/>
        <w:spacing w:after="0" w:line="242" w:lineRule="auto"/>
        <w:rPr>
          <w:sz w:val="20"/>
          <w:szCs w:val="20"/>
          <w:color w:val="auto"/>
        </w:rPr>
      </w:pPr>
      <w:r>
        <w:rPr>
          <w:rFonts w:ascii="Times New Roman" w:cs="Times New Roman" w:eastAsia="Times New Roman" w:hAnsi="Times New Roman"/>
          <w:sz w:val="20"/>
          <w:szCs w:val="20"/>
          <w:i w:val="1"/>
          <w:iCs w:val="1"/>
          <w:color w:val="auto"/>
        </w:rPr>
        <w:t>Investing in our securities involves a high degree of risk. You should carefully consider the risks and uncertainties described below, together with all other information in this Annual Report on Form 10-K,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material and other risks and uncertainties summarized above (See "Summary of Material Risks Associated with Our Business") and described below are not intended to be exhaustive and are not the only ones we face. Additional risks and uncertainties not 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Limited Operating History, Financial Position, and Capital Requirements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a precision oncology company with a limited operating history.</w:t>
      </w:r>
    </w:p>
    <w:p>
      <w:pPr>
        <w:spacing w:after="0" w:line="120" w:lineRule="exact"/>
        <w:rPr>
          <w:sz w:val="20"/>
          <w:szCs w:val="20"/>
          <w:color w:val="auto"/>
        </w:rPr>
      </w:pPr>
    </w:p>
    <w:p>
      <w:pPr>
        <w:ind w:right="20" w:firstLine="555"/>
        <w:spacing w:after="0" w:line="256" w:lineRule="auto"/>
        <w:rPr>
          <w:sz w:val="20"/>
          <w:szCs w:val="20"/>
          <w:color w:val="auto"/>
        </w:rPr>
      </w:pPr>
      <w:r>
        <w:rPr>
          <w:rFonts w:ascii="Times New Roman" w:cs="Times New Roman" w:eastAsia="Times New Roman" w:hAnsi="Times New Roman"/>
          <w:sz w:val="19"/>
          <w:szCs w:val="19"/>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(including conducting clinical trials), and providing general and administrative support for these operations. We have no products approved for commercial sale and therefore have never generated any revenue from product sales, and we do not expect to in the foreseeable future. The revenue that we have generated from our collaboration agreement is also not sufficient to fund our operations. We have not obtained regulatory approvals to market and sell any of our product candidates, and there is no assurance that we will obtain approvals in the future. The FDA has cleared five of our IND applications (TNG908, TNG462, TNG260, TNG348 and TNG456); however, we have since discontinued development of TNG908 and TNG348. Our other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accumulated deficit, stockholders’ equity and working capital. If we were to expend our cash resources more quickly than we anticipate as we advance into and through the regulatory approval process for our product candidates, our cash runway may be shorter than the target we may disclose from time to time.</w:t>
      </w:r>
    </w:p>
    <w:p>
      <w:pPr>
        <w:spacing w:after="0" w:line="194"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since our inception and anticipate that we will continue to incur losses for the foreseeable future.</w:t>
      </w:r>
    </w:p>
    <w:p>
      <w:pPr>
        <w:spacing w:after="0" w:line="49" w:lineRule="exact"/>
        <w:rPr>
          <w:sz w:val="20"/>
          <w:szCs w:val="20"/>
          <w:color w:val="auto"/>
        </w:rPr>
      </w:pPr>
    </w:p>
    <w:p>
      <w:pPr>
        <w:ind w:right="60" w:firstLine="555"/>
        <w:spacing w:after="0" w:line="244" w:lineRule="auto"/>
        <w:rPr>
          <w:sz w:val="20"/>
          <w:szCs w:val="20"/>
          <w:color w:val="auto"/>
        </w:rPr>
      </w:pPr>
      <w:r>
        <w:rPr>
          <w:rFonts w:ascii="Times New Roman" w:cs="Times New Roman" w:eastAsia="Times New Roman" w:hAnsi="Times New Roman"/>
          <w:sz w:val="20"/>
          <w:szCs w:val="20"/>
          <w:color w:val="auto"/>
        </w:rPr>
        <w:t>We have incurred significant net losses since our inception. As of December 31, 2024, we had an accumulated deficit of $501.6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expect our operating results to fluctuate significantly in the future as our business advances</w:t>
      </w:r>
    </w:p>
    <w:p>
      <w:pPr>
        <w:spacing w:after="0" w:line="120" w:lineRule="exact"/>
        <w:rPr>
          <w:sz w:val="20"/>
          <w:szCs w:val="20"/>
          <w:color w:val="auto"/>
        </w:rPr>
      </w:pPr>
    </w:p>
    <w:p>
      <w:pPr>
        <w:ind w:right="20" w:firstLine="555"/>
        <w:spacing w:after="0" w:line="252" w:lineRule="auto"/>
        <w:rPr>
          <w:sz w:val="20"/>
          <w:szCs w:val="20"/>
          <w:color w:val="auto"/>
        </w:rPr>
      </w:pPr>
      <w:r>
        <w:rPr>
          <w:rFonts w:ascii="Times New Roman" w:cs="Times New Roman" w:eastAsia="Times New Roman" w:hAnsi="Times New Roman"/>
          <w:sz w:val="20"/>
          <w:szCs w:val="20"/>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88" w:lineRule="exact"/>
        <w:rPr>
          <w:sz w:val="20"/>
          <w:szCs w:val="20"/>
          <w:color w:val="auto"/>
        </w:rPr>
      </w:pPr>
    </w:p>
    <w:p>
      <w:pPr>
        <w:ind w:right="160" w:firstLine="8"/>
        <w:spacing w:after="0" w:line="258" w:lineRule="auto"/>
        <w:tabs>
          <w:tab w:leader="none" w:pos="192"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success or failure of ongoing and future clinical trials for our product candidates or competing product candidates, or any other change in the competitive landscape of our industry, including consolidation among our competitors or partners (such as the acquisition of Mirati by Bristol Myers Squibb in January 2024);</w:t>
      </w:r>
    </w:p>
    <w:p>
      <w:pPr>
        <w:sectPr>
          <w:pgSz w:w="12960" w:h="16560" w:orient="portrait"/>
          <w:cols w:equalWidth="0" w:num="1">
            <w:col w:w="10160"/>
          </w:cols>
          <w:pgMar w:left="1360" w:top="1416" w:right="1440" w:bottom="535"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960" w:h="16560" w:orient="portrait"/>
          <w:cols w:equalWidth="0" w:num="1">
            <w:col w:w="10160"/>
          </w:cols>
          <w:pgMar w:left="1360" w:top="1416" w:right="1440" w:bottom="535" w:gutter="0" w:footer="0" w:header="0"/>
          <w:type w:val="continuous"/>
        </w:sectPr>
      </w:pPr>
    </w:p>
    <w:bookmarkStart w:id="39" w:name="page40"/>
    <w:bookmarkEnd w:id="39"/>
    <w:p>
      <w:pPr>
        <w:ind w:right="60" w:firstLine="8"/>
        <w:spacing w:after="0" w:line="258" w:lineRule="auto"/>
        <w:tabs>
          <w:tab w:leader="none" w:pos="192"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INDs for our pipeline product candidates, successfully open clinical trial sites and recruit and retain subjects for clinical trials (including combination trials), and any delays caused by difficulties in connection with such efforts;</w:t>
      </w:r>
    </w:p>
    <w:p>
      <w:pPr>
        <w:spacing w:after="0" w:line="1" w:lineRule="exact"/>
        <w:rPr>
          <w:rFonts w:ascii="Arial" w:cs="Arial" w:eastAsia="Arial" w:hAnsi="Arial"/>
          <w:sz w:val="20"/>
          <w:szCs w:val="20"/>
          <w:color w:val="auto"/>
        </w:rPr>
      </w:pPr>
    </w:p>
    <w:p>
      <w:pPr>
        <w:ind w:right="220" w:firstLine="8"/>
        <w:spacing w:after="0" w:line="247" w:lineRule="auto"/>
        <w:tabs>
          <w:tab w:leader="none" w:pos="192"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regulatory approval for the marketing and sale of our product candidates, and the timing and scope of any such approvals we may receive;</w:t>
      </w:r>
    </w:p>
    <w:p>
      <w:pPr>
        <w:ind w:firstLine="8"/>
        <w:spacing w:after="0" w:line="247" w:lineRule="auto"/>
        <w:tabs>
          <w:tab w:leader="none" w:pos="192"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and level of investment in, research and development activities relating to our product candidates and any future product candidates and research-stage programs, any of which may change from time to time;</w:t>
      </w:r>
    </w:p>
    <w:p>
      <w:pPr>
        <w:ind w:right="220" w:firstLine="8"/>
        <w:spacing w:after="0" w:line="244" w:lineRule="auto"/>
        <w:tabs>
          <w:tab w:leader="none" w:pos="192"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line="2" w:lineRule="exact"/>
        <w:rPr>
          <w:rFonts w:ascii="Arial" w:cs="Arial" w:eastAsia="Arial" w:hAnsi="Arial"/>
          <w:sz w:val="20"/>
          <w:szCs w:val="20"/>
          <w:color w:val="auto"/>
        </w:rPr>
      </w:pPr>
    </w:p>
    <w:p>
      <w:pPr>
        <w:ind w:left="200" w:hanging="192"/>
        <w:spacing w:after="0"/>
        <w:tabs>
          <w:tab w:leader="none" w:pos="2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will or may incur to identify, research and develop additional product candidates;</w:t>
      </w:r>
    </w:p>
    <w:p>
      <w:pPr>
        <w:spacing w:after="0" w:line="13" w:lineRule="exact"/>
        <w:rPr>
          <w:rFonts w:ascii="Arial" w:cs="Arial" w:eastAsia="Arial" w:hAnsi="Arial"/>
          <w:sz w:val="20"/>
          <w:szCs w:val="20"/>
          <w:color w:val="auto"/>
        </w:rPr>
      </w:pPr>
    </w:p>
    <w:p>
      <w:pPr>
        <w:ind w:right="420" w:firstLine="8"/>
        <w:spacing w:after="0" w:line="247" w:lineRule="auto"/>
        <w:tabs>
          <w:tab w:leader="none" w:pos="192"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our product candidates (should they receive regulatory approval), which may vary significantly from our expectations;</w:t>
      </w:r>
    </w:p>
    <w:p>
      <w:pPr>
        <w:spacing w:after="0" w:line="1" w:lineRule="exact"/>
        <w:rPr>
          <w:rFonts w:ascii="Arial" w:cs="Arial" w:eastAsia="Arial" w:hAnsi="Arial"/>
          <w:sz w:val="20"/>
          <w:szCs w:val="20"/>
          <w:color w:val="auto"/>
        </w:rPr>
      </w:pPr>
    </w:p>
    <w:p>
      <w:pPr>
        <w:ind w:right="300" w:firstLine="8"/>
        <w:spacing w:after="0" w:line="247" w:lineRule="auto"/>
        <w:tabs>
          <w:tab w:leader="none" w:pos="192"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risk/benefit profile, cost and reimbursement policies with respect to our product candidates, if approved, and existing and potential future therapeutics that compete with our product candidates;</w:t>
      </w:r>
    </w:p>
    <w:p>
      <w:pPr>
        <w:ind w:right="80" w:firstLine="8"/>
        <w:spacing w:after="0" w:line="247" w:lineRule="auto"/>
        <w:tabs>
          <w:tab w:leader="none" w:pos="192"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changing and volatile U.S. and global economic environments, including as a result of the efforts to reduce spending on healthcare generally and pharmaceuticals in particular; and</w:t>
      </w:r>
    </w:p>
    <w:p>
      <w:pPr>
        <w:ind w:left="200" w:hanging="192"/>
        <w:spacing w:after="0"/>
        <w:tabs>
          <w:tab w:leader="none" w:pos="2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98" w:lineRule="exact"/>
        <w:rPr>
          <w:sz w:val="20"/>
          <w:szCs w:val="20"/>
          <w:color w:val="auto"/>
        </w:rPr>
      </w:pPr>
    </w:p>
    <w:p>
      <w:pPr>
        <w:ind w:right="140" w:firstLine="555"/>
        <w:spacing w:after="0" w:line="247" w:lineRule="auto"/>
        <w:rPr>
          <w:sz w:val="20"/>
          <w:szCs w:val="20"/>
          <w:color w:val="auto"/>
        </w:rPr>
      </w:pPr>
      <w:r>
        <w:rPr>
          <w:rFonts w:ascii="Times New Roman" w:cs="Times New Roman" w:eastAsia="Times New Roman" w:hAnsi="Times New Roman"/>
          <w:sz w:val="20"/>
          <w:szCs w:val="20"/>
          <w:color w:val="auto"/>
        </w:rPr>
        <w:t>As a result, comparing our operating results on a period-to-period basis may not be meaningful. This variability and unpredictability could also result in our failing to meet the expectations of industry or financial analysts or investors for any period. If our clinical data, revenue or operating results fail to meet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financial or operational guidance we may provide.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no products approved for commercial sale and have not generated any revenue from product sales.</w:t>
      </w:r>
    </w:p>
    <w:p>
      <w:pPr>
        <w:spacing w:after="0" w:line="120" w:lineRule="exact"/>
        <w:rPr>
          <w:sz w:val="20"/>
          <w:szCs w:val="20"/>
          <w:color w:val="auto"/>
        </w:rPr>
      </w:pPr>
    </w:p>
    <w:p>
      <w:pPr>
        <w:jc w:val="both"/>
        <w:ind w:right="340" w:firstLine="555"/>
        <w:spacing w:after="0" w:line="258" w:lineRule="auto"/>
        <w:rPr>
          <w:sz w:val="20"/>
          <w:szCs w:val="20"/>
          <w:color w:val="auto"/>
        </w:rPr>
      </w:pPr>
      <w:r>
        <w:rPr>
          <w:rFonts w:ascii="Times New Roman" w:cs="Times New Roman" w:eastAsia="Times New Roman" w:hAnsi="Times New Roman"/>
          <w:sz w:val="20"/>
          <w:szCs w:val="20"/>
          <w:color w:val="auto"/>
        </w:rPr>
        <w:t>Our ability to become profitable depends upon our ability to generate revenue. To date, we have not generated any revenue from product sales, and we do not expect to generate any revenue from the sale of products in the near future. Our ability to generate revenue depends on a number of factors, including, but not limited to, our ability to:</w:t>
      </w:r>
    </w:p>
    <w:p>
      <w:pPr>
        <w:spacing w:after="0" w:line="83"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complete our planned preclinical studies for our novel precision oncology research and development programs;</w:t>
      </w:r>
    </w:p>
    <w:p>
      <w:pPr>
        <w:spacing w:after="0" w:line="35" w:lineRule="exact"/>
        <w:rPr>
          <w:rFonts w:ascii="Arial" w:cs="Arial" w:eastAsia="Arial" w:hAnsi="Arial"/>
          <w:sz w:val="20"/>
          <w:szCs w:val="20"/>
          <w:color w:val="auto"/>
        </w:rPr>
      </w:pPr>
    </w:p>
    <w:p>
      <w:pPr>
        <w:ind w:right="240" w:firstLine="8"/>
        <w:spacing w:after="0" w:line="247" w:lineRule="auto"/>
        <w:tabs>
          <w:tab w:leader="none" w:pos="192"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timely file INDs for our programs, and obtain clearance of these INDs to allow for commencement of such future clinical trials;</w:t>
      </w:r>
    </w:p>
    <w:p>
      <w:pPr>
        <w:spacing w:after="0" w:line="1" w:lineRule="exact"/>
        <w:rPr>
          <w:rFonts w:ascii="Arial" w:cs="Arial" w:eastAsia="Arial" w:hAnsi="Arial"/>
          <w:sz w:val="20"/>
          <w:szCs w:val="20"/>
          <w:color w:val="auto"/>
        </w:rPr>
      </w:pPr>
    </w:p>
    <w:p>
      <w:pPr>
        <w:ind w:right="80" w:firstLine="8"/>
        <w:spacing w:after="0" w:line="247" w:lineRule="auto"/>
        <w:tabs>
          <w:tab w:leader="none" w:pos="192"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timely complete patient enrollment and patient dosing in our current and future clinical trials (including our current trials of TNG462 and TNG260 and planned clinical trials, including combination clinical trials, with TNG462 and TNG456);</w:t>
      </w:r>
    </w:p>
    <w:p>
      <w:pPr>
        <w:ind w:right="600" w:firstLine="8"/>
        <w:spacing w:after="0" w:line="247" w:lineRule="auto"/>
        <w:tabs>
          <w:tab w:leader="none" w:pos="192"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complete our ongoing clinical trials and any future clinical trials we may initiate (including combination clinical trials);</w:t>
      </w:r>
    </w:p>
    <w:p>
      <w:pPr>
        <w:ind w:right="360" w:firstLine="8"/>
        <w:spacing w:after="0" w:line="247" w:lineRule="auto"/>
        <w:tabs>
          <w:tab w:leader="none" w:pos="192"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enroll the patients with specific cancers that are the focus of our clinical trials, such as patients with limited prior treatment lines in pancreatic and lung cancer for our ongoing monotherapy trial for TNG462;</w:t>
      </w:r>
    </w:p>
    <w:p>
      <w:pPr>
        <w:ind w:right="100" w:firstLine="8"/>
        <w:spacing w:after="0" w:line="247" w:lineRule="auto"/>
        <w:tabs>
          <w:tab w:leader="none" w:pos="192"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initiate and successfully complete all safety and efficacy studies required to obtain U.S. and foreign regulatory approval for the sale of our product candidates and obtain approval of our products by regulatory authorities;</w:t>
      </w:r>
    </w:p>
    <w:p>
      <w:pPr>
        <w:ind w:left="200" w:hanging="192"/>
        <w:spacing w:after="0"/>
        <w:tabs>
          <w:tab w:leader="none" w:pos="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make and maintain arrangements with third-party manufacturers for clinical supply and commercial manufacturing;</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patent and/or trade secret protection or regulatory exclusivity for our product candidates;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launch commercial sales of our products, if and when approved, whether alone or in collaboration with others;</w:t>
      </w:r>
    </w:p>
    <w:p>
      <w:pPr>
        <w:spacing w:after="0" w:line="14" w:lineRule="exact"/>
        <w:rPr>
          <w:rFonts w:ascii="Arial" w:cs="Arial" w:eastAsia="Arial" w:hAnsi="Arial"/>
          <w:sz w:val="20"/>
          <w:szCs w:val="20"/>
          <w:color w:val="auto"/>
        </w:rPr>
      </w:pPr>
    </w:p>
    <w:p>
      <w:pPr>
        <w:ind w:right="220" w:firstLine="8"/>
        <w:spacing w:after="0" w:line="247" w:lineRule="auto"/>
        <w:tabs>
          <w:tab w:leader="none" w:pos="192"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acceptance of our products, if and when approved for marketing, by patients, the medical community and third-party payors;</w:t>
      </w:r>
    </w:p>
    <w:p>
      <w:pPr>
        <w:spacing w:after="0" w:line="1" w:lineRule="exact"/>
        <w:rPr>
          <w:rFonts w:ascii="Arial" w:cs="Arial" w:eastAsia="Arial" w:hAnsi="Arial"/>
          <w:sz w:val="20"/>
          <w:szCs w:val="20"/>
          <w:color w:val="auto"/>
        </w:rPr>
      </w:pPr>
    </w:p>
    <w:p>
      <w:pPr>
        <w:ind w:left="200" w:hanging="192"/>
        <w:spacing w:after="0"/>
        <w:tabs>
          <w:tab w:leader="none" w:pos="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position our products to effectively compete with other therapies;</w:t>
      </w:r>
    </w:p>
    <w:p>
      <w:pPr>
        <w:spacing w:after="0" w:line="13" w:lineRule="exact"/>
        <w:rPr>
          <w:rFonts w:ascii="Arial" w:cs="Arial" w:eastAsia="Arial" w:hAnsi="Arial"/>
          <w:sz w:val="20"/>
          <w:szCs w:val="20"/>
          <w:color w:val="auto"/>
        </w:rPr>
      </w:pPr>
    </w:p>
    <w:p>
      <w:pPr>
        <w:ind w:right="80" w:firstLine="8"/>
        <w:spacing w:after="0" w:line="247" w:lineRule="auto"/>
        <w:tabs>
          <w:tab w:leader="none" w:pos="192"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healthcare coverage and adequate reimbursement for our products, if and when approved by regulatory authorities;</w:t>
      </w:r>
    </w:p>
    <w:p>
      <w:pPr>
        <w:spacing w:after="0" w:line="1" w:lineRule="exact"/>
        <w:rPr>
          <w:rFonts w:ascii="Arial" w:cs="Arial" w:eastAsia="Arial" w:hAnsi="Arial"/>
          <w:sz w:val="20"/>
          <w:szCs w:val="20"/>
          <w:color w:val="auto"/>
        </w:rPr>
      </w:pPr>
    </w:p>
    <w:p>
      <w:pPr>
        <w:ind w:left="200" w:hanging="192"/>
        <w:spacing w:after="0"/>
        <w:tabs>
          <w:tab w:leader="none" w:pos="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enforce and defend intellectual property rights and claims; and</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maintain a continued acceptable safety profile of our products following approval.</w:t>
      </w:r>
    </w:p>
    <w:p>
      <w:pPr>
        <w:spacing w:after="0" w:line="21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8" w:lineRule="exact"/>
        <w:rPr>
          <w:sz w:val="20"/>
          <w:szCs w:val="20"/>
          <w:color w:val="auto"/>
        </w:rPr>
      </w:pPr>
    </w:p>
    <w:p>
      <w:pPr>
        <w:ind w:right="40" w:firstLine="555"/>
        <w:spacing w:after="0" w:line="277" w:lineRule="auto"/>
        <w:rPr>
          <w:sz w:val="20"/>
          <w:szCs w:val="20"/>
          <w:color w:val="auto"/>
        </w:rPr>
      </w:pPr>
      <w:r>
        <w:rPr>
          <w:rFonts w:ascii="Times New Roman" w:cs="Times New Roman" w:eastAsia="Times New Roman" w:hAnsi="Times New Roman"/>
          <w:sz w:val="20"/>
          <w:szCs w:val="20"/>
          <w:color w:val="auto"/>
        </w:rPr>
        <w:t>The development of pharmaceutical products is capital-intensive. We are currently advancing our precision oncology programs through clinical and preclinical development. We are actively enrolling patients in two Phase 1/2 clinical trials, each</w:t>
      </w:r>
    </w:p>
    <w:p>
      <w:pPr>
        <w:sectPr>
          <w:pgSz w:w="12960" w:h="16560" w:orient="portrait"/>
          <w:cols w:equalWidth="0" w:num="1">
            <w:col w:w="10160"/>
          </w:cols>
          <w:pgMar w:left="1360" w:top="1434" w:right="1440" w:bottom="535"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960" w:h="16560" w:orient="portrait"/>
          <w:cols w:equalWidth="0" w:num="1">
            <w:col w:w="10160"/>
          </w:cols>
          <w:pgMar w:left="1360" w:top="1434" w:right="1440" w:bottom="535" w:gutter="0" w:footer="0" w:header="0"/>
          <w:type w:val="continuous"/>
        </w:sectPr>
      </w:pPr>
    </w:p>
    <w:bookmarkStart w:id="40" w:name="page41"/>
    <w:bookmarkEnd w:id="40"/>
    <w:p>
      <w:pPr>
        <w:ind w:right="20"/>
        <w:spacing w:after="0" w:line="245" w:lineRule="auto"/>
        <w:rPr>
          <w:sz w:val="20"/>
          <w:szCs w:val="20"/>
          <w:color w:val="auto"/>
        </w:rPr>
      </w:pPr>
      <w:r>
        <w:rPr>
          <w:rFonts w:ascii="Times New Roman" w:cs="Times New Roman" w:eastAsia="Times New Roman" w:hAnsi="Times New Roman"/>
          <w:sz w:val="20"/>
          <w:szCs w:val="20"/>
          <w:color w:val="auto"/>
        </w:rPr>
        <w:t>of which is evaluating safety and efficacy in multiple indications (and we expect to begin enrollment in the TNG456 Phase 1/2 clinical trial in the first half of 2025). We expect our expenses to significantly increase as we continue to advance and complete clinical trials (including multiple combination clinical trials), and seek regulatory approval for, our product candidates, including in combination with other therapeutics. Further, we continue our research efforts to identify and advance additional precision oncology compounds that may benefit patients. Even though we completed an $80 million private placement in August 2023 and received $41.7 million in net proceeds from our "at-the-market" stock offering program in January 2024, we will still be required to raise substantial additional funding in the future in order to continue to fund our operations and advance our clinical trial programs.</w:t>
      </w:r>
    </w:p>
    <w:p>
      <w:pPr>
        <w:spacing w:after="0" w:line="202" w:lineRule="exact"/>
        <w:rPr>
          <w:sz w:val="20"/>
          <w:szCs w:val="20"/>
          <w:color w:val="auto"/>
        </w:rPr>
      </w:pPr>
    </w:p>
    <w:p>
      <w:pPr>
        <w:ind w:right="80" w:firstLine="555"/>
        <w:spacing w:after="0" w:line="245" w:lineRule="auto"/>
        <w:rPr>
          <w:sz w:val="20"/>
          <w:szCs w:val="20"/>
          <w:color w:val="auto"/>
        </w:rPr>
      </w:pPr>
      <w:r>
        <w:rPr>
          <w:rFonts w:ascii="Times New Roman" w:cs="Times New Roman" w:eastAsia="Times New Roman" w:hAnsi="Times New Roman"/>
          <w:sz w:val="20"/>
          <w:szCs w:val="20"/>
          <w:color w:val="auto"/>
        </w:rPr>
        <w:t>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202" w:lineRule="exact"/>
        <w:rPr>
          <w:sz w:val="20"/>
          <w:szCs w:val="20"/>
          <w:color w:val="auto"/>
        </w:rPr>
      </w:pPr>
    </w:p>
    <w:p>
      <w:pPr>
        <w:ind w:right="20" w:firstLine="562"/>
        <w:spacing w:after="0" w:line="252" w:lineRule="auto"/>
        <w:rPr>
          <w:sz w:val="20"/>
          <w:szCs w:val="20"/>
          <w:color w:val="auto"/>
        </w:rPr>
      </w:pPr>
      <w:r>
        <w:rPr>
          <w:rFonts w:ascii="Times New Roman" w:cs="Times New Roman" w:eastAsia="Times New Roman" w:hAnsi="Times New Roman"/>
          <w:sz w:val="20"/>
          <w:szCs w:val="20"/>
          <w:color w:val="auto"/>
        </w:rPr>
        <w:t>We believe that our existing cash, cash equivalents and marketable securities on hand as of December 31, 2024 will enable us to fund our operating expenses and capital expenditure requirements at least into the third quarter of 2026. However, our future capital requirements will depend on and could increase significantly as a result of many factors (which may result in exhausting such cash resources prior to the third quarter of 2026), including:</w:t>
      </w:r>
    </w:p>
    <w:p>
      <w:pPr>
        <w:spacing w:after="0" w:line="208" w:lineRule="exact"/>
        <w:rPr>
          <w:sz w:val="20"/>
          <w:szCs w:val="20"/>
          <w:color w:val="auto"/>
        </w:rPr>
      </w:pPr>
    </w:p>
    <w:p>
      <w:pPr>
        <w:ind w:right="240" w:firstLine="8"/>
        <w:spacing w:after="0" w:line="258" w:lineRule="auto"/>
        <w:tabs>
          <w:tab w:leader="none" w:pos="192"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progress, results and costs of product discovery, preclinical and clinical development, and clinical trials for our product candidates, including recruiting patients for and conducting multiple planned clinical trials;</w:t>
      </w:r>
    </w:p>
    <w:p>
      <w:pPr>
        <w:spacing w:after="0" w:line="1" w:lineRule="exact"/>
        <w:rPr>
          <w:rFonts w:ascii="Arial" w:cs="Arial" w:eastAsia="Arial" w:hAnsi="Arial"/>
          <w:sz w:val="20"/>
          <w:szCs w:val="20"/>
          <w:color w:val="auto"/>
        </w:rPr>
      </w:pPr>
    </w:p>
    <w:p>
      <w:pPr>
        <w:ind w:right="340" w:firstLine="8"/>
        <w:spacing w:after="0" w:line="247" w:lineRule="auto"/>
        <w:tabs>
          <w:tab w:leader="none" w:pos="192"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additional expenses attributable to adjusting our development plans if needed (including any supply related matters or changes to clinical trial protocols);</w:t>
      </w:r>
    </w:p>
    <w:p>
      <w:pPr>
        <w:ind w:left="200" w:hanging="192"/>
        <w:spacing w:after="0"/>
        <w:tabs>
          <w:tab w:leader="none" w:pos="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prioritization and number of our research and development programs;</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timing and outcome of regulatory review of our product candidates;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additional collaborations on favorable terms, if at all;</w:t>
      </w:r>
    </w:p>
    <w:p>
      <w:pPr>
        <w:spacing w:after="0" w:line="14" w:lineRule="exact"/>
        <w:rPr>
          <w:rFonts w:ascii="Arial" w:cs="Arial" w:eastAsia="Arial" w:hAnsi="Arial"/>
          <w:sz w:val="20"/>
          <w:szCs w:val="20"/>
          <w:color w:val="auto"/>
        </w:rPr>
      </w:pPr>
    </w:p>
    <w:p>
      <w:pPr>
        <w:ind w:right="200" w:firstLine="8"/>
        <w:spacing w:after="0" w:line="247" w:lineRule="auto"/>
        <w:tabs>
          <w:tab w:leader="none" w:pos="192"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achievement of milestones or occurrence of other developments that trigger payments under our existing collaboration agreements or any additional collaboration agreements we may establish;</w:t>
      </w:r>
    </w:p>
    <w:p>
      <w:pPr>
        <w:spacing w:after="0" w:line="1" w:lineRule="exact"/>
        <w:rPr>
          <w:rFonts w:ascii="Arial" w:cs="Arial" w:eastAsia="Arial" w:hAnsi="Arial"/>
          <w:sz w:val="20"/>
          <w:szCs w:val="20"/>
          <w:color w:val="auto"/>
        </w:rPr>
      </w:pPr>
    </w:p>
    <w:p>
      <w:pPr>
        <w:ind w:right="120" w:firstLine="8"/>
        <w:spacing w:after="0" w:line="247" w:lineRule="auto"/>
        <w:tabs>
          <w:tab w:leader="none" w:pos="192"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rights and defending intellectual property-related claims;</w:t>
      </w:r>
    </w:p>
    <w:p>
      <w:pPr>
        <w:ind w:left="200" w:hanging="192"/>
        <w:spacing w:after="0"/>
        <w:tabs>
          <w:tab w:leader="none" w:pos="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the release of initial, interim, or final clinical trial data for our current or future clinical trials;</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or in-license other product candidates and technologies and make payments thereunder</w:t>
      </w:r>
      <w:r>
        <w:rPr>
          <w:rFonts w:ascii="Times New Roman" w:cs="Times New Roman" w:eastAsia="Times New Roman" w:hAnsi="Times New Roman"/>
          <w:sz w:val="20"/>
          <w:szCs w:val="20"/>
          <w:color w:val="auto"/>
          <w:strike w:val="1"/>
        </w:rPr>
        <w:t>;</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securing manufacturing arrangements for clinical and commercial production;</w:t>
      </w:r>
    </w:p>
    <w:p>
      <w:pPr>
        <w:spacing w:after="0" w:line="14" w:lineRule="exact"/>
        <w:rPr>
          <w:rFonts w:ascii="Arial" w:cs="Arial" w:eastAsia="Arial" w:hAnsi="Arial"/>
          <w:sz w:val="20"/>
          <w:szCs w:val="20"/>
          <w:color w:val="auto"/>
        </w:rPr>
      </w:pPr>
    </w:p>
    <w:p>
      <w:pPr>
        <w:ind w:right="120" w:firstLine="8"/>
        <w:spacing w:after="0" w:line="247" w:lineRule="auto"/>
        <w:tabs>
          <w:tab w:leader="none" w:pos="192"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acquiring therapies to be used in combination clinical trials (such as pembrolizumab, an anti-PD-1 antibody that is used in combination with TNG260);</w:t>
      </w:r>
    </w:p>
    <w:p>
      <w:pPr>
        <w:spacing w:after="0" w:line="1" w:lineRule="exact"/>
        <w:rPr>
          <w:rFonts w:ascii="Arial" w:cs="Arial" w:eastAsia="Arial" w:hAnsi="Arial"/>
          <w:sz w:val="20"/>
          <w:szCs w:val="20"/>
          <w:color w:val="auto"/>
        </w:rPr>
      </w:pPr>
    </w:p>
    <w:p>
      <w:pPr>
        <w:ind w:right="180" w:firstLine="8"/>
        <w:spacing w:after="0" w:line="247" w:lineRule="auto"/>
        <w:tabs>
          <w:tab w:leader="none" w:pos="192"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hire and retain skilled scientific and operational personnel to meet our development, clinical and commercial objectives;</w:t>
      </w:r>
    </w:p>
    <w:p>
      <w:pPr>
        <w:ind w:left="200" w:hanging="192"/>
        <w:spacing w:after="0"/>
        <w:tabs>
          <w:tab w:leader="none" w:pos="2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costs related to the development of any companion diagnostics we may use in the future; and</w:t>
      </w:r>
    </w:p>
    <w:p>
      <w:pPr>
        <w:spacing w:after="0" w:line="13" w:lineRule="exact"/>
        <w:rPr>
          <w:rFonts w:ascii="Arial" w:cs="Arial" w:eastAsia="Arial" w:hAnsi="Arial"/>
          <w:sz w:val="20"/>
          <w:szCs w:val="20"/>
          <w:color w:val="auto"/>
        </w:rPr>
      </w:pPr>
    </w:p>
    <w:p>
      <w:pPr>
        <w:ind w:right="160" w:firstLine="8"/>
        <w:spacing w:after="0" w:line="255" w:lineRule="auto"/>
        <w:tabs>
          <w:tab w:leader="none" w:pos="192"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establishing or contracting for sales and marketing capabilities if we obtain regulatory approvals to market our product candidates.</w:t>
      </w:r>
    </w:p>
    <w:p>
      <w:pPr>
        <w:spacing w:after="0" w:line="190" w:lineRule="exact"/>
        <w:rPr>
          <w:sz w:val="20"/>
          <w:szCs w:val="20"/>
          <w:color w:val="auto"/>
        </w:rPr>
      </w:pPr>
    </w:p>
    <w:p>
      <w:pPr>
        <w:ind w:right="220" w:firstLine="555"/>
        <w:spacing w:after="0" w:line="258" w:lineRule="auto"/>
        <w:rPr>
          <w:sz w:val="20"/>
          <w:szCs w:val="20"/>
          <w:color w:val="auto"/>
        </w:rPr>
      </w:pPr>
      <w:r>
        <w:rPr>
          <w:rFonts w:ascii="Times New Roman" w:cs="Times New Roman" w:eastAsia="Times New Roman" w:hAnsi="Times New Roman"/>
          <w:sz w:val="20"/>
          <w:szCs w:val="20"/>
          <w:color w:val="auto"/>
        </w:rPr>
        <w:t>Our commercial revenue, if any, will be derived from sales of products that we do not expect to be commercially available for many years, if at all. Accordingly, we will need to continue to rely on additional financing and/or collaboration agreements to fund our business objectives.</w:t>
      </w:r>
    </w:p>
    <w:p>
      <w:pPr>
        <w:spacing w:after="0" w:line="188" w:lineRule="exact"/>
        <w:rPr>
          <w:sz w:val="20"/>
          <w:szCs w:val="20"/>
          <w:color w:val="auto"/>
        </w:rPr>
      </w:pPr>
    </w:p>
    <w:p>
      <w:pPr>
        <w:ind w:right="140" w:firstLine="555"/>
        <w:spacing w:after="0" w:line="252" w:lineRule="auto"/>
        <w:rPr>
          <w:sz w:val="20"/>
          <w:szCs w:val="20"/>
          <w:color w:val="auto"/>
        </w:rPr>
      </w:pPr>
      <w:r>
        <w:rPr>
          <w:rFonts w:ascii="Times New Roman" w:cs="Times New Roman" w:eastAsia="Times New Roman" w:hAnsi="Times New Roman"/>
          <w:sz w:val="20"/>
          <w:szCs w:val="20"/>
          <w:color w:val="auto"/>
        </w:rPr>
        <w:t>As a result of disruptions in the financial markets in general, and the challenges facing biopharmaceutical stock prices and market capitalizations in recent years in particular, equity and debt financing may be more difficult to obtain and may have a material adverse effect on our ability to meet our fundraising needs. We cannot guarantee that future financing will be available in sufficient amounts or on terms acceptable to us, if at all.</w:t>
      </w:r>
    </w:p>
    <w:p>
      <w:pPr>
        <w:spacing w:after="0" w:line="194" w:lineRule="exact"/>
        <w:rPr>
          <w:sz w:val="20"/>
          <w:szCs w:val="20"/>
          <w:color w:val="auto"/>
        </w:rPr>
      </w:pPr>
    </w:p>
    <w:p>
      <w:pPr>
        <w:ind w:right="80" w:firstLine="555"/>
        <w:spacing w:after="0" w:line="252" w:lineRule="auto"/>
        <w:rPr>
          <w:sz w:val="20"/>
          <w:szCs w:val="20"/>
          <w:color w:val="auto"/>
        </w:rPr>
      </w:pPr>
      <w:r>
        <w:rPr>
          <w:rFonts w:ascii="Times New Roman" w:cs="Times New Roman" w:eastAsia="Times New Roman" w:hAnsi="Times New Roman"/>
          <w:sz w:val="20"/>
          <w:szCs w:val="20"/>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ectPr>
          <w:pgSz w:w="12960" w:h="16560" w:orient="portrait"/>
          <w:cols w:equalWidth="0" w:num="1">
            <w:col w:w="10160"/>
          </w:cols>
          <w:pgMar w:left="1360" w:top="1420" w:right="1440" w:bottom="535"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960" w:h="16560" w:orient="portrait"/>
          <w:cols w:equalWidth="0" w:num="1">
            <w:col w:w="10160"/>
          </w:cols>
          <w:pgMar w:left="1360" w:top="1420" w:right="1440" w:bottom="535" w:gutter="0" w:footer="0" w:header="0"/>
          <w:type w:val="continuous"/>
        </w:sectPr>
      </w:pPr>
    </w:p>
    <w:bookmarkStart w:id="41" w:name="page42"/>
    <w:bookmarkEnd w:id="41"/>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technologies or product candidates.</w:t>
      </w:r>
    </w:p>
    <w:p>
      <w:pPr>
        <w:spacing w:after="0" w:line="49" w:lineRule="exact"/>
        <w:rPr>
          <w:sz w:val="20"/>
          <w:szCs w:val="20"/>
          <w:color w:val="auto"/>
        </w:rPr>
      </w:pPr>
    </w:p>
    <w:p>
      <w:pPr>
        <w:ind w:right="40" w:firstLine="555"/>
        <w:spacing w:after="0" w:line="242"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 we expect to finance our cash needs through one or a combination of private and public equity offerings (such as the private placement of our common stock in August 2023 and sales of common stock under an "at-the-market" stock offering program in January 2024),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209" w:lineRule="exact"/>
        <w:rPr>
          <w:sz w:val="20"/>
          <w:szCs w:val="20"/>
          <w:color w:val="auto"/>
        </w:rPr>
      </w:pPr>
    </w:p>
    <w:p>
      <w:pPr>
        <w:ind w:right="40" w:firstLine="555"/>
        <w:spacing w:after="0" w:line="247" w:lineRule="auto"/>
        <w:rPr>
          <w:sz w:val="20"/>
          <w:szCs w:val="20"/>
          <w:color w:val="auto"/>
        </w:rPr>
      </w:pPr>
      <w:r>
        <w:rPr>
          <w:rFonts w:ascii="Times New Roman" w:cs="Times New Roman" w:eastAsia="Times New Roman" w:hAnsi="Times New Roman"/>
          <w:sz w:val="20"/>
          <w:szCs w:val="20"/>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of our Precision Oncology and Other Programs and Product Candidates</w:t>
      </w:r>
    </w:p>
    <w:p>
      <w:pPr>
        <w:spacing w:after="0" w:line="244"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49" w:lineRule="exact"/>
        <w:rPr>
          <w:sz w:val="20"/>
          <w:szCs w:val="20"/>
          <w:color w:val="auto"/>
        </w:rPr>
      </w:pPr>
    </w:p>
    <w:p>
      <w:pPr>
        <w:ind w:right="40" w:firstLine="555"/>
        <w:spacing w:after="0" w:line="242" w:lineRule="auto"/>
        <w:rPr>
          <w:sz w:val="20"/>
          <w:szCs w:val="20"/>
          <w:color w:val="auto"/>
        </w:rPr>
      </w:pPr>
      <w:r>
        <w:rPr>
          <w:rFonts w:ascii="Times New Roman" w:cs="Times New Roman" w:eastAsia="Times New Roman" w:hAnsi="Times New Roman"/>
          <w:sz w:val="20"/>
          <w:szCs w:val="20"/>
          <w:color w:val="auto"/>
        </w:rPr>
        <w:t>We have not yet demonstrated our ability to complete clinical trials, including large-scale, pivotal clinical trials, obtain regulatory approvals, manufacture a commercial scale product or arrange for a third party to do so on our behalf, or conduct sales and marketing activities necessary for successful commercialization. Although we have received FDA clearance of five IND applications (TNG908, TNG462, TNG260, TNG348, and TNG456), we have since discontinued development of TNG348 and TNG908. We may not be able to file any future INDs for any of our other product candidates on the timelines we expect, if at all. Further, timelines for developing and filing INDs are subject to significant uncertainties and projected timelines can be delayed. Moreover, we cannot be sure that submission of an IND will result in the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INDs for TNG908, TNG462, TNG260, TNG348, and TNG456 were cleared by the FDA, such clearance does not ensure that an adequate number of patients will be enrolled on a timely basis, or at all or that the clinical trials will be completed on time, or at all. For example, in May 2024, we announced that we were discontinuing development of our TNG348 program due to liver toxicity observed in the dose escalation portion of our Phase 1/2 clinical trial, and in November 2024, we announced that we were discontinuing development of TNG908 to fully resource TNG462 and TNG456 development.</w:t>
      </w:r>
    </w:p>
    <w:p>
      <w:pPr>
        <w:spacing w:after="0" w:line="144" w:lineRule="exact"/>
        <w:rPr>
          <w:sz w:val="20"/>
          <w:szCs w:val="20"/>
          <w:color w:val="auto"/>
        </w:rPr>
      </w:pPr>
    </w:p>
    <w:p>
      <w:pPr>
        <w:ind w:right="200" w:firstLine="650"/>
        <w:spacing w:after="0" w:line="252" w:lineRule="auto"/>
        <w:rPr>
          <w:sz w:val="20"/>
          <w:szCs w:val="20"/>
          <w:color w:val="auto"/>
        </w:rPr>
      </w:pPr>
      <w:r>
        <w:rPr>
          <w:rFonts w:ascii="Times New Roman" w:cs="Times New Roman" w:eastAsia="Times New Roman" w:hAnsi="Times New Roman"/>
          <w:sz w:val="20"/>
          <w:szCs w:val="20"/>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88"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be delayed in seeking or obtaining regulatory approval for our product candidates;</w:t>
      </w:r>
    </w:p>
    <w:p>
      <w:pPr>
        <w:spacing w:after="0" w:line="35" w:lineRule="exact"/>
        <w:rPr>
          <w:rFonts w:ascii="Arial" w:cs="Arial" w:eastAsia="Arial" w:hAnsi="Arial"/>
          <w:sz w:val="20"/>
          <w:szCs w:val="20"/>
          <w:color w:val="auto"/>
        </w:rPr>
      </w:pPr>
    </w:p>
    <w:p>
      <w:pPr>
        <w:ind w:left="200" w:hanging="192"/>
        <w:spacing w:after="0"/>
        <w:tabs>
          <w:tab w:leader="none" w:pos="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not obtain regulatory approval at all;</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obtain regulatory approval for indications or patient populations that are not as broad as intended or desired;</w:t>
      </w:r>
    </w:p>
    <w:p>
      <w:pPr>
        <w:sectPr>
          <w:pgSz w:w="12960" w:h="16560" w:orient="portrait"/>
          <w:cols w:equalWidth="0" w:num="1">
            <w:col w:w="10160"/>
          </w:cols>
          <w:pgMar w:left="1360" w:top="1420" w:right="1440" w:bottom="535"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960" w:h="16560" w:orient="portrait"/>
          <w:cols w:equalWidth="0" w:num="1">
            <w:col w:w="10160"/>
          </w:cols>
          <w:pgMar w:left="1360" w:top="1420" w:right="1440" w:bottom="535" w:gutter="0" w:footer="0" w:header="0"/>
          <w:type w:val="continuous"/>
        </w:sectPr>
      </w:pPr>
    </w:p>
    <w:bookmarkStart w:id="42" w:name="page43"/>
    <w:bookmarkEnd w:id="42"/>
    <w:p>
      <w:pPr>
        <w:ind w:left="200" w:hanging="192"/>
        <w:spacing w:after="0"/>
        <w:tabs>
          <w:tab w:leader="none" w:pos="2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post-marketing testing requirements; or</w:t>
      </w:r>
    </w:p>
    <w:p>
      <w:pPr>
        <w:spacing w:after="0" w:line="35" w:lineRule="exact"/>
        <w:rPr>
          <w:rFonts w:ascii="Arial" w:cs="Arial" w:eastAsia="Arial" w:hAnsi="Arial"/>
          <w:sz w:val="20"/>
          <w:szCs w:val="20"/>
          <w:color w:val="auto"/>
        </w:rPr>
      </w:pPr>
    </w:p>
    <w:p>
      <w:pPr>
        <w:ind w:left="200" w:hanging="192"/>
        <w:spacing w:after="0"/>
        <w:tabs>
          <w:tab w:leader="none" w:pos="2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have the product removed from the market after obtaining regulatory approval.</w:t>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programs are focused on the development of oncology therapeutics for patients with genetically defined or biomarker - driven cancers, which is a rapidly evolving area of science, and the approach we are taking to discover and develop drugs is novel and may never lead to approved or marketable products.</w:t>
      </w:r>
    </w:p>
    <w:p>
      <w:pPr>
        <w:spacing w:after="0" w:line="68" w:lineRule="exact"/>
        <w:rPr>
          <w:sz w:val="20"/>
          <w:szCs w:val="20"/>
          <w:color w:val="auto"/>
        </w:rPr>
      </w:pPr>
    </w:p>
    <w:p>
      <w:pPr>
        <w:ind w:firstLine="555"/>
        <w:spacing w:after="0" w:line="242" w:lineRule="auto"/>
        <w:rPr>
          <w:sz w:val="20"/>
          <w:szCs w:val="20"/>
          <w:color w:val="auto"/>
        </w:rPr>
      </w:pPr>
      <w:r>
        <w:rPr>
          <w:rFonts w:ascii="Times New Roman" w:cs="Times New Roman" w:eastAsia="Times New Roman" w:hAnsi="Times New Roman"/>
          <w:sz w:val="20"/>
          <w:szCs w:val="20"/>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proprietary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as large as we anticipate, large enough to allow us to successfully obtain approval for each such mutation and commercialize our product candidates and achieve profitability.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product development involves a lengthy and expensive process, with an uncertain outcome.</w:t>
      </w:r>
    </w:p>
    <w:p>
      <w:pPr>
        <w:spacing w:after="0" w:line="120" w:lineRule="exact"/>
        <w:rPr>
          <w:sz w:val="20"/>
          <w:szCs w:val="20"/>
          <w:color w:val="auto"/>
        </w:rPr>
      </w:pPr>
    </w:p>
    <w:p>
      <w:pPr>
        <w:ind w:right="20" w:firstLine="555"/>
        <w:spacing w:after="0" w:line="243" w:lineRule="auto"/>
        <w:rPr>
          <w:sz w:val="20"/>
          <w:szCs w:val="20"/>
          <w:color w:val="auto"/>
        </w:rPr>
      </w:pPr>
      <w:r>
        <w:rPr>
          <w:rFonts w:ascii="Times New Roman" w:cs="Times New Roman" w:eastAsia="Times New Roman" w:hAnsi="Times New Roman"/>
          <w:sz w:val="20"/>
          <w:szCs w:val="20"/>
          <w:color w:val="auto"/>
        </w:rPr>
        <w:t>Our preclinical studies, our ongoing clinical trials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For example, in May 2024, we announced that we were discontinuing development of our TNG348 program due to liver toxicity observed in the dose escalation portion of our Phase 1/2 clinical trial. The outcome of preclinical development testing and early clinical trials may not be predictive of the success of later clinical trials, and interim or preliminary results of a clinical trial do not necessarily predict final results (or be indicative of safety and efficacy if commercialized and used in a 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w:t>
      </w:r>
    </w:p>
    <w:p>
      <w:pPr>
        <w:spacing w:after="0" w:line="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or third parties are unable to successfully develop screening technology for biomarkers that enable patient selection and/or target engagement, or experience significant delays in doing so, we may be unable to commercialize our product candidates or we may not realize the full commercial potential of our product candidates.</w:t>
      </w:r>
    </w:p>
    <w:p>
      <w:pPr>
        <w:spacing w:after="0" w:line="298"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A key component of our strategy includes the use of biomarker testing to guide patient selection for our product candidates and/or target engagement for our product candidates. We rely on third-parties to provide this technology. It is not always the case, however, that the biomarker we have identified for patient selection and/or target engagement is included in a commercially available test offered by biomarker testing providers. If not already commercially available, we may collaborate with biomarker assay development companies for the development of biomarkers associated with our product candidates. We may have difficulty in establishing or maintaining such development relationships, and we will face competition from other companies in establishing these collaborations.</w:t>
      </w:r>
    </w:p>
    <w:p>
      <w:pPr>
        <w:spacing w:after="0" w:line="31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There are also several risks associated with biomarker identification and validation. We, in collaboration with any diagnostic partners, may not be able to identify predictive pharmacodynamic biomarkers for one or more of our programs. We may not be able to validate potential biomarkers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certain genetic mutations) or their functional relevance in relevant in vitro or in vivo models. Data analytics and information from databases that we rely on for identifying or validating some of our biomarker-target relationships may not accurately reflect potential patient populations. Potential biomarkers, even if validated preclinically, may not be functionally effective or validated in human clinical trials.</w:t>
      </w:r>
    </w:p>
    <w:p>
      <w:pPr>
        <w:spacing w:after="0" w:line="310"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auto"/>
        </w:rPr>
        <w:t>If biomarker assay development companies experience any delays developing and launching the biomarkers we have identified for patient selection and/or target engagement, our clinical trials may be delayed or may not identify sufficient</w:t>
      </w:r>
    </w:p>
    <w:p>
      <w:pPr>
        <w:sectPr>
          <w:pgSz w:w="12960" w:h="16560" w:orient="portrait"/>
          <w:cols w:equalWidth="0" w:num="1">
            <w:col w:w="10160"/>
          </w:cols>
          <w:pgMar w:left="1360" w:top="1434" w:right="1440" w:bottom="535" w:gutter="0" w:footer="0" w:header="0"/>
        </w:sectPr>
      </w:pP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960" w:h="16560" w:orient="portrait"/>
          <w:cols w:equalWidth="0" w:num="1">
            <w:col w:w="10160"/>
          </w:cols>
          <w:pgMar w:left="1360" w:top="1434" w:right="1440" w:bottom="535"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patients to complete the trial and our clinical trials may be unsuccessful and our therapies will not advance to approval.</w:t>
      </w:r>
    </w:p>
    <w:p>
      <w:pPr>
        <w:spacing w:after="0" w:line="3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68" w:lineRule="exact"/>
        <w:rPr>
          <w:sz w:val="20"/>
          <w:szCs w:val="20"/>
          <w:color w:val="auto"/>
        </w:rPr>
      </w:pPr>
    </w:p>
    <w:p>
      <w:pPr>
        <w:ind w:right="20" w:firstLine="555"/>
        <w:spacing w:after="0" w:line="244" w:lineRule="auto"/>
        <w:rPr>
          <w:sz w:val="20"/>
          <w:szCs w:val="20"/>
          <w:color w:val="auto"/>
        </w:rPr>
      </w:pPr>
      <w:r>
        <w:rPr>
          <w:rFonts w:ascii="Times New Roman" w:cs="Times New Roman" w:eastAsia="Times New Roman" w:hAnsi="Times New Roman"/>
          <w:sz w:val="20"/>
          <w:szCs w:val="20"/>
          <w:color w:val="auto"/>
        </w:rPr>
        <w:t>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in connection with such diagnostic tests. The FDA and comparable foreign regulatory authorities regulate in vitro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206" w:lineRule="exact"/>
        <w:rPr>
          <w:sz w:val="20"/>
          <w:szCs w:val="20"/>
          <w:color w:val="auto"/>
        </w:rPr>
      </w:pPr>
    </w:p>
    <w:p>
      <w:pPr>
        <w:ind w:right="60" w:firstLine="555"/>
        <w:spacing w:after="0" w:line="242" w:lineRule="auto"/>
        <w:rPr>
          <w:sz w:val="20"/>
          <w:szCs w:val="20"/>
          <w:color w:val="auto"/>
        </w:rPr>
      </w:pPr>
      <w:r>
        <w:rPr>
          <w:rFonts w:ascii="Times New Roman" w:cs="Times New Roman" w:eastAsia="Times New Roman" w:hAnsi="Times New Roman"/>
          <w:sz w:val="20"/>
          <w:szCs w:val="20"/>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We must characterize the selectivity, specificity, sensitivity, reproducibility, analytical validation, and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(or any third party we may engage)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w:t>
      </w:r>
    </w:p>
    <w:p>
      <w:pPr>
        <w:spacing w:after="0" w:line="2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68" w:lineRule="exact"/>
        <w:rPr>
          <w:sz w:val="20"/>
          <w:szCs w:val="20"/>
          <w:color w:val="auto"/>
        </w:rPr>
      </w:pPr>
    </w:p>
    <w:p>
      <w:pPr>
        <w:ind w:right="80" w:firstLine="555"/>
        <w:spacing w:after="0" w:line="243" w:lineRule="auto"/>
        <w:rPr>
          <w:sz w:val="20"/>
          <w:szCs w:val="20"/>
          <w:color w:val="auto"/>
        </w:rPr>
      </w:pPr>
      <w:r>
        <w:rPr>
          <w:rFonts w:ascii="Times New Roman" w:cs="Times New Roman" w:eastAsia="Times New Roman" w:hAnsi="Times New Roman"/>
          <w:sz w:val="20"/>
          <w:szCs w:val="20"/>
          <w:color w:val="auto"/>
        </w:rPr>
        <w:t>From time to time, we may publicly disclose initial, interim or top-line data from our current and future clinical trials, which is based on a preliminary analysis of then-available data, and the results and related findings and conclusions are subject to change following a more comprehensive review of the data, including audit and verification procedures, and as results from additional clinical trial participants become available and trial participants spend additional time on therapy.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initial, interim and top-line data should be viewed with caution until the final data are available and fully analyzed. In addition, we may report interim analyses of only certain endpoints rather than all endpoints in a clinical trial.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 and may cause the price of our common stock to fluctuate or decline (and we may be subject to securities litigation that can be costly and time-consuming).</w:t>
      </w:r>
    </w:p>
    <w:p>
      <w:pPr>
        <w:spacing w:after="0" w:line="203" w:lineRule="exact"/>
        <w:rPr>
          <w:sz w:val="20"/>
          <w:szCs w:val="20"/>
          <w:color w:val="auto"/>
        </w:rPr>
      </w:pPr>
    </w:p>
    <w:p>
      <w:pPr>
        <w:ind w:right="180" w:firstLine="555"/>
        <w:spacing w:after="0" w:line="247" w:lineRule="auto"/>
        <w:rPr>
          <w:sz w:val="20"/>
          <w:szCs w:val="20"/>
          <w:color w:val="auto"/>
        </w:rPr>
      </w:pPr>
      <w:r>
        <w:rPr>
          <w:rFonts w:ascii="Times New Roman" w:cs="Times New Roman" w:eastAsia="Times New Roman" w:hAnsi="Times New Roman"/>
          <w:sz w:val="20"/>
          <w:szCs w:val="20"/>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200" w:lineRule="exact"/>
        <w:rPr>
          <w:sz w:val="20"/>
          <w:szCs w:val="20"/>
          <w:color w:val="auto"/>
        </w:rPr>
      </w:pPr>
    </w:p>
    <w:p>
      <w:pPr>
        <w:ind w:right="20" w:firstLine="555"/>
        <w:spacing w:after="0" w:line="305" w:lineRule="auto"/>
        <w:rPr>
          <w:sz w:val="20"/>
          <w:szCs w:val="20"/>
          <w:color w:val="auto"/>
        </w:rPr>
      </w:pPr>
      <w:r>
        <w:rPr>
          <w:rFonts w:ascii="Times New Roman" w:cs="Times New Roman" w:eastAsia="Times New Roman" w:hAnsi="Times New Roman"/>
          <w:sz w:val="19"/>
          <w:szCs w:val="19"/>
          <w:color w:val="auto"/>
        </w:rPr>
        <w:t>We may from time to time indicate the intent to publicly disclose certain clinical trial data at a future date. We have, for example, noted that we will provide a clinical update on the TNG462 clinical trial and clinical data on the TNG260 clinical</w:t>
      </w:r>
    </w:p>
    <w:p>
      <w:pPr>
        <w:sectPr>
          <w:pgSz w:w="12960" w:h="16560" w:orient="portrait"/>
          <w:cols w:equalWidth="0" w:num="1">
            <w:col w:w="10160"/>
          </w:cols>
          <w:pgMar w:left="1360" w:top="1420" w:right="1440" w:bottom="535"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960" w:h="16560" w:orient="portrait"/>
          <w:cols w:equalWidth="0" w:num="1">
            <w:col w:w="10160"/>
          </w:cols>
          <w:pgMar w:left="1360" w:top="1420" w:right="1440" w:bottom="535" w:gutter="0" w:footer="0" w:header="0"/>
          <w:type w:val="continuous"/>
        </w:sectPr>
      </w:pPr>
    </w:p>
    <w:bookmarkStart w:id="44" w:name="page45"/>
    <w:bookmarkEnd w:id="44"/>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trial in 2025. Due to the factors described above, and elsewhere in these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we may be unable to report data on or before the time indicated to investors, we may not have the data to provide the information indicative of safety or efficacy, the data may not be sufficiently mature or the number of patients with a specific histology may be inadequate to draw conclusions about the effectiveness of the therapy, and even if we do provide such clinical trial data, the final results from that phase of the clinical trial may be different from what we disclose initially.</w:t>
      </w:r>
    </w:p>
    <w:p>
      <w:pPr>
        <w:spacing w:after="0" w:line="197" w:lineRule="exact"/>
        <w:rPr>
          <w:sz w:val="20"/>
          <w:szCs w:val="20"/>
          <w:color w:val="auto"/>
        </w:rPr>
      </w:pPr>
    </w:p>
    <w:p>
      <w:pPr>
        <w:ind w:right="160" w:firstLine="555"/>
        <w:spacing w:after="0" w:line="252" w:lineRule="auto"/>
        <w:rPr>
          <w:sz w:val="20"/>
          <w:szCs w:val="20"/>
          <w:color w:val="auto"/>
        </w:rPr>
      </w:pPr>
      <w:r>
        <w:rPr>
          <w:rFonts w:ascii="Times New Roman" w:cs="Times New Roman" w:eastAsia="Times New Roman" w:hAnsi="Times New Roman"/>
          <w:sz w:val="20"/>
          <w:szCs w:val="20"/>
          <w:color w:val="auto"/>
        </w:rPr>
        <w:t>If the initial,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194" w:lineRule="exact"/>
        <w:rPr>
          <w:sz w:val="20"/>
          <w:szCs w:val="20"/>
          <w:color w:val="auto"/>
        </w:rPr>
      </w:pPr>
    </w:p>
    <w:p>
      <w:pPr>
        <w:ind w:right="180" w:firstLine="555"/>
        <w:spacing w:after="0" w:line="277" w:lineRule="auto"/>
        <w:rPr>
          <w:sz w:val="20"/>
          <w:szCs w:val="20"/>
          <w:color w:val="auto"/>
        </w:rPr>
      </w:pPr>
      <w:r>
        <w:rPr>
          <w:rFonts w:ascii="Times New Roman" w:cs="Times New Roman" w:eastAsia="Times New Roman" w:hAnsi="Times New Roman"/>
          <w:sz w:val="20"/>
          <w:szCs w:val="20"/>
          <w:color w:val="auto"/>
        </w:rPr>
        <w:t>Finally, even if the data provided from the clinical trial is favorable with respect to safety and efficacy, such data may not meet the expectations of our investors and our stock price may decline (and such decline may be material).</w:t>
      </w:r>
    </w:p>
    <w:p>
      <w:pPr>
        <w:spacing w:after="0" w:line="169"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49" w:lineRule="exact"/>
        <w:rPr>
          <w:sz w:val="20"/>
          <w:szCs w:val="20"/>
          <w:color w:val="auto"/>
        </w:rPr>
      </w:pPr>
    </w:p>
    <w:p>
      <w:pPr>
        <w:ind w:right="260" w:firstLine="555"/>
        <w:spacing w:after="0" w:line="247" w:lineRule="auto"/>
        <w:rPr>
          <w:sz w:val="20"/>
          <w:szCs w:val="20"/>
          <w:color w:val="auto"/>
        </w:rPr>
      </w:pPr>
      <w:r>
        <w:rPr>
          <w:rFonts w:ascii="Times New Roman" w:cs="Times New Roman" w:eastAsia="Times New Roman" w:hAnsi="Times New Roman"/>
          <w:sz w:val="20"/>
          <w:szCs w:val="20"/>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94" w:lineRule="exact"/>
        <w:rPr>
          <w:sz w:val="20"/>
          <w:szCs w:val="20"/>
          <w:color w:val="auto"/>
        </w:rPr>
      </w:pPr>
    </w:p>
    <w:p>
      <w:pPr>
        <w:ind w:right="780" w:firstLine="8"/>
        <w:spacing w:after="0" w:line="258"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we may receive feedback from regulatory authorities that require us to modify the design or implementation of our preclinical studies or clinical trials or to delay or terminate a clinical trial;</w:t>
      </w:r>
    </w:p>
    <w:p>
      <w:pPr>
        <w:spacing w:after="0" w:line="1" w:lineRule="exact"/>
        <w:rPr>
          <w:rFonts w:ascii="Arial" w:cs="Arial" w:eastAsia="Arial" w:hAnsi="Arial"/>
          <w:sz w:val="20"/>
          <w:szCs w:val="20"/>
          <w:color w:val="auto"/>
        </w:rPr>
      </w:pPr>
    </w:p>
    <w:p>
      <w:pPr>
        <w:ind w:right="200" w:firstLine="8"/>
        <w:spacing w:after="0" w:line="247"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IRBs, or ethics committees may delay or may not authorize us or our investigators to commence a clinical trial or conduct a clinical trial at a prospective trial site;</w:t>
      </w:r>
    </w:p>
    <w:p>
      <w:pPr>
        <w:ind w:right="120" w:firstLine="8"/>
        <w:spacing w:after="0" w:line="244"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delays in reaching, or fail to reach, agreement on acceptable terms with prospective trial sites and prospective CROs to conduct our trials, the terms of which can be subject to extensive negotiation and may vary significantly among different trial sites and CROs;</w:t>
      </w:r>
    </w:p>
    <w:p>
      <w:pPr>
        <w:spacing w:after="0" w:line="2" w:lineRule="exact"/>
        <w:rPr>
          <w:rFonts w:ascii="Arial" w:cs="Arial" w:eastAsia="Arial" w:hAnsi="Arial"/>
          <w:sz w:val="20"/>
          <w:szCs w:val="20"/>
          <w:color w:val="auto"/>
        </w:rPr>
      </w:pPr>
    </w:p>
    <w:p>
      <w:pPr>
        <w:ind w:right="120" w:firstLine="8"/>
        <w:spacing w:after="0" w:line="244"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2" w:lineRule="exact"/>
        <w:rPr>
          <w:rFonts w:ascii="Arial" w:cs="Arial" w:eastAsia="Arial" w:hAnsi="Arial"/>
          <w:sz w:val="20"/>
          <w:szCs w:val="20"/>
          <w:color w:val="auto"/>
        </w:rPr>
      </w:pPr>
    </w:p>
    <w:p>
      <w:pPr>
        <w:ind w:right="120" w:firstLine="8"/>
        <w:spacing w:after="0" w:line="247"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studies or clinical trials of our product candidates may not produce differentiated or clinically significant results across tumor types or indications;</w:t>
      </w:r>
    </w:p>
    <w:p>
      <w:pPr>
        <w:ind w:right="100" w:firstLine="8"/>
        <w:spacing w:after="0" w:line="242"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we anticipate, enrollment in these clinical trials may be slower than we anticipate or we may fail to enroll patients with certain cancer indications, such as pancreatic and lung cancer, that we are focusing on in connection with TNG462 (and GBM, which is our focus for TNG456), or participants may drop out of these clinical trials or fail to return for post-treatment follow-up at a higher rate than we anticipate;</w:t>
      </w:r>
    </w:p>
    <w:p>
      <w:pPr>
        <w:spacing w:after="0" w:line="4" w:lineRule="exact"/>
        <w:rPr>
          <w:rFonts w:ascii="Arial" w:cs="Arial" w:eastAsia="Arial" w:hAnsi="Arial"/>
          <w:sz w:val="20"/>
          <w:szCs w:val="20"/>
          <w:color w:val="auto"/>
        </w:rPr>
      </w:pPr>
    </w:p>
    <w:p>
      <w:pPr>
        <w:ind w:right="240" w:firstLine="8"/>
        <w:spacing w:after="0" w:line="244"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spacing w:after="0" w:line="2" w:lineRule="exact"/>
        <w:rPr>
          <w:rFonts w:ascii="Arial" w:cs="Arial" w:eastAsia="Arial" w:hAnsi="Arial"/>
          <w:sz w:val="20"/>
          <w:szCs w:val="20"/>
          <w:color w:val="auto"/>
        </w:rPr>
      </w:pPr>
    </w:p>
    <w:p>
      <w:pPr>
        <w:ind w:right="140" w:firstLine="8"/>
        <w:spacing w:after="0" w:line="247" w:lineRule="auto"/>
        <w:tabs>
          <w:tab w:leader="none" w:pos="14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clinical trial sites or investigators may deviate from the clinical trial protocol or drop out of the trial, which may require that we add new clinical trial sites or investigators in order to ensure our trials generate statistically significant results;</w:t>
      </w:r>
    </w:p>
    <w:p>
      <w:pPr>
        <w:ind w:right="160" w:firstLine="8"/>
        <w:spacing w:after="0" w:line="244"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we may elect to, or regulators,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2" w:lineRule="exact"/>
        <w:rPr>
          <w:rFonts w:ascii="Arial" w:cs="Arial" w:eastAsia="Arial" w:hAnsi="Arial"/>
          <w:sz w:val="20"/>
          <w:szCs w:val="20"/>
          <w:color w:val="auto"/>
        </w:rPr>
      </w:pPr>
    </w:p>
    <w:p>
      <w:pPr>
        <w:ind w:left="200" w:hanging="192"/>
        <w:spacing w:after="0"/>
        <w:tabs>
          <w:tab w:leader="none" w:pos="2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trials of our product candidates may be greater than we anticipate;</w:t>
      </w:r>
    </w:p>
    <w:p>
      <w:pPr>
        <w:spacing w:after="0" w:line="13" w:lineRule="exact"/>
        <w:rPr>
          <w:rFonts w:ascii="Arial" w:cs="Arial" w:eastAsia="Arial" w:hAnsi="Arial"/>
          <w:sz w:val="20"/>
          <w:szCs w:val="20"/>
          <w:color w:val="auto"/>
        </w:rPr>
      </w:pPr>
    </w:p>
    <w:p>
      <w:pPr>
        <w:ind w:right="760" w:firstLine="8"/>
        <w:spacing w:after="0" w:line="247"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of our product candidates may be insufficient or inadequate;</w:t>
      </w:r>
    </w:p>
    <w:p>
      <w:pPr>
        <w:spacing w:after="0" w:line="1" w:lineRule="exact"/>
        <w:rPr>
          <w:rFonts w:ascii="Arial" w:cs="Arial" w:eastAsia="Arial" w:hAnsi="Arial"/>
          <w:sz w:val="20"/>
          <w:szCs w:val="20"/>
          <w:color w:val="auto"/>
        </w:rPr>
      </w:pPr>
    </w:p>
    <w:p>
      <w:pPr>
        <w:ind w:right="160" w:firstLine="8"/>
        <w:spacing w:after="0" w:line="244"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2" w:lineRule="exact"/>
        <w:rPr>
          <w:rFonts w:ascii="Arial" w:cs="Arial" w:eastAsia="Arial" w:hAnsi="Arial"/>
          <w:sz w:val="20"/>
          <w:szCs w:val="20"/>
          <w:color w:val="auto"/>
        </w:rPr>
      </w:pPr>
    </w:p>
    <w:p>
      <w:pPr>
        <w:ind w:right="620" w:firstLine="8"/>
        <w:spacing w:after="0" w:line="247"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may revise the requirements for approving our product candidates, or such requirements may not be as we anticipate; and</w:t>
      </w:r>
    </w:p>
    <w:p>
      <w:pPr>
        <w:ind w:firstLine="8"/>
        <w:spacing w:after="0" w:line="254" w:lineRule="auto"/>
        <w:tabs>
          <w:tab w:leader="none" w:pos="192"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developments with respect to our competitors’ products, including any developments, litigation or public concern about the safety of such products.</w:t>
      </w:r>
    </w:p>
    <w:p>
      <w:pPr>
        <w:sectPr>
          <w:pgSz w:w="12960" w:h="16560" w:orient="portrait"/>
          <w:cols w:equalWidth="0" w:num="1">
            <w:col w:w="10160"/>
          </w:cols>
          <w:pgMar w:left="1360" w:top="1420" w:right="1440" w:bottom="535"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960" w:h="16560" w:orient="portrait"/>
          <w:cols w:equalWidth="0" w:num="1">
            <w:col w:w="10160"/>
          </w:cols>
          <w:pgMar w:left="1360" w:top="1420" w:right="1440" w:bottom="535" w:gutter="0" w:footer="0" w:header="0"/>
          <w:type w:val="continuous"/>
        </w:sectPr>
      </w:pPr>
    </w:p>
    <w:bookmarkStart w:id="45" w:name="page46"/>
    <w:bookmarkEnd w:id="45"/>
    <w:p>
      <w:pPr>
        <w:ind w:right="200" w:firstLine="555"/>
        <w:spacing w:after="0" w:line="243" w:lineRule="auto"/>
        <w:rPr>
          <w:sz w:val="20"/>
          <w:szCs w:val="20"/>
          <w:color w:val="auto"/>
        </w:rPr>
      </w:pPr>
      <w:r>
        <w:rPr>
          <w:rFonts w:ascii="Times New Roman" w:cs="Times New Roman" w:eastAsia="Times New Roman" w:hAnsi="Times New Roman"/>
          <w:sz w:val="20"/>
          <w:szCs w:val="20"/>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208" w:lineRule="exact"/>
        <w:rPr>
          <w:sz w:val="20"/>
          <w:szCs w:val="20"/>
          <w:color w:val="auto"/>
        </w:rPr>
      </w:pPr>
    </w:p>
    <w:p>
      <w:pPr>
        <w:ind w:right="120" w:firstLine="555"/>
        <w:spacing w:after="0" w:line="244" w:lineRule="auto"/>
        <w:rPr>
          <w:sz w:val="20"/>
          <w:szCs w:val="20"/>
          <w:color w:val="auto"/>
        </w:rPr>
      </w:pPr>
      <w:r>
        <w:rPr>
          <w:rFonts w:ascii="Times New Roman" w:cs="Times New Roman" w:eastAsia="Times New Roman" w:hAnsi="Times New Roman"/>
          <w:sz w:val="20"/>
          <w:szCs w:val="20"/>
          <w:color w:val="auto"/>
        </w:rPr>
        <w:t>Moreover, principal investigators for our current or future clinical trials have, and in the future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206" w:lineRule="exact"/>
        <w:rPr>
          <w:sz w:val="20"/>
          <w:szCs w:val="20"/>
          <w:color w:val="auto"/>
        </w:rPr>
      </w:pPr>
    </w:p>
    <w:p>
      <w:pPr>
        <w:ind w:right="20" w:firstLine="555"/>
        <w:spacing w:after="0" w:line="247" w:lineRule="auto"/>
        <w:rPr>
          <w:sz w:val="20"/>
          <w:szCs w:val="20"/>
          <w:color w:val="auto"/>
        </w:rPr>
      </w:pPr>
      <w:r>
        <w:rPr>
          <w:rFonts w:ascii="Times New Roman" w:cs="Times New Roman" w:eastAsia="Times New Roman" w:hAnsi="Times New Roman"/>
          <w:sz w:val="20"/>
          <w:szCs w:val="20"/>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00"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patients in clinical trials, our receipt of necessary regulatory approvals could be delayed or prevented.</w:t>
      </w:r>
    </w:p>
    <w:p>
      <w:pPr>
        <w:spacing w:after="0" w:line="49" w:lineRule="exact"/>
        <w:rPr>
          <w:sz w:val="20"/>
          <w:szCs w:val="20"/>
          <w:color w:val="auto"/>
        </w:rPr>
      </w:pPr>
    </w:p>
    <w:p>
      <w:pPr>
        <w:ind w:right="80" w:firstLine="555"/>
        <w:spacing w:after="0" w:line="243" w:lineRule="auto"/>
        <w:rPr>
          <w:sz w:val="20"/>
          <w:szCs w:val="20"/>
          <w:color w:val="auto"/>
        </w:rPr>
      </w:pPr>
      <w:r>
        <w:rPr>
          <w:rFonts w:ascii="Times New Roman" w:cs="Times New Roman" w:eastAsia="Times New Roman" w:hAnsi="Times New Roman"/>
          <w:sz w:val="20"/>
          <w:szCs w:val="20"/>
          <w:color w:val="auto"/>
        </w:rPr>
        <w:t>We may not be able to initiate, continue or complete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including pancreatic cancer in connection with TNG462 and GBM in connection with TNG456, are orphan indications that have small populations, our ability to enroll eligible patients may be limited or may result in slower enrollment than we anticipate. We also may experience slower enrollment as a result of limited trial populations due to clinical trials run by us or our competitors or other factors beyond our control. Delays in enrollment may affect the timing of any results or data announcements from our trials (as well as the timing for dose escalation and dose expansion) and therefore the regulatory approval (if any) for any of our product candidates may extend beyond the period we have targeted or beyond the timeline expected by investors.</w:t>
      </w:r>
    </w:p>
    <w:p>
      <w:pPr>
        <w:spacing w:after="0" w:line="208" w:lineRule="exact"/>
        <w:rPr>
          <w:sz w:val="20"/>
          <w:szCs w:val="20"/>
          <w:color w:val="auto"/>
        </w:rPr>
      </w:pPr>
    </w:p>
    <w:p>
      <w:pPr>
        <w:ind w:right="40" w:firstLine="555"/>
        <w:spacing w:after="0" w:line="249" w:lineRule="auto"/>
        <w:rPr>
          <w:sz w:val="20"/>
          <w:szCs w:val="20"/>
          <w:color w:val="auto"/>
        </w:rPr>
      </w:pPr>
      <w:r>
        <w:rPr>
          <w:rFonts w:ascii="Times New Roman" w:cs="Times New Roman" w:eastAsia="Times New Roman" w:hAnsi="Times New Roman"/>
          <w:sz w:val="20"/>
          <w:szCs w:val="20"/>
          <w:color w:val="auto"/>
        </w:rPr>
        <w:t>The patient eligibility criteria defined in our trial protocols, including biomarker-driven identification or the number of prior treatment lines, may limit the patient populations eligible for our clinical trials to a greater extent than competing clinical trials for the same indication that do not have biomarker-driven patient eligibility criteria. We also rely on the willingness and ability of clinicians to screen their patients for biomarkers to indicate which patients may be eligible for enrollment in our clinical trials.</w:t>
      </w:r>
    </w:p>
    <w:p>
      <w:pPr>
        <w:spacing w:after="0" w:line="197" w:lineRule="exact"/>
        <w:rPr>
          <w:sz w:val="20"/>
          <w:szCs w:val="20"/>
          <w:color w:val="auto"/>
        </w:rPr>
      </w:pPr>
    </w:p>
    <w:p>
      <w:pPr>
        <w:ind w:right="20" w:firstLine="555"/>
        <w:spacing w:after="0" w:line="244" w:lineRule="auto"/>
        <w:rPr>
          <w:sz w:val="20"/>
          <w:szCs w:val="20"/>
          <w:color w:val="auto"/>
        </w:rPr>
      </w:pPr>
      <w:r>
        <w:rPr>
          <w:rFonts w:ascii="Times New Roman" w:cs="Times New Roman" w:eastAsia="Times New Roman" w:hAnsi="Times New Roman"/>
          <w:sz w:val="20"/>
          <w:szCs w:val="20"/>
          <w:color w:val="auto"/>
        </w:rPr>
        <w:t>In addition, some of our competitors have ongoing clinical trials for product candidates that aim to treat the same indications as our product candidates, and patients who would otherwise be eligible for our clinical trials may choose instead to enroll in clinical trials of our competitors’ product candidates (for example, multiple INDs for other companies have been cleared by the FDA for clinical trials of MTA-cooperative PRMT5 inhibitors for the treatment of cancer patients, and such trials have already enrolled patients and those trials are using some of the same clinical trial sites that we use). Further, the target patient population eligible for the TNG462 and TNG456 clinical trials overlap. In particular, each of these clinical trials has arms that are expected to aim to enroll patients with lung cancer. As a result, our own trials may compete to enroll patients among a limited population and thus each of our own trials may experience delays or limited enrollment or we may be compelled to explore enrollment in new countries to gain access to an expanded patient population.</w:t>
      </w:r>
    </w:p>
    <w:p>
      <w:pPr>
        <w:sectPr>
          <w:pgSz w:w="12960" w:h="16560" w:orient="portrait"/>
          <w:cols w:equalWidth="0" w:num="1">
            <w:col w:w="10160"/>
          </w:cols>
          <w:pgMar w:left="1360" w:top="1420" w:right="1440" w:bottom="535"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960" w:h="16560" w:orient="portrait"/>
          <w:cols w:equalWidth="0" w:num="1">
            <w:col w:w="10160"/>
          </w:cols>
          <w:pgMar w:left="1360" w:top="1420" w:right="1440" w:bottom="535" w:gutter="0" w:footer="0" w:header="0"/>
          <w:type w:val="continuous"/>
        </w:sectPr>
      </w:pPr>
    </w:p>
    <w:bookmarkStart w:id="46" w:name="page47"/>
    <w:bookmarkEnd w:id="46"/>
    <w:p>
      <w:pPr>
        <w:ind w:right="80" w:firstLine="555"/>
        <w:spacing w:after="0" w:line="244" w:lineRule="auto"/>
        <w:rPr>
          <w:sz w:val="20"/>
          <w:szCs w:val="20"/>
          <w:color w:val="auto"/>
        </w:rPr>
      </w:pPr>
      <w:r>
        <w:rPr>
          <w:rFonts w:ascii="Times New Roman" w:cs="Times New Roman" w:eastAsia="Times New Roman" w:hAnsi="Times New Roman"/>
          <w:sz w:val="20"/>
          <w:szCs w:val="20"/>
          <w:color w:val="auto"/>
        </w:rPr>
        <w:t>In addition to the competitive clinical trial environment, the eligibility criteria of our clinical trials will further limit the pool of available study participants as we will require that patients have specific characteristics that we can measure to assure their cancer is either severe enough or not too advanced to include them in a study. The process of finding patients may prove costly. We also may not be able to identify, recruit or enroll a sufficient number of patients (or sufficient patients who have limited lines of prior therapy)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unavailable or unwilling to participate in our studies for any reason, the timeline for recruiting patients, conducting studies, reporting initial and final trial results and obtaining regulatory approval of potential products may be delayed.</w:t>
      </w:r>
    </w:p>
    <w:p>
      <w:pPr>
        <w:spacing w:after="0" w:line="206" w:lineRule="exact"/>
        <w:rPr>
          <w:sz w:val="20"/>
          <w:szCs w:val="20"/>
          <w:color w:val="auto"/>
        </w:rPr>
      </w:pPr>
    </w:p>
    <w:p>
      <w:pPr>
        <w:ind w:right="220" w:firstLine="555"/>
        <w:spacing w:after="0" w:line="252" w:lineRule="auto"/>
        <w:rPr>
          <w:sz w:val="20"/>
          <w:szCs w:val="20"/>
          <w:color w:val="auto"/>
        </w:rPr>
      </w:pPr>
      <w:r>
        <w:rPr>
          <w:rFonts w:ascii="Times New Roman" w:cs="Times New Roman" w:eastAsia="Times New Roman" w:hAnsi="Times New Roman"/>
          <w:sz w:val="20"/>
          <w:szCs w:val="20"/>
          <w:color w:val="auto"/>
        </w:rPr>
        <w:t>Further, if we are unable to identify patients with the targeted genetic mutations for our clinical trials, it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88"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severity of the disease under investigation;</w:t>
      </w:r>
    </w:p>
    <w:p>
      <w:pPr>
        <w:spacing w:after="0" w:line="35" w:lineRule="exact"/>
        <w:rPr>
          <w:rFonts w:ascii="Arial" w:cs="Arial" w:eastAsia="Arial" w:hAnsi="Arial"/>
          <w:sz w:val="20"/>
          <w:szCs w:val="20"/>
          <w:color w:val="auto"/>
        </w:rPr>
      </w:pPr>
    </w:p>
    <w:p>
      <w:pPr>
        <w:ind w:left="200" w:hanging="192"/>
        <w:spacing w:after="0"/>
        <w:tabs>
          <w:tab w:leader="none" w:pos="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efforts to obtain and maintain patient consents and facilitate timely enrollment in clinical trials;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recruit clinical trial investigators with the appropriate competencies and experience;</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reporting of the initial results of any of our clinical trials; and</w:t>
      </w:r>
    </w:p>
    <w:p>
      <w:pPr>
        <w:spacing w:after="0" w:line="14" w:lineRule="exact"/>
        <w:rPr>
          <w:rFonts w:ascii="Arial" w:cs="Arial" w:eastAsia="Arial" w:hAnsi="Arial"/>
          <w:sz w:val="20"/>
          <w:szCs w:val="20"/>
          <w:color w:val="auto"/>
        </w:rPr>
      </w:pPr>
    </w:p>
    <w:p>
      <w:pPr>
        <w:ind w:right="500" w:firstLine="8"/>
        <w:spacing w:after="0" w:line="255" w:lineRule="auto"/>
        <w:tabs>
          <w:tab w:leader="none" w:pos="192"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factors we may not be able to control, including the impacts of any epidemics or pandemics, which may limit patients, principal investigators or staff or clinical site availability.</w:t>
      </w:r>
    </w:p>
    <w:p>
      <w:pPr>
        <w:spacing w:after="0" w:line="19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anticipate that certain of our current and future product candidates could be used in combination with third-party drugs or biologics, some of which are still in development, and we have limited or no control over the supply, regulatory status, or regulatory approval of such other drugs or biologics.</w:t>
      </w:r>
    </w:p>
    <w:p>
      <w:pPr>
        <w:spacing w:after="0" w:line="68" w:lineRule="exact"/>
        <w:rPr>
          <w:sz w:val="20"/>
          <w:szCs w:val="20"/>
          <w:color w:val="auto"/>
        </w:rPr>
      </w:pPr>
    </w:p>
    <w:p>
      <w:pPr>
        <w:ind w:right="20" w:firstLine="555"/>
        <w:spacing w:after="0" w:line="243" w:lineRule="auto"/>
        <w:rPr>
          <w:sz w:val="20"/>
          <w:szCs w:val="20"/>
          <w:color w:val="auto"/>
        </w:rPr>
      </w:pPr>
      <w:r>
        <w:rPr>
          <w:rFonts w:ascii="Times New Roman" w:cs="Times New Roman" w:eastAsia="Times New Roman" w:hAnsi="Times New Roman"/>
          <w:sz w:val="20"/>
          <w:szCs w:val="20"/>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or with other classes of therapeutics agents (such as the RAS(ON) multi- and G12D- inhibitors from RevMed with which we plan to evaluate TNG462 in combination clinical trials and abemaciclib, with which we plan to evaluate TNG456 in a combination clinical trial).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have entered into separate clinical collaboration and supply agreements with RevMed and Lilly, under which we plan to conduct combination clinical trials with RevMed's RAS(ON) multi- and G12D-selective inhibitors and Lilly's abemaciclib, respectively. Additionally, we plan to purchase pembrolizumab for use in combination with TNG462. Nevertheless, we cannot be certain that current or potential future commercial relationships will continue to provide us with a steady supply of such drugs or biologics on commercially reasonable terms, or at all.</w:t>
      </w:r>
    </w:p>
    <w:p>
      <w:pPr>
        <w:spacing w:after="0" w:line="203" w:lineRule="exact"/>
        <w:rPr>
          <w:sz w:val="20"/>
          <w:szCs w:val="20"/>
          <w:color w:val="auto"/>
        </w:rPr>
      </w:pPr>
    </w:p>
    <w:p>
      <w:pPr>
        <w:ind w:right="80" w:firstLine="555"/>
        <w:spacing w:after="0" w:line="249" w:lineRule="auto"/>
        <w:rPr>
          <w:sz w:val="20"/>
          <w:szCs w:val="20"/>
          <w:color w:val="auto"/>
        </w:rPr>
      </w:pPr>
      <w:r>
        <w:rPr>
          <w:rFonts w:ascii="Times New Roman" w:cs="Times New Roman" w:eastAsia="Times New Roman" w:hAnsi="Times New Roman"/>
          <w:sz w:val="20"/>
          <w:szCs w:val="20"/>
          <w:color w:val="auto"/>
        </w:rPr>
        <w:t>Any failure to maintain or enter into new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circumstances occur, our business, financial condition, operating results, stock price and prospects may be materially harmed.</w:t>
      </w:r>
    </w:p>
    <w:p>
      <w:pPr>
        <w:spacing w:after="0" w:line="197"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Development of combination therapies may present more or different challenges than development of single agent therapies.</w:t>
      </w:r>
    </w:p>
    <w:p>
      <w:pPr>
        <w:spacing w:after="0" w:line="169" w:lineRule="exact"/>
        <w:rPr>
          <w:sz w:val="20"/>
          <w:szCs w:val="20"/>
          <w:color w:val="auto"/>
        </w:rPr>
      </w:pPr>
    </w:p>
    <w:p>
      <w:pPr>
        <w:ind w:right="20" w:firstLine="550"/>
        <w:spacing w:after="0" w:line="259" w:lineRule="auto"/>
        <w:rPr>
          <w:sz w:val="20"/>
          <w:szCs w:val="20"/>
          <w:color w:val="auto"/>
        </w:rPr>
      </w:pPr>
      <w:r>
        <w:rPr>
          <w:rFonts w:ascii="Times New Roman" w:cs="Times New Roman" w:eastAsia="Times New Roman" w:hAnsi="Times New Roman"/>
          <w:sz w:val="19"/>
          <w:szCs w:val="19"/>
          <w:color w:val="auto"/>
        </w:rPr>
        <w:t>We have one clinical trial currently testing the safety and efficacy of a combination therapy (TNG260 is being tested in combination with an anti-PD-1 antibody, pembrolizumab), and have additional clinical trials planned to evaluate (i) TNG462 in multiple different combinations, including with each of RevMed's RAS(ON) multi- and G12D- selective inhibitors and with pembrolizumab and (ii) TNG456 with abemaciclib. The clinical development of combination therapies may be more complex than the development of single agent therapies and generally requires that we are able to describe and demonstrate the contribution of each product to the safety and efficacy of the combination as a whole. This requirement may make the design and conduct of clinical trials more complex (which may cause delays in the trial or require additional data to be collected and analyzed, which, in turn, may limit any patent protection or regulatory exclusivity periods we have to market the product candidate). In addition, we expect this would increase the anticipated costs that we incur in connection with the seeking</w:t>
      </w:r>
    </w:p>
    <w:p>
      <w:pPr>
        <w:sectPr>
          <w:pgSz w:w="12960" w:h="16560" w:orient="portrait"/>
          <w:cols w:equalWidth="0" w:num="1">
            <w:col w:w="10160"/>
          </w:cols>
          <w:pgMar w:left="1360" w:top="1420" w:right="1440" w:bottom="535"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960" w:h="16560" w:orient="portrait"/>
          <w:cols w:equalWidth="0" w:num="1">
            <w:col w:w="10160"/>
          </w:cols>
          <w:pgMar w:left="1360" w:top="1420" w:right="1440" w:bottom="535" w:gutter="0" w:footer="0" w:header="0"/>
          <w:type w:val="continuous"/>
        </w:sectPr>
      </w:pPr>
    </w:p>
    <w:bookmarkStart w:id="47" w:name="page48"/>
    <w:bookmarkEnd w:id="47"/>
    <w:p>
      <w:pPr>
        <w:ind w:right="220"/>
        <w:spacing w:after="0" w:line="247" w:lineRule="auto"/>
        <w:rPr>
          <w:sz w:val="20"/>
          <w:szCs w:val="20"/>
          <w:color w:val="auto"/>
        </w:rPr>
      </w:pPr>
      <w:r>
        <w:rPr>
          <w:rFonts w:ascii="Times New Roman" w:cs="Times New Roman" w:eastAsia="Times New Roman" w:hAnsi="Times New Roman"/>
          <w:sz w:val="20"/>
          <w:szCs w:val="20"/>
          <w:color w:val="auto"/>
        </w:rPr>
        <w:t>regulatory approval of the combination. Further, the FDA's "combination rule" prohibits the FDA approving a fixed-dose combination product unless each component of a proposed drug product contributes to the claimed effects and the dosage of each component (amount, frequency, duration) is safe and effective for the intended population. This typically requires a clinical factorial study, designed to assess the effects attributable to each drug in the combination product, particularly when the ingredients are directed at the same sign or symptom of the disease or condition. Moreover, the applicable requirements for approval of a combination therapy may differ from country to country.</w:t>
      </w:r>
    </w:p>
    <w:p>
      <w:pPr>
        <w:spacing w:after="0" w:line="200" w:lineRule="exact"/>
        <w:rPr>
          <w:sz w:val="20"/>
          <w:szCs w:val="20"/>
          <w:color w:val="auto"/>
        </w:rPr>
      </w:pPr>
    </w:p>
    <w:p>
      <w:pPr>
        <w:ind w:right="440" w:firstLine="720"/>
        <w:spacing w:after="0" w:line="252" w:lineRule="auto"/>
        <w:rPr>
          <w:sz w:val="20"/>
          <w:szCs w:val="20"/>
          <w:color w:val="auto"/>
        </w:rPr>
      </w:pPr>
      <w:r>
        <w:rPr>
          <w:rFonts w:ascii="Times New Roman" w:cs="Times New Roman" w:eastAsia="Times New Roman" w:hAnsi="Times New Roman"/>
          <w:sz w:val="20"/>
          <w:szCs w:val="20"/>
          <w:color w:val="auto"/>
        </w:rPr>
        <w:t>In the event that our product candidates fail to demonstrate sufficient safety and efficacy or establish their contribution to the claimed effects of a combination therapies, we would need to identify alternatives. In the event we are unable to do so or are unable to do so on commercially reasonable terms, our business and prospects would be materially harmed.</w:t>
      </w:r>
    </w:p>
    <w:p>
      <w:pPr>
        <w:spacing w:after="0" w:line="19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Moreover, following product approval of a combination therapy,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(which we ay be unable to do on reasonable terms, or at all).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2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4" w:lineRule="exact"/>
        <w:rPr>
          <w:sz w:val="20"/>
          <w:szCs w:val="20"/>
          <w:color w:val="auto"/>
        </w:rPr>
      </w:pPr>
    </w:p>
    <w:p>
      <w:pPr>
        <w:ind w:right="60" w:firstLine="555"/>
        <w:spacing w:after="0" w:line="249" w:lineRule="auto"/>
        <w:rPr>
          <w:sz w:val="20"/>
          <w:szCs w:val="20"/>
          <w:color w:val="auto"/>
        </w:rPr>
      </w:pPr>
      <w:r>
        <w:rPr>
          <w:rFonts w:ascii="Times New Roman" w:cs="Times New Roman" w:eastAsia="Times New Roman" w:hAnsi="Times New Roman"/>
          <w:sz w:val="20"/>
          <w:szCs w:val="20"/>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7" w:lineRule="exact"/>
        <w:rPr>
          <w:sz w:val="20"/>
          <w:szCs w:val="20"/>
          <w:color w:val="auto"/>
        </w:rPr>
      </w:pPr>
    </w:p>
    <w:p>
      <w:pPr>
        <w:ind w:right="20" w:firstLine="555"/>
        <w:spacing w:after="0" w:line="246" w:lineRule="auto"/>
        <w:rPr>
          <w:sz w:val="20"/>
          <w:szCs w:val="20"/>
          <w:color w:val="auto"/>
        </w:rPr>
      </w:pPr>
      <w:r>
        <w:rPr>
          <w:rFonts w:ascii="Times New Roman" w:cs="Times New Roman" w:eastAsia="Times New Roman" w:hAnsi="Times New Roman"/>
          <w:sz w:val="20"/>
          <w:szCs w:val="20"/>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0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68" w:lineRule="exact"/>
        <w:rPr>
          <w:sz w:val="20"/>
          <w:szCs w:val="20"/>
          <w:color w:val="auto"/>
        </w:rPr>
      </w:pPr>
    </w:p>
    <w:p>
      <w:pPr>
        <w:ind w:right="20" w:firstLine="555"/>
        <w:spacing w:after="0" w:line="242"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trials are expensive and can take many years to complete, and outcomes are inherently uncertain. Failure can occur at any time during the clinical trial process. Because our precision oncology programs and our product candidates are in early stages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we could decide to</w:t>
      </w:r>
    </w:p>
    <w:p>
      <w:pPr>
        <w:sectPr>
          <w:pgSz w:w="12960" w:h="16560" w:orient="portrait"/>
          <w:cols w:equalWidth="0" w:num="1">
            <w:col w:w="10160"/>
          </w:cols>
          <w:pgMar w:left="1360" w:top="1420" w:right="1440" w:bottom="535"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960" w:h="16560" w:orient="portrait"/>
          <w:cols w:equalWidth="0" w:num="1">
            <w:col w:w="10160"/>
          </w:cols>
          <w:pgMar w:left="1360" w:top="1420" w:right="1440" w:bottom="535" w:gutter="0" w:footer="0" w:header="0"/>
          <w:type w:val="continuous"/>
        </w:sectPr>
      </w:pPr>
    </w:p>
    <w:bookmarkStart w:id="48" w:name="page49"/>
    <w:bookmarkEnd w:id="48"/>
    <w:p>
      <w:pPr>
        <w:ind w:right="40"/>
        <w:spacing w:after="0" w:line="246" w:lineRule="auto"/>
        <w:rPr>
          <w:sz w:val="20"/>
          <w:szCs w:val="20"/>
          <w:color w:val="auto"/>
        </w:rPr>
      </w:pPr>
      <w:r>
        <w:rPr>
          <w:rFonts w:ascii="Times New Roman" w:cs="Times New Roman" w:eastAsia="Times New Roman" w:hAnsi="Times New Roman"/>
          <w:sz w:val="20"/>
          <w:szCs w:val="20"/>
          <w:color w:val="auto"/>
        </w:rPr>
        <w:t>suspend or terminate a trial or program, or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Product liability claims can be expensive to defend and result in significant damages and harm to our reputation. While we do have insurance to cover certain product liability claims, including in connection with certain injury during clinical trials, the coverage may not cover all injuries, be sufficient to cover all expenses related to any injury and we may be required to pay damages from our own resources and the amount of such damages may be significant.</w:t>
      </w:r>
    </w:p>
    <w:p>
      <w:pPr>
        <w:spacing w:after="0" w:line="120" w:lineRule="exact"/>
        <w:rPr>
          <w:sz w:val="20"/>
          <w:szCs w:val="20"/>
          <w:color w:val="auto"/>
        </w:rPr>
      </w:pPr>
    </w:p>
    <w:p>
      <w:pPr>
        <w:ind w:right="20" w:firstLine="555"/>
        <w:spacing w:after="0" w:line="244" w:lineRule="auto"/>
        <w:rPr>
          <w:sz w:val="20"/>
          <w:szCs w:val="20"/>
          <w:color w:val="auto"/>
        </w:rPr>
      </w:pPr>
      <w:r>
        <w:rPr>
          <w:rFonts w:ascii="Times New Roman" w:cs="Times New Roman" w:eastAsia="Times New Roman" w:hAnsi="Times New Roman"/>
          <w:sz w:val="20"/>
          <w:szCs w:val="20"/>
          <w:color w:val="auto"/>
        </w:rPr>
        <w:t>Further, our product candidates could cause undesirable side effects in clinical trials. If side effects are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For example, in May 2024, we announced that we were discontinuing development of our TNG348 program due to liver toxicity observed in the dose escalation portion of our Phase 1/2 clinical trial.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There can be no assurance that any of our current or future clinical trials will ultimately be successful or support further clinical development or regulatory approval of any of our product candidates.</w:t>
      </w:r>
    </w:p>
    <w:p>
      <w:pPr>
        <w:spacing w:after="0" w:line="122" w:lineRule="exact"/>
        <w:rPr>
          <w:sz w:val="20"/>
          <w:szCs w:val="20"/>
          <w:color w:val="auto"/>
        </w:rPr>
      </w:pPr>
    </w:p>
    <w:p>
      <w:pPr>
        <w:ind w:right="40" w:firstLine="555"/>
        <w:spacing w:after="0" w:line="242" w:lineRule="auto"/>
        <w:rPr>
          <w:sz w:val="20"/>
          <w:szCs w:val="20"/>
          <w:color w:val="auto"/>
        </w:rPr>
      </w:pPr>
      <w:r>
        <w:rPr>
          <w:rFonts w:ascii="Times New Roman" w:cs="Times New Roman" w:eastAsia="Times New Roman" w:hAnsi="Times New Roman"/>
          <w:sz w:val="20"/>
          <w:szCs w:val="20"/>
          <w:color w:val="auto"/>
        </w:rPr>
        <w:t>Certain of our product candidates will be used, and future product candidates may be used, in combination with one or more cancer therapies. The uncertainty resulting from the use of our product candidates in combination with other cancer therapies may make it difficult to accurately predict side effects in future clinical trials or the combination product may cause negative effects resulting from drug-drug interactions in clinical trials. As is the case with many treatments for cancer and rare diseases, it is likely that there may be side effects associated with the use of our product candidates. If significant adverse events or other side effects are observed in the clinical trials of our product candidates or when used in combination with another therapy, we may have difficulty recruiting patients to our clinical trials, patients may drop out of our clinical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For example, in May 2024, we announced that we were discontinuing development of our TNG348 program due to liver toxicity observed in the dose escalation portion of our Phase 1/2 clinical trial. Even if the side effects do not preclude the monotherapy or the combination products from obtaining or maintaining regulatory approval, undesirable side effects may inhibit market acceptance of the approved combination products due to their tolerability versus other therapies. Any of these developments could materially harm our business, operating results, financial condition and prospects.</w:t>
      </w:r>
    </w:p>
    <w:p>
      <w:pPr>
        <w:spacing w:after="0" w:line="21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68" w:lineRule="exact"/>
        <w:rPr>
          <w:sz w:val="20"/>
          <w:szCs w:val="20"/>
          <w:color w:val="auto"/>
        </w:rPr>
      </w:pPr>
    </w:p>
    <w:p>
      <w:pPr>
        <w:ind w:right="80" w:firstLine="555"/>
        <w:spacing w:after="0" w:line="249" w:lineRule="auto"/>
        <w:rPr>
          <w:sz w:val="20"/>
          <w:szCs w:val="20"/>
          <w:color w:val="auto"/>
        </w:rPr>
      </w:pPr>
      <w:r>
        <w:rPr>
          <w:rFonts w:ascii="Times New Roman" w:cs="Times New Roman" w:eastAsia="Times New Roman" w:hAnsi="Times New Roman"/>
          <w:sz w:val="20"/>
          <w:szCs w:val="20"/>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are compelling biological rationales. We explore new programs based on extensive preclinical data analysis which sometimes cannot predict efficacy or safety in humans.</w:t>
      </w:r>
    </w:p>
    <w:p>
      <w:pPr>
        <w:spacing w:after="0" w:line="117" w:lineRule="exact"/>
        <w:rPr>
          <w:sz w:val="20"/>
          <w:szCs w:val="20"/>
          <w:color w:val="auto"/>
        </w:rPr>
      </w:pPr>
    </w:p>
    <w:p>
      <w:pPr>
        <w:ind w:right="60" w:firstLine="555"/>
        <w:spacing w:after="0" w:line="244" w:lineRule="auto"/>
        <w:rPr>
          <w:sz w:val="20"/>
          <w:szCs w:val="20"/>
          <w:color w:val="auto"/>
        </w:rPr>
      </w:pPr>
      <w:r>
        <w:rPr>
          <w:rFonts w:ascii="Times New Roman" w:cs="Times New Roman" w:eastAsia="Times New Roman" w:hAnsi="Times New Roman"/>
          <w:sz w:val="20"/>
          <w:szCs w:val="20"/>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42" w:lineRule="exact"/>
        <w:rPr>
          <w:sz w:val="20"/>
          <w:szCs w:val="20"/>
          <w:color w:val="auto"/>
        </w:rPr>
      </w:pPr>
    </w:p>
    <w:p>
      <w:pPr>
        <w:ind w:right="220" w:firstLine="555"/>
        <w:spacing w:after="0" w:line="249" w:lineRule="auto"/>
        <w:rPr>
          <w:sz w:val="20"/>
          <w:szCs w:val="20"/>
          <w:color w:val="auto"/>
        </w:rPr>
      </w:pPr>
      <w:r>
        <w:rPr>
          <w:rFonts w:ascii="Times New Roman" w:cs="Times New Roman" w:eastAsia="Times New Roman" w:hAnsi="Times New Roman"/>
          <w:sz w:val="20"/>
          <w:szCs w:val="20"/>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w:t>
      </w:r>
    </w:p>
    <w:p>
      <w:pPr>
        <w:sectPr>
          <w:pgSz w:w="12960" w:h="16560" w:orient="portrait"/>
          <w:cols w:equalWidth="0" w:num="1">
            <w:col w:w="10160"/>
          </w:cols>
          <w:pgMar w:left="1360" w:top="1420" w:right="1440" w:bottom="535" w:gutter="0" w:footer="0" w:header="0"/>
        </w:sectPr>
      </w:pP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960" w:h="16560" w:orient="portrait"/>
          <w:cols w:equalWidth="0" w:num="1">
            <w:col w:w="10160"/>
          </w:cols>
          <w:pgMar w:left="1360" w:top="1420" w:right="1440" w:bottom="535" w:gutter="0" w:footer="0" w:header="0"/>
          <w:type w:val="continuous"/>
        </w:sectPr>
      </w:pPr>
    </w:p>
    <w:bookmarkStart w:id="49" w:name="page50"/>
    <w:bookmarkEnd w:id="49"/>
    <w:p>
      <w:pPr>
        <w:ind w:right="140"/>
        <w:spacing w:after="0" w:line="246" w:lineRule="auto"/>
        <w:rPr>
          <w:sz w:val="20"/>
          <w:szCs w:val="20"/>
          <w:color w:val="auto"/>
        </w:rPr>
      </w:pPr>
      <w:r>
        <w:rPr>
          <w:rFonts w:ascii="Times New Roman" w:cs="Times New Roman" w:eastAsia="Times New Roman" w:hAnsi="Times New Roman"/>
          <w:sz w:val="20"/>
          <w:szCs w:val="20"/>
          <w:color w:val="auto"/>
        </w:rPr>
        <w:t>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and to identify clinical trial investigators to use our product candidates in trials.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200"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conduct clinical trials for our product candidates outside the United States, and the FDA and comparable foreign regulatory authorities may not accept data from such trials.</w:t>
      </w:r>
    </w:p>
    <w:p>
      <w:pPr>
        <w:spacing w:after="0" w:line="49" w:lineRule="exact"/>
        <w:rPr>
          <w:sz w:val="20"/>
          <w:szCs w:val="20"/>
          <w:color w:val="auto"/>
        </w:rPr>
      </w:pPr>
    </w:p>
    <w:p>
      <w:pPr>
        <w:ind w:right="40" w:firstLine="555"/>
        <w:spacing w:after="0" w:line="242" w:lineRule="auto"/>
        <w:rPr>
          <w:sz w:val="20"/>
          <w:szCs w:val="20"/>
          <w:color w:val="auto"/>
        </w:rPr>
      </w:pPr>
      <w:r>
        <w:rPr>
          <w:rFonts w:ascii="Times New Roman" w:cs="Times New Roman" w:eastAsia="Times New Roman" w:hAnsi="Times New Roman"/>
          <w:sz w:val="20"/>
          <w:szCs w:val="20"/>
          <w:color w:val="auto"/>
        </w:rPr>
        <w:t>We currently conduct certain clinical trials outside the United States, and expect we will continue to do so in the future, and these jurisdictions may include countries in Europe, Asia, Australia or other foreign jurisdictions. For example, we are conducting clinical trials for TNG462 in France and Spain.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approval being significantly delayed, or not receiving regulatory approval or clearance for commercialization in the applicable jurisdiction.</w:t>
      </w:r>
    </w:p>
    <w:p>
      <w:pPr>
        <w:spacing w:after="0" w:line="206"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fail to identify viable new product candidates for clinical development for a number of reasons. If we fail to identify additional product candidates, our business could be materially harmed.</w:t>
      </w:r>
    </w:p>
    <w:p>
      <w:pPr>
        <w:spacing w:after="0" w:line="49" w:lineRule="exact"/>
        <w:rPr>
          <w:sz w:val="20"/>
          <w:szCs w:val="20"/>
          <w:color w:val="auto"/>
        </w:rPr>
      </w:pPr>
    </w:p>
    <w:p>
      <w:pPr>
        <w:ind w:right="320" w:firstLine="562"/>
        <w:spacing w:after="0" w:line="247" w:lineRule="auto"/>
        <w:rPr>
          <w:sz w:val="20"/>
          <w:szCs w:val="20"/>
          <w:color w:val="auto"/>
        </w:rPr>
      </w:pPr>
      <w:r>
        <w:rPr>
          <w:rFonts w:ascii="Times New Roman" w:cs="Times New Roman" w:eastAsia="Times New Roman" w:hAnsi="Times New Roman"/>
          <w:sz w:val="20"/>
          <w:szCs w:val="20"/>
          <w:color w:val="auto"/>
        </w:rPr>
        <w:t>The ongoing success of businesses in the biopharmaceutical industry depends, to a large extent, on the ability to continue to introduce new products, especially as exclusivity rights to approved therapies or in certain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target screening technology and research programs may fail to yield potential products for clinical development for a number of reasons, including:</w:t>
      </w:r>
    </w:p>
    <w:p>
      <w:pPr>
        <w:spacing w:after="0" w:line="94" w:lineRule="exact"/>
        <w:rPr>
          <w:sz w:val="20"/>
          <w:szCs w:val="20"/>
          <w:color w:val="auto"/>
        </w:rPr>
      </w:pPr>
    </w:p>
    <w:p>
      <w:pPr>
        <w:ind w:right="160" w:firstLine="8"/>
        <w:spacing w:after="0" w:line="258" w:lineRule="auto"/>
        <w:tabs>
          <w:tab w:leader="none" w:pos="192"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research methodology used may not be successful in identifying potential indications and/or product candidates (or the development of a chemical compound or formulation that has the desired safety and efficacy cannot be developed);</w:t>
      </w:r>
    </w:p>
    <w:p>
      <w:pPr>
        <w:spacing w:after="0" w:line="1" w:lineRule="exact"/>
        <w:rPr>
          <w:rFonts w:ascii="Arial" w:cs="Arial" w:eastAsia="Arial" w:hAnsi="Arial"/>
          <w:sz w:val="20"/>
          <w:szCs w:val="20"/>
          <w:color w:val="auto"/>
        </w:rPr>
      </w:pPr>
    </w:p>
    <w:p>
      <w:pPr>
        <w:ind w:right="120" w:firstLine="8"/>
        <w:spacing w:after="0" w:line="247" w:lineRule="auto"/>
        <w:tabs>
          <w:tab w:leader="none" w:pos="192"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candidates may, after further study, be shown to have harmful adverse effects or other characteristics that indicate they are unlikely to be effective products; or</w:t>
      </w:r>
    </w:p>
    <w:p>
      <w:pPr>
        <w:ind w:right="20" w:firstLine="8"/>
        <w:spacing w:after="0" w:line="247" w:lineRule="auto"/>
        <w:tabs>
          <w:tab w:leader="none" w:pos="192"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98" w:lineRule="exact"/>
        <w:rPr>
          <w:sz w:val="20"/>
          <w:szCs w:val="20"/>
          <w:color w:val="auto"/>
        </w:rPr>
      </w:pPr>
    </w:p>
    <w:p>
      <w:pPr>
        <w:ind w:right="80" w:firstLine="555"/>
        <w:spacing w:after="0" w:line="249" w:lineRule="auto"/>
        <w:rPr>
          <w:sz w:val="20"/>
          <w:szCs w:val="20"/>
          <w:color w:val="auto"/>
        </w:rPr>
      </w:pPr>
      <w:r>
        <w:rPr>
          <w:rFonts w:ascii="Times New Roman" w:cs="Times New Roman" w:eastAsia="Times New Roman" w:hAnsi="Times New Roman"/>
          <w:sz w:val="20"/>
          <w:szCs w:val="20"/>
          <w:color w:val="auto"/>
        </w:rPr>
        <w:t>Because we have limited financial and human resources, we intend to initially focus on research programs and product candidates for a limited set of indications. As a result, we may forego or delay pursuit of opportunities of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97" w:lineRule="exact"/>
        <w:rPr>
          <w:sz w:val="20"/>
          <w:szCs w:val="20"/>
          <w:color w:val="auto"/>
        </w:rPr>
      </w:pPr>
    </w:p>
    <w:p>
      <w:pPr>
        <w:ind w:right="80" w:firstLine="555"/>
        <w:spacing w:after="0" w:line="258" w:lineRule="auto"/>
        <w:rPr>
          <w:sz w:val="20"/>
          <w:szCs w:val="20"/>
          <w:color w:val="auto"/>
        </w:rPr>
      </w:pPr>
      <w:r>
        <w:rPr>
          <w:rFonts w:ascii="Times New Roman" w:cs="Times New Roman" w:eastAsia="Times New Roman" w:hAnsi="Times New Roman"/>
          <w:sz w:val="20"/>
          <w:szCs w:val="20"/>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960" w:h="16560" w:orient="portrait"/>
          <w:cols w:equalWidth="0" w:num="1">
            <w:col w:w="10160"/>
          </w:cols>
          <w:pgMar w:left="1360" w:top="1420" w:right="1440" w:bottom="535" w:gutter="0" w:footer="0" w:header="0"/>
          <w:type w:val="continuous"/>
        </w:sectPr>
      </w:pPr>
    </w:p>
    <w:bookmarkStart w:id="50" w:name="page51"/>
    <w:bookmarkEnd w:id="50"/>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8" w:lineRule="exact"/>
        <w:rPr>
          <w:sz w:val="20"/>
          <w:szCs w:val="20"/>
          <w:color w:val="auto"/>
        </w:rPr>
      </w:pPr>
    </w:p>
    <w:p>
      <w:pPr>
        <w:ind w:right="20" w:firstLine="555"/>
        <w:spacing w:after="0" w:line="242" w:lineRule="auto"/>
        <w:rPr>
          <w:sz w:val="20"/>
          <w:szCs w:val="20"/>
          <w:color w:val="auto"/>
        </w:rPr>
      </w:pPr>
      <w:r>
        <w:rPr>
          <w:rFonts w:ascii="Times New Roman" w:cs="Times New Roman" w:eastAsia="Times New Roman" w:hAnsi="Times New Roman"/>
          <w:sz w:val="20"/>
          <w:szCs w:val="20"/>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Although we received FDA clearance of five of our IND applications for each of TNG908, TNG462, TNG260, TNG348, and TNG456, we have since discontinued development in TNG348 and TNG908.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84" w:lineRule="exact"/>
        <w:rPr>
          <w:sz w:val="20"/>
          <w:szCs w:val="20"/>
          <w:color w:val="auto"/>
        </w:rPr>
      </w:pPr>
    </w:p>
    <w:p>
      <w:pPr>
        <w:ind w:firstLine="562"/>
        <w:spacing w:after="0" w:line="244" w:lineRule="auto"/>
        <w:rPr>
          <w:sz w:val="20"/>
          <w:szCs w:val="20"/>
          <w:color w:val="auto"/>
        </w:rPr>
      </w:pPr>
      <w:r>
        <w:rPr>
          <w:rFonts w:ascii="Times New Roman" w:cs="Times New Roman" w:eastAsia="Times New Roman" w:hAnsi="Times New Roman"/>
          <w:sz w:val="20"/>
          <w:szCs w:val="20"/>
          <w:color w:val="auto"/>
        </w:rPr>
        <w:t>The process of obtaining regulatory approvals, both in the United States and foreign jurisdictions,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96"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w:t>
      </w:r>
    </w:p>
    <w:p>
      <w:pPr>
        <w:spacing w:after="0" w:line="35" w:lineRule="exact"/>
        <w:rPr>
          <w:rFonts w:ascii="Arial" w:cs="Arial" w:eastAsia="Arial" w:hAnsi="Arial"/>
          <w:sz w:val="20"/>
          <w:szCs w:val="20"/>
          <w:color w:val="auto"/>
        </w:rPr>
      </w:pPr>
    </w:p>
    <w:p>
      <w:pPr>
        <w:jc w:val="both"/>
        <w:ind w:right="120" w:firstLine="8"/>
        <w:spacing w:after="0" w:line="245" w:lineRule="auto"/>
        <w:tabs>
          <w:tab w:leader="none" w:pos="192"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ind w:right="400" w:firstLine="8"/>
        <w:spacing w:after="0" w:line="247" w:lineRule="auto"/>
        <w:tabs>
          <w:tab w:leader="none" w:pos="192"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ind w:left="200" w:hanging="192"/>
        <w:spacing w:after="0"/>
        <w:tabs>
          <w:tab w:leader="none" w:pos="2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13" w:lineRule="exact"/>
        <w:rPr>
          <w:rFonts w:ascii="Arial" w:cs="Arial" w:eastAsia="Arial" w:hAnsi="Arial"/>
          <w:sz w:val="20"/>
          <w:szCs w:val="20"/>
          <w:color w:val="auto"/>
        </w:rPr>
      </w:pPr>
    </w:p>
    <w:p>
      <w:pPr>
        <w:ind w:right="120" w:firstLine="8"/>
        <w:spacing w:after="0" w:line="247" w:lineRule="auto"/>
        <w:tabs>
          <w:tab w:leader="none" w:pos="192"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or other submission or to obtain regulatory approval in the United States or elsewhere;</w:t>
      </w:r>
    </w:p>
    <w:p>
      <w:pPr>
        <w:spacing w:after="0" w:line="1" w:lineRule="exact"/>
        <w:rPr>
          <w:rFonts w:ascii="Arial" w:cs="Arial" w:eastAsia="Arial" w:hAnsi="Arial"/>
          <w:sz w:val="20"/>
          <w:szCs w:val="20"/>
          <w:color w:val="auto"/>
        </w:rPr>
      </w:pPr>
    </w:p>
    <w:p>
      <w:pPr>
        <w:ind w:right="560" w:firstLine="8"/>
        <w:spacing w:after="0" w:line="260" w:lineRule="auto"/>
        <w:tabs>
          <w:tab w:leader="none" w:pos="192"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9"/>
          <w:szCs w:val="19"/>
          <w:color w:val="auto"/>
        </w:rPr>
        <w:t>the FDA or comparable foreign regulatory authorities may find deficiencies with or fail to approve the manufacturing processes or facilities of third-party manufacturers with which we contract for clinical and commercial supplies;</w:t>
      </w:r>
    </w:p>
    <w:p>
      <w:pPr>
        <w:ind w:right="100" w:firstLine="8"/>
        <w:spacing w:after="0" w:line="247" w:lineRule="auto"/>
        <w:tabs>
          <w:tab w:leader="none" w:pos="192"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such that our clinical data are insufficient for approval; and</w:t>
      </w:r>
    </w:p>
    <w:p>
      <w:pPr>
        <w:ind w:left="160" w:hanging="152"/>
        <w:spacing w:after="0"/>
        <w:tabs>
          <w:tab w:leader="none" w:pos="16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due to the factors identified above in this and other risk factors;</w:t>
      </w:r>
    </w:p>
    <w:p>
      <w:pPr>
        <w:spacing w:after="0" w:line="218" w:lineRule="exact"/>
        <w:rPr>
          <w:sz w:val="20"/>
          <w:szCs w:val="20"/>
          <w:color w:val="auto"/>
        </w:rPr>
      </w:pPr>
    </w:p>
    <w:p>
      <w:pPr>
        <w:ind w:right="220" w:firstLine="555"/>
        <w:spacing w:after="0" w:line="246" w:lineRule="auto"/>
        <w:rPr>
          <w:sz w:val="20"/>
          <w:szCs w:val="20"/>
          <w:color w:val="auto"/>
        </w:rPr>
      </w:pPr>
      <w:r>
        <w:rPr>
          <w:rFonts w:ascii="Times New Roman" w:cs="Times New Roman" w:eastAsia="Times New Roman" w:hAnsi="Times New Roman"/>
          <w:sz w:val="20"/>
          <w:szCs w:val="20"/>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or may require extensive health economics and outcomes analysis to determine if the product candidate provides health outcomes consistent with the costs of the therapy. Any of the foregoing scenarios could materially harm the commercial prospects for our product candidates.</w:t>
      </w:r>
    </w:p>
    <w:p>
      <w:pPr>
        <w:spacing w:after="0" w:line="200" w:lineRule="exact"/>
        <w:rPr>
          <w:sz w:val="20"/>
          <w:szCs w:val="20"/>
          <w:color w:val="auto"/>
        </w:rPr>
      </w:pPr>
    </w:p>
    <w:p>
      <w:pPr>
        <w:ind w:right="680" w:firstLine="555"/>
        <w:spacing w:after="0" w:line="305" w:lineRule="auto"/>
        <w:rPr>
          <w:sz w:val="20"/>
          <w:szCs w:val="20"/>
          <w:color w:val="auto"/>
        </w:rPr>
      </w:pPr>
      <w:r>
        <w:rPr>
          <w:rFonts w:ascii="Times New Roman" w:cs="Times New Roman" w:eastAsia="Times New Roman" w:hAnsi="Times New Roman"/>
          <w:sz w:val="19"/>
          <w:szCs w:val="19"/>
          <w:color w:val="auto"/>
        </w:rPr>
        <w:t>If we experience delays in obtaining, or if we fail to obtain, approval of our product candidates, the commercial prospects for our product candidates may be harmed and our ability to generate revenue will be materially impaired.</w:t>
      </w:r>
    </w:p>
    <w:p>
      <w:pPr>
        <w:sectPr>
          <w:pgSz w:w="12960" w:h="16560" w:orient="portrait"/>
          <w:cols w:equalWidth="0" w:num="1">
            <w:col w:w="10160"/>
          </w:cols>
          <w:pgMar w:left="1360" w:top="1420" w:right="1440" w:bottom="535" w:gutter="0" w:footer="0" w:header="0"/>
        </w:sectPr>
      </w:pP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960" w:h="16560" w:orient="portrait"/>
          <w:cols w:equalWidth="0" w:num="1">
            <w:col w:w="10160"/>
          </w:cols>
          <w:pgMar w:left="1360" w:top="1420" w:right="1440" w:bottom="535" w:gutter="0" w:footer="0" w:header="0"/>
          <w:type w:val="continuous"/>
        </w:sectPr>
      </w:pPr>
    </w:p>
    <w:bookmarkStart w:id="51" w:name="page52"/>
    <w:bookmarkEnd w:id="51"/>
    <w:p>
      <w:pPr>
        <w:ind w:right="3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Public health crises, such as a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68" w:lineRule="exact"/>
        <w:rPr>
          <w:sz w:val="20"/>
          <w:szCs w:val="20"/>
          <w:color w:val="auto"/>
        </w:rPr>
      </w:pPr>
    </w:p>
    <w:p>
      <w:pPr>
        <w:ind w:right="40" w:firstLine="555"/>
        <w:spacing w:after="0" w:line="242" w:lineRule="auto"/>
        <w:rPr>
          <w:sz w:val="20"/>
          <w:szCs w:val="20"/>
          <w:color w:val="auto"/>
        </w:rPr>
      </w:pPr>
      <w:r>
        <w:rPr>
          <w:rFonts w:ascii="Times New Roman" w:cs="Times New Roman" w:eastAsia="Times New Roman" w:hAnsi="Times New Roman"/>
          <w:sz w:val="20"/>
          <w:szCs w:val="20"/>
          <w:color w:val="auto"/>
        </w:rPr>
        <w:t>Public health crises such as pandemics or similar outbreaks, such as COVID-19, could adversely impact our business. The extent to which pandemics or epidemics impacts our operations or those of our third-party partners, including our preclinical studies and clinical trial operations, will depend on future developments, which are highly uncertain and cannot be predicted with confidence and could adversely impact our preclinical or current and future clinical trial operations in the United States and foreign jurisdictions, including our ability to recruit and retain patients and principal investigators and site staff who, as healthcare providers, may have heightened exposure to pandemics or epidemics if an outbreak occurs in their geography. For example, similar to other biopharmaceutical companies, we may experience delays in initiating IND-enabling studies, protocol deviations, delays in enrolling our clinical trials, or dosing of patients in our clinical trials as well as in activating new trial sites. Epidemic or pandemics, such as COVID-19, may also affect employees of third-party CROs located in affected geographies that we expect that we will rely upon to carry out our clinical trials. Any negative impact that a pandemic or epidemic has on patient enrollment or treatment or the execution of clinical trials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213" w:lineRule="exact"/>
        <w:rPr>
          <w:sz w:val="20"/>
          <w:szCs w:val="20"/>
          <w:color w:val="auto"/>
        </w:rPr>
      </w:pPr>
    </w:p>
    <w:p>
      <w:pPr>
        <w:ind w:right="360" w:firstLine="555"/>
        <w:spacing w:after="0" w:line="277" w:lineRule="auto"/>
        <w:rPr>
          <w:sz w:val="20"/>
          <w:szCs w:val="20"/>
          <w:color w:val="auto"/>
        </w:rPr>
      </w:pPr>
      <w:r>
        <w:rPr>
          <w:rFonts w:ascii="Times New Roman" w:cs="Times New Roman" w:eastAsia="Times New Roman" w:hAnsi="Times New Roman"/>
          <w:sz w:val="20"/>
          <w:szCs w:val="20"/>
          <w:color w:val="auto"/>
        </w:rPr>
        <w:t>Additionally, timely enrollment in planned clinical trials and the reporting of clinical trial results is dependent upon clinical trial sites which could be adversely affected by global health matters, such as pandemics.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w:t>
      </w:r>
    </w:p>
    <w:p>
      <w:pPr>
        <w:spacing w:after="0" w:line="24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49" w:lineRule="exact"/>
        <w:rPr>
          <w:sz w:val="20"/>
          <w:szCs w:val="20"/>
          <w:color w:val="auto"/>
        </w:rPr>
      </w:pPr>
    </w:p>
    <w:p>
      <w:pPr>
        <w:ind w:right="80" w:firstLine="555"/>
        <w:spacing w:after="0" w:line="243" w:lineRule="auto"/>
        <w:rPr>
          <w:sz w:val="20"/>
          <w:szCs w:val="20"/>
          <w:color w:val="auto"/>
        </w:rPr>
      </w:pPr>
      <w:r>
        <w:rPr>
          <w:rFonts w:ascii="Times New Roman" w:cs="Times New Roman" w:eastAsia="Times New Roman" w:hAnsi="Times New Roman"/>
          <w:sz w:val="20"/>
          <w:szCs w:val="20"/>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many other companies focusing on precision oncology to develop therapies in the fields of cancer and other diseases. Specifically, with respect to TNG462 and TNG456, we are aware that Bristol Myers Squibb (which acquired Mirati), Amgen, AstraZeneca, Beigene and Abbisko each have a clinical MTA-cooperative PRMT5 inhibitor program that have commenced clinical trials, using the same mechanism of action as TNG462 and TNG456. Other companies have announced PRMT5 inhibitor programs, including Gilead Sciences and IDEAYA Biosciences, and they may initiate clinical trials in the near future. Additionally, there are other indirect competitors running clinical trials in the PRMT5 inhibition space, including IDEAYA Biosciences, Beigene, Insilico Medicine and Servier Pharmaceuticals, which each have clinical MAT2A inhibitor programs.</w:t>
      </w:r>
    </w:p>
    <w:p>
      <w:pPr>
        <w:spacing w:after="0" w:line="88" w:lineRule="exact"/>
        <w:rPr>
          <w:sz w:val="20"/>
          <w:szCs w:val="20"/>
          <w:color w:val="auto"/>
        </w:rPr>
      </w:pPr>
    </w:p>
    <w:p>
      <w:pPr>
        <w:ind w:right="340" w:firstLine="555"/>
        <w:spacing w:after="0" w:line="258" w:lineRule="auto"/>
        <w:rPr>
          <w:sz w:val="20"/>
          <w:szCs w:val="20"/>
          <w:color w:val="auto"/>
        </w:rPr>
      </w:pPr>
      <w:r>
        <w:rPr>
          <w:rFonts w:ascii="Times New Roman" w:cs="Times New Roman" w:eastAsia="Times New Roman" w:hAnsi="Times New Roman"/>
          <w:sz w:val="20"/>
          <w:szCs w:val="20"/>
          <w:color w:val="auto"/>
        </w:rPr>
        <w:t>We are not aware of any direct competition from other companies developing a similar mechanism as TNG260, our CoREST inhibitor program. Indirect competition may come from LSD1 inhibitor programs that target a different class of HDAC inhibitors than TNG260. We are aware that Jubilant Therapeutics has a LSD1-HDAC6 clinical program.</w:t>
      </w:r>
    </w:p>
    <w:p>
      <w:pPr>
        <w:spacing w:after="0" w:line="188" w:lineRule="exact"/>
        <w:rPr>
          <w:sz w:val="20"/>
          <w:szCs w:val="20"/>
          <w:color w:val="auto"/>
        </w:rPr>
      </w:pPr>
    </w:p>
    <w:p>
      <w:pPr>
        <w:ind w:right="20" w:firstLine="555"/>
        <w:spacing w:after="0" w:line="259" w:lineRule="auto"/>
        <w:rPr>
          <w:sz w:val="20"/>
          <w:szCs w:val="20"/>
          <w:color w:val="auto"/>
        </w:rPr>
      </w:pPr>
      <w:r>
        <w:rPr>
          <w:rFonts w:ascii="Times New Roman" w:cs="Times New Roman" w:eastAsia="Times New Roman" w:hAnsi="Times New Roman"/>
          <w:sz w:val="19"/>
          <w:szCs w:val="19"/>
          <w:color w:val="auto"/>
        </w:rPr>
        <w:t>All of our programs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AstraZeneca, and Bristol Myers Squibb. We face competition with respect to our current product candidates, and expect that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ind w:right="120" w:firstLine="555"/>
        <w:spacing w:after="0" w:line="247" w:lineRule="auto"/>
        <w:rPr>
          <w:sz w:val="20"/>
          <w:szCs w:val="20"/>
          <w:color w:val="auto"/>
        </w:rPr>
      </w:pPr>
      <w:r>
        <w:rPr>
          <w:rFonts w:ascii="Times New Roman" w:cs="Times New Roman" w:eastAsia="Times New Roman" w:hAnsi="Times New Roman"/>
          <w:sz w:val="20"/>
          <w:szCs w:val="20"/>
          <w:color w:val="auto"/>
        </w:rPr>
        <w:t>Any product candidates that we successfully develop and commercialize will compete with currently approved therapies and new therapies that may become available in the future from segments of the pharmaceutical, biotechnology and other related markets. We believe principal competitive factors to our business include, among other things, our ability to identify biomarkers and third-party genetic and other screening services that include the applicable biomarkers in their test panels, ability to successfully transition research programs into clinical development, and the scalability of the platform, pipeline, and business. The key competitive factors affecting the success of all of our product candidates, if approved, are</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960" w:h="16560" w:orient="portrait"/>
          <w:cols w:equalWidth="0" w:num="1">
            <w:col w:w="10160"/>
          </w:cols>
          <w:pgMar w:left="1360" w:top="1420" w:right="1440" w:bottom="535" w:gutter="0" w:footer="0" w:header="0"/>
          <w:type w:val="continuous"/>
        </w:sectPr>
      </w:pPr>
    </w:p>
    <w:bookmarkStart w:id="52" w:name="page53"/>
    <w:bookmarkEnd w:id="52"/>
    <w:p>
      <w:pPr>
        <w:ind w:right="120"/>
        <w:spacing w:after="0" w:line="277" w:lineRule="auto"/>
        <w:rPr>
          <w:sz w:val="20"/>
          <w:szCs w:val="20"/>
          <w:color w:val="auto"/>
        </w:rPr>
      </w:pPr>
      <w:r>
        <w:rPr>
          <w:rFonts w:ascii="Times New Roman" w:cs="Times New Roman" w:eastAsia="Times New Roman" w:hAnsi="Times New Roman"/>
          <w:sz w:val="20"/>
          <w:szCs w:val="20"/>
          <w:color w:val="auto"/>
        </w:rPr>
        <w:t>likely to be their efficacy, safety, convenience, price, level of generic competition and novel competition that utilize the same or similar mechanism of action and availability of reimbursement from government and other third-party payors.</w:t>
      </w:r>
    </w:p>
    <w:p>
      <w:pPr>
        <w:spacing w:after="0" w:line="169" w:lineRule="exact"/>
        <w:rPr>
          <w:sz w:val="20"/>
          <w:szCs w:val="20"/>
          <w:color w:val="auto"/>
        </w:rPr>
      </w:pPr>
    </w:p>
    <w:p>
      <w:pPr>
        <w:ind w:right="60" w:firstLine="555"/>
        <w:spacing w:after="0" w:line="244" w:lineRule="auto"/>
        <w:rPr>
          <w:sz w:val="20"/>
          <w:szCs w:val="20"/>
          <w:color w:val="auto"/>
        </w:rPr>
      </w:pPr>
      <w:r>
        <w:rPr>
          <w:rFonts w:ascii="Times New Roman" w:cs="Times New Roman" w:eastAsia="Times New Roman" w:hAnsi="Times New Roman"/>
          <w:sz w:val="20"/>
          <w:szCs w:val="20"/>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such as the acquisition of Mirati by Bristol Myers Squibb.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6" w:lineRule="exact"/>
        <w:rPr>
          <w:sz w:val="20"/>
          <w:szCs w:val="20"/>
          <w:color w:val="auto"/>
        </w:rPr>
      </w:pPr>
    </w:p>
    <w:p>
      <w:pPr>
        <w:ind w:right="20" w:firstLine="555"/>
        <w:spacing w:after="0" w:line="249"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(if any) may develop. Our competitors also may obtain FDA or other regulatory approval for their products sooner than we may obtain approval for ours, which could result in our competitors establishing a strong market position before we or our collaborators (if any) are able to enter the market.</w:t>
      </w:r>
    </w:p>
    <w:p>
      <w:pPr>
        <w:spacing w:after="0" w:line="227"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68" w:lineRule="exact"/>
        <w:rPr>
          <w:sz w:val="20"/>
          <w:szCs w:val="20"/>
          <w:color w:val="auto"/>
        </w:rPr>
      </w:pPr>
    </w:p>
    <w:p>
      <w:pPr>
        <w:ind w:firstLine="555"/>
        <w:spacing w:after="0" w:line="243" w:lineRule="auto"/>
        <w:rPr>
          <w:sz w:val="20"/>
          <w:szCs w:val="20"/>
          <w:color w:val="auto"/>
        </w:rPr>
      </w:pPr>
      <w:r>
        <w:rPr>
          <w:rFonts w:ascii="Times New Roman" w:cs="Times New Roman" w:eastAsia="Times New Roman" w:hAnsi="Times New Roman"/>
          <w:sz w:val="20"/>
          <w:szCs w:val="20"/>
          <w:color w:val="auto"/>
        </w:rPr>
        <w:t>The incidence and prevalence for the target patient populations of our programs and product candidates have not been established with precision. TNG462 and TNG456 are both oral small molecule inhibitors of PRMT5. We are developing TNG462 for the treatment of patients with solid tumors with MTAP deletion, a genetic alteration that occurs in 10% to 15% of all human tumors, with a particular focus on pancreatic and lung cancer. Our next generation, brain-penetrant PRMT5 product candidate is TNG456. Since TNG456 crosses the blood-brain barrier in preclinical non-human primate models, we intend our development program to have a particular focus on patients with GBM. Additionally, TNG260 is a first-in-class, CoREST inhibitor, which reverses the immune evasion effect of STK11 loss-of-function mutations. STK11 loss-of-function mutations are a genetic alteration in approximately 20% of lung, 15% of cervical, 10% carcinoma of unknown primary, 5% of breast and 3% of pancreatic cancers. Our projections of both the number of people who have these diseases, as well as the subset of people with these diseases who have the potential to benefit from treatment with our product candidates, are based on our and third parties' estimates.</w:t>
      </w:r>
    </w:p>
    <w:p>
      <w:pPr>
        <w:spacing w:after="0" w:line="208" w:lineRule="exact"/>
        <w:rPr>
          <w:sz w:val="20"/>
          <w:szCs w:val="20"/>
          <w:color w:val="auto"/>
        </w:rPr>
      </w:pPr>
    </w:p>
    <w:p>
      <w:pPr>
        <w:ind w:right="20" w:firstLine="555"/>
        <w:spacing w:after="0" w:line="244" w:lineRule="auto"/>
        <w:rPr>
          <w:sz w:val="20"/>
          <w:szCs w:val="20"/>
          <w:color w:val="auto"/>
        </w:rPr>
      </w:pPr>
      <w:r>
        <w:rPr>
          <w:rFonts w:ascii="Times New Roman" w:cs="Times New Roman" w:eastAsia="Times New Roman" w:hAnsi="Times New Roman"/>
          <w:sz w:val="20"/>
          <w:szCs w:val="20"/>
          <w:color w:val="auto"/>
        </w:rPr>
        <w:t>The total addressable market opportunity will ultimately depend upon, among other things, the diagnosis criteria included in the final label (if approved for marketing),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20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49" w:lineRule="exact"/>
        <w:rPr>
          <w:sz w:val="20"/>
          <w:szCs w:val="20"/>
          <w:color w:val="auto"/>
        </w:rPr>
      </w:pPr>
    </w:p>
    <w:p>
      <w:pPr>
        <w:ind w:right="40" w:firstLine="555"/>
        <w:spacing w:after="0" w:line="243" w:lineRule="auto"/>
        <w:rPr>
          <w:sz w:val="20"/>
          <w:szCs w:val="20"/>
          <w:color w:val="auto"/>
        </w:rPr>
      </w:pPr>
      <w:r>
        <w:rPr>
          <w:rFonts w:ascii="Times New Roman" w:cs="Times New Roman" w:eastAsia="Times New Roman" w:hAnsi="Times New Roman"/>
          <w:sz w:val="20"/>
          <w:szCs w:val="20"/>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are unsafe, whether related to our or our competitors’ products, our potential future products may not be accepted by the general public or the medical community. Future adverse events in</w:t>
      </w:r>
    </w:p>
    <w:p>
      <w:pPr>
        <w:sectPr>
          <w:pgSz w:w="12960" w:h="16560" w:orient="portrait"/>
          <w:cols w:equalWidth="0" w:num="1">
            <w:col w:w="10160"/>
          </w:cols>
          <w:pgMar w:left="1360" w:top="1420" w:right="1440" w:bottom="535"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960" w:h="16560" w:orient="portrait"/>
          <w:cols w:equalWidth="0" w:num="1">
            <w:col w:w="10160"/>
          </w:cols>
          <w:pgMar w:left="1360" w:top="1420" w:right="1440" w:bottom="535" w:gutter="0" w:footer="0" w:header="0"/>
          <w:type w:val="continuous"/>
        </w:sectPr>
      </w:pPr>
    </w:p>
    <w:bookmarkStart w:id="53" w:name="page54"/>
    <w:bookmarkEnd w:id="53"/>
    <w:p>
      <w:pPr>
        <w:ind w:right="80"/>
        <w:spacing w:after="0" w:line="277" w:lineRule="auto"/>
        <w:rPr>
          <w:sz w:val="20"/>
          <w:szCs w:val="20"/>
          <w:color w:val="auto"/>
        </w:rPr>
      </w:pPr>
      <w:r>
        <w:rPr>
          <w:rFonts w:ascii="Times New Roman" w:cs="Times New Roman" w:eastAsia="Times New Roman" w:hAnsi="Times New Roman"/>
          <w:sz w:val="20"/>
          <w:szCs w:val="20"/>
          <w:color w:val="auto"/>
        </w:rPr>
        <w:t>precision oncology, immuno-oncology or the biopharmaceutical industry could also result in greater governmental regulation, stricter labeling requirements and potential regulatory delays in the testing or approvals of our product candidates.</w:t>
      </w:r>
    </w:p>
    <w:p>
      <w:pPr>
        <w:spacing w:after="0" w:line="89" w:lineRule="exact"/>
        <w:rPr>
          <w:sz w:val="20"/>
          <w:szCs w:val="20"/>
          <w:color w:val="auto"/>
        </w:rPr>
      </w:pPr>
    </w:p>
    <w:p>
      <w:pPr>
        <w:jc w:val="both"/>
        <w:ind w:right="140" w:firstLine="562"/>
        <w:spacing w:after="0" w:line="252" w:lineRule="auto"/>
        <w:rPr>
          <w:sz w:val="20"/>
          <w:szCs w:val="20"/>
          <w:color w:val="auto"/>
        </w:rPr>
      </w:pPr>
      <w:r>
        <w:rPr>
          <w:rFonts w:ascii="Times New Roman" w:cs="Times New Roman" w:eastAsia="Times New Roman" w:hAnsi="Times New Roman"/>
          <w:sz w:val="20"/>
          <w:szCs w:val="20"/>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which will depend on a number of factors, we could be prevented from or significantly delayed in achieving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24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expect to continue to rely, on third parties to conduct our clinical trials.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4" w:lineRule="exact"/>
        <w:rPr>
          <w:sz w:val="20"/>
          <w:szCs w:val="20"/>
          <w:color w:val="auto"/>
        </w:rPr>
      </w:pPr>
    </w:p>
    <w:p>
      <w:pPr>
        <w:ind w:right="40" w:firstLine="555"/>
        <w:spacing w:after="0" w:line="247" w:lineRule="auto"/>
        <w:rPr>
          <w:sz w:val="20"/>
          <w:szCs w:val="20"/>
          <w:color w:val="auto"/>
        </w:rPr>
      </w:pPr>
      <w:r>
        <w:rPr>
          <w:rFonts w:ascii="Times New Roman" w:cs="Times New Roman" w:eastAsia="Times New Roman" w:hAnsi="Times New Roman"/>
          <w:sz w:val="20"/>
          <w:szCs w:val="20"/>
          <w:color w:val="auto"/>
        </w:rPr>
        <w:t>We do not have the ability to independently conduct clinical trials. We currently rely, and expect to continue to rely, on medical institutions, clinical investigators, contract laboratories and other third parties, such as CROs, to conduct or otherwise support clinical trials for our product candidates, including our current and future Phase 1/2 clinical trials of TNG462, TNG260 and TNG456, and for any other product candidates that emerge from our precision oncology programs. We may also rely on academic and private non-academic institutions to conduct and sponsor clinical trials relating to our product candidates.</w:t>
      </w:r>
    </w:p>
    <w:p>
      <w:pPr>
        <w:spacing w:after="0" w:line="80" w:lineRule="exact"/>
        <w:rPr>
          <w:sz w:val="20"/>
          <w:szCs w:val="20"/>
          <w:color w:val="auto"/>
        </w:rPr>
      </w:pPr>
    </w:p>
    <w:p>
      <w:pPr>
        <w:ind w:firstLine="555"/>
        <w:spacing w:after="0" w:line="244" w:lineRule="auto"/>
        <w:rPr>
          <w:sz w:val="20"/>
          <w:szCs w:val="20"/>
          <w:color w:val="auto"/>
        </w:rPr>
      </w:pPr>
      <w:r>
        <w:rPr>
          <w:rFonts w:ascii="Times New Roman" w:cs="Times New Roman" w:eastAsia="Times New Roman" w:hAnsi="Times New Roman"/>
          <w:sz w:val="20"/>
          <w:szCs w:val="20"/>
          <w:color w:val="auto"/>
        </w:rPr>
        <w:t>Since we rely on third parties for the execution of clinical trials for our product candidates, we control only certain aspects of their activities that will be important for the conduct of the trial (and such control that we do exercise may be based on contractual provisions that may be breached by the third-party). For example, for the Phase 1/2 clinical trials of TNG462, TNG456 and TNG260, we are and will rely on the same CRO for the conduct of each of these trials and, depending on the trial, one or a very limited number of manufacturers to manufacture the study drug to be used during the course of the trials. We are responsible for ensuring that each of our clinical trials is conducted and the applicable study drug is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22" w:lineRule="exact"/>
        <w:rPr>
          <w:sz w:val="20"/>
          <w:szCs w:val="20"/>
          <w:color w:val="auto"/>
        </w:rPr>
      </w:pPr>
    </w:p>
    <w:p>
      <w:pPr>
        <w:ind w:right="20" w:firstLine="555"/>
        <w:spacing w:after="0" w:line="242" w:lineRule="auto"/>
        <w:rPr>
          <w:sz w:val="20"/>
          <w:szCs w:val="20"/>
          <w:color w:val="auto"/>
        </w:rPr>
      </w:pPr>
      <w:r>
        <w:rPr>
          <w:rFonts w:ascii="Times New Roman" w:cs="Times New Roman" w:eastAsia="Times New Roman" w:hAnsi="Times New Roman"/>
          <w:sz w:val="20"/>
          <w:szCs w:val="20"/>
          <w:color w:val="auto"/>
        </w:rPr>
        <w:t>We, our principal investigators and our CROs are required to comply with regulations, including cGCP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clinical trial site staff or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current or future clinical trials will comply with GCP. In addition, our clinical trials generally must be conducted with product candidates produced under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29" w:lineRule="exact"/>
        <w:rPr>
          <w:sz w:val="20"/>
          <w:szCs w:val="20"/>
          <w:color w:val="auto"/>
        </w:rPr>
      </w:pPr>
    </w:p>
    <w:p>
      <w:pPr>
        <w:ind w:right="20" w:firstLine="555"/>
        <w:spacing w:after="0" w:line="245" w:lineRule="auto"/>
        <w:rPr>
          <w:sz w:val="20"/>
          <w:szCs w:val="20"/>
          <w:color w:val="auto"/>
        </w:rPr>
      </w:pPr>
      <w:r>
        <w:rPr>
          <w:rFonts w:ascii="Times New Roman" w:cs="Times New Roman" w:eastAsia="Times New Roman" w:hAnsi="Times New Roman"/>
          <w:sz w:val="20"/>
          <w:szCs w:val="20"/>
          <w:color w:val="auto"/>
        </w:rPr>
        <w:t>Although we have designed all of our current Phase 1/2 clinical trials,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202" w:lineRule="exact"/>
        <w:rPr>
          <w:sz w:val="20"/>
          <w:szCs w:val="20"/>
          <w:color w:val="auto"/>
        </w:rPr>
      </w:pPr>
    </w:p>
    <w:p>
      <w:pPr>
        <w:ind w:right="40" w:firstLine="555"/>
        <w:spacing w:after="0" w:line="277" w:lineRule="auto"/>
        <w:rPr>
          <w:sz w:val="20"/>
          <w:szCs w:val="20"/>
          <w:color w:val="auto"/>
        </w:rPr>
      </w:pPr>
      <w:r>
        <w:rPr>
          <w:rFonts w:ascii="Times New Roman" w:cs="Times New Roman" w:eastAsia="Times New Roman" w:hAnsi="Times New Roman"/>
          <w:sz w:val="20"/>
          <w:szCs w:val="20"/>
          <w:color w:val="auto"/>
        </w:rPr>
        <w:t>If the principal investigators or CROs do not perform clinical trials in a satisfactory manner, breach their obligations to us or fail to comply with regulatory requirements, the development, regulatory approval and commercialization of our product</w:t>
      </w:r>
    </w:p>
    <w:p>
      <w:pPr>
        <w:sectPr>
          <w:pgSz w:w="12960" w:h="16560" w:orient="portrait"/>
          <w:cols w:equalWidth="0" w:num="1">
            <w:col w:w="10160"/>
          </w:cols>
          <w:pgMar w:left="1360" w:top="1420" w:right="1440" w:bottom="535" w:gutter="0" w:footer="0" w:header="0"/>
        </w:sectPr>
      </w:pP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960" w:h="16560" w:orient="portrait"/>
          <w:cols w:equalWidth="0" w:num="1">
            <w:col w:w="10160"/>
          </w:cols>
          <w:pgMar w:left="1360" w:top="1420" w:right="1440" w:bottom="535" w:gutter="0" w:footer="0" w:header="0"/>
          <w:type w:val="continuous"/>
        </w:sectPr>
      </w:pPr>
    </w:p>
    <w:bookmarkStart w:id="54" w:name="page55"/>
    <w:bookmarkEnd w:id="54"/>
    <w:p>
      <w:pPr>
        <w:spacing w:after="0" w:line="249" w:lineRule="auto"/>
        <w:rPr>
          <w:sz w:val="20"/>
          <w:szCs w:val="20"/>
          <w:color w:val="auto"/>
        </w:rPr>
      </w:pPr>
      <w:r>
        <w:rPr>
          <w:rFonts w:ascii="Times New Roman" w:cs="Times New Roman" w:eastAsia="Times New Roman" w:hAnsi="Times New Roman"/>
          <w:sz w:val="20"/>
          <w:szCs w:val="20"/>
          <w:color w:val="auto"/>
        </w:rPr>
        <w:t>candidates may be delayed, we may not be able to obtain regulatory approval and commercialize our product candidates or our development program may be materially and irreversibly harmed. If we are unable to rely on clinical data collected by our principal investigators, clinical trial site staff or CROs, we could be required to repeat, extend the duration of, or increase the size of any clinical trials we conduct and this could significantly delay commercialization and require significantly greater expenditures.</w:t>
      </w:r>
    </w:p>
    <w:p>
      <w:pPr>
        <w:spacing w:after="0" w:line="197" w:lineRule="exact"/>
        <w:rPr>
          <w:sz w:val="20"/>
          <w:szCs w:val="20"/>
          <w:color w:val="auto"/>
        </w:rPr>
      </w:pPr>
    </w:p>
    <w:p>
      <w:pPr>
        <w:ind w:right="20" w:firstLine="555"/>
        <w:spacing w:after="0" w:line="244" w:lineRule="auto"/>
        <w:rPr>
          <w:sz w:val="20"/>
          <w:szCs w:val="20"/>
          <w:color w:val="auto"/>
        </w:rPr>
      </w:pPr>
      <w:r>
        <w:rPr>
          <w:rFonts w:ascii="Times New Roman" w:cs="Times New Roman" w:eastAsia="Times New Roman" w:hAnsi="Times New Roman"/>
          <w:sz w:val="20"/>
          <w:szCs w:val="20"/>
          <w:color w:val="auto"/>
        </w:rPr>
        <w:t>If any of our relationships with these third-party principal investigators, clinical trial sites or CROs terminate, we may not be able to enter into arrangements with alternative investigators (or clinical trial sites) and CROs at all, or on terms that are acceptable to us. If principal investigators, sites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failure to properly enter patient information into trial databases, or for other reasons, any clinical trials such principal investigators, sites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collaborations and we may seek to establish additional collaborations in the future, and we might not realize the anticipated benefits of such collaborations. If we are not able to establish additional collaborations on commercially reasonable terms, or at all, we may have to alter our development and commercialization plans.</w:t>
      </w:r>
    </w:p>
    <w:p>
      <w:pPr>
        <w:spacing w:after="0" w:line="68" w:lineRule="exact"/>
        <w:rPr>
          <w:sz w:val="20"/>
          <w:szCs w:val="20"/>
          <w:color w:val="auto"/>
        </w:rPr>
      </w:pPr>
    </w:p>
    <w:p>
      <w:pPr>
        <w:ind w:right="200" w:firstLine="562"/>
        <w:spacing w:after="0" w:line="252" w:lineRule="auto"/>
        <w:rPr>
          <w:sz w:val="20"/>
          <w:szCs w:val="20"/>
          <w:color w:val="auto"/>
        </w:rPr>
      </w:pPr>
      <w:r>
        <w:rPr>
          <w:rFonts w:ascii="Times New Roman" w:cs="Times New Roman" w:eastAsia="Times New Roman" w:hAnsi="Times New Roman"/>
          <w:sz w:val="20"/>
          <w:szCs w:val="20"/>
          <w:color w:val="auto"/>
        </w:rPr>
        <w:t>Our product development programs and the potential commercialization of our product candidates will require substantial additional cash to fund expenses. For some of our product candidates, we may decide to collaborate with other pharmaceutical and biotechnology companies, like our existing collaboration with Gilead, for the development and potential commercialization of those product candidates.</w:t>
      </w:r>
    </w:p>
    <w:p>
      <w:pPr>
        <w:spacing w:after="0" w:line="74" w:lineRule="exact"/>
        <w:rPr>
          <w:sz w:val="20"/>
          <w:szCs w:val="20"/>
          <w:color w:val="auto"/>
        </w:rPr>
      </w:pPr>
    </w:p>
    <w:p>
      <w:pPr>
        <w:jc w:val="both"/>
        <w:ind w:right="280" w:firstLine="562"/>
        <w:spacing w:after="0" w:line="249" w:lineRule="auto"/>
        <w:rPr>
          <w:sz w:val="20"/>
          <w:szCs w:val="20"/>
          <w:color w:val="auto"/>
        </w:rPr>
      </w:pPr>
      <w:r>
        <w:rPr>
          <w:rFonts w:ascii="Times New Roman" w:cs="Times New Roman" w:eastAsia="Times New Roman" w:hAnsi="Times New Roman"/>
          <w:sz w:val="20"/>
          <w:szCs w:val="20"/>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w:t>
      </w:r>
    </w:p>
    <w:p>
      <w:pPr>
        <w:spacing w:after="0" w:line="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auto"/>
        </w:rPr>
        <w:t>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4" w:lineRule="exact"/>
        <w:rPr>
          <w:sz w:val="20"/>
          <w:szCs w:val="20"/>
          <w:color w:val="auto"/>
        </w:rPr>
      </w:pPr>
    </w:p>
    <w:p>
      <w:pPr>
        <w:ind w:right="20" w:firstLine="562"/>
        <w:spacing w:after="0" w:line="252" w:lineRule="auto"/>
        <w:rPr>
          <w:sz w:val="20"/>
          <w:szCs w:val="20"/>
          <w:color w:val="auto"/>
        </w:rPr>
      </w:pPr>
      <w:r>
        <w:rPr>
          <w:rFonts w:ascii="Times New Roman" w:cs="Times New Roman" w:eastAsia="Times New Roman" w:hAnsi="Times New Roman"/>
          <w:sz w:val="20"/>
          <w:szCs w:val="20"/>
          <w:color w:val="auto"/>
        </w:rPr>
        <w:t>We may also be restricted under collaboration agreements from entering into future agreements on certain terms with other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4" w:lineRule="exact"/>
        <w:rPr>
          <w:sz w:val="20"/>
          <w:szCs w:val="20"/>
          <w:color w:val="auto"/>
        </w:rPr>
      </w:pPr>
    </w:p>
    <w:p>
      <w:pPr>
        <w:ind w:right="20" w:firstLine="562"/>
        <w:spacing w:after="0" w:line="245" w:lineRule="auto"/>
        <w:rPr>
          <w:sz w:val="20"/>
          <w:szCs w:val="20"/>
          <w:color w:val="auto"/>
        </w:rPr>
      </w:pPr>
      <w:r>
        <w:rPr>
          <w:rFonts w:ascii="Times New Roman" w:cs="Times New Roman" w:eastAsia="Times New Roman" w:hAnsi="Times New Roman"/>
          <w:sz w:val="20"/>
          <w:szCs w:val="20"/>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82" w:lineRule="exact"/>
        <w:rPr>
          <w:sz w:val="20"/>
          <w:szCs w:val="20"/>
          <w:color w:val="auto"/>
        </w:rPr>
      </w:pPr>
    </w:p>
    <w:p>
      <w:pPr>
        <w:ind w:right="40" w:firstLine="562"/>
        <w:spacing w:after="0" w:line="249" w:lineRule="auto"/>
        <w:rPr>
          <w:sz w:val="20"/>
          <w:szCs w:val="20"/>
          <w:color w:val="auto"/>
        </w:rPr>
      </w:pPr>
      <w:r>
        <w:rPr>
          <w:rFonts w:ascii="Times New Roman" w:cs="Times New Roman" w:eastAsia="Times New Roman" w:hAnsi="Times New Roman"/>
          <w:sz w:val="20"/>
          <w:szCs w:val="20"/>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Research, development, commercialization and/or strategic collaborations, including the existing collaboration that we have with Gilead, are subject to numerous risks that may impact the success of a collaboration, which include the following:</w:t>
      </w:r>
    </w:p>
    <w:p>
      <w:pPr>
        <w:spacing w:after="0" w:line="91" w:lineRule="exact"/>
        <w:rPr>
          <w:sz w:val="20"/>
          <w:szCs w:val="20"/>
          <w:color w:val="auto"/>
        </w:rPr>
      </w:pPr>
    </w:p>
    <w:p>
      <w:pPr>
        <w:ind w:right="360" w:firstLine="8"/>
        <w:spacing w:after="0" w:line="258" w:lineRule="auto"/>
        <w:tabs>
          <w:tab w:leader="none" w:pos="192"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1" w:lineRule="exact"/>
        <w:rPr>
          <w:rFonts w:ascii="Arial" w:cs="Arial" w:eastAsia="Arial" w:hAnsi="Arial"/>
          <w:sz w:val="20"/>
          <w:szCs w:val="20"/>
          <w:color w:val="auto"/>
        </w:rPr>
      </w:pPr>
    </w:p>
    <w:p>
      <w:pPr>
        <w:ind w:right="80" w:firstLine="8"/>
        <w:spacing w:after="0" w:line="280" w:lineRule="auto"/>
        <w:tabs>
          <w:tab w:leader="none" w:pos="192"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we may have limited influence or control over the approaches to research, development and/or commercialization of product candidates in the territories in which our collaboration partners lead research, development and/or commercialization;</w:t>
      </w:r>
    </w:p>
    <w:p>
      <w:pPr>
        <w:sectPr>
          <w:pgSz w:w="12960" w:h="16560" w:orient="portrait"/>
          <w:cols w:equalWidth="0" w:num="1">
            <w:col w:w="10160"/>
          </w:cols>
          <w:pgMar w:left="1360" w:top="1420" w:right="1440" w:bottom="535" w:gutter="0" w:footer="0" w:header="0"/>
        </w:sectPr>
      </w:pP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960" w:h="16560" w:orient="portrait"/>
          <w:cols w:equalWidth="0" w:num="1">
            <w:col w:w="10160"/>
          </w:cols>
          <w:pgMar w:left="1360" w:top="1420" w:right="1440" w:bottom="535" w:gutter="0" w:footer="0" w:header="0"/>
          <w:type w:val="continuous"/>
        </w:sectPr>
      </w:pPr>
    </w:p>
    <w:bookmarkStart w:id="55" w:name="page56"/>
    <w:bookmarkEnd w:id="55"/>
    <w:p>
      <w:pPr>
        <w:ind w:right="240" w:firstLine="8"/>
        <w:spacing w:after="0" w:line="249"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1" w:lineRule="exact"/>
        <w:rPr>
          <w:rFonts w:ascii="Arial" w:cs="Arial" w:eastAsia="Arial" w:hAnsi="Arial"/>
          <w:sz w:val="20"/>
          <w:szCs w:val="20"/>
          <w:color w:val="auto"/>
        </w:rPr>
      </w:pPr>
    </w:p>
    <w:p>
      <w:pPr>
        <w:ind w:right="800" w:firstLine="8"/>
        <w:spacing w:after="0" w:line="247"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delay, provide insufficient resources to, or modify or stop research or clinical development for collaboration product candidates or require a new formulation of a product candidate for clinical testing;</w:t>
      </w:r>
    </w:p>
    <w:p>
      <w:pPr>
        <w:ind w:right="280" w:firstLine="8"/>
        <w:spacing w:after="0" w:line="244"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with sales, marketing and distribution rights to one or more product candidates might not commit sufficient resources to sales, marketing and distribution or might otherwise fail to successfully commercialize those collaboration product candidates;</w:t>
      </w:r>
    </w:p>
    <w:p>
      <w:pPr>
        <w:spacing w:after="0" w:line="2" w:lineRule="exact"/>
        <w:rPr>
          <w:rFonts w:ascii="Arial" w:cs="Arial" w:eastAsia="Arial" w:hAnsi="Arial"/>
          <w:sz w:val="20"/>
          <w:szCs w:val="20"/>
          <w:color w:val="auto"/>
        </w:rPr>
      </w:pPr>
    </w:p>
    <w:p>
      <w:pPr>
        <w:ind w:right="220" w:firstLine="8"/>
        <w:spacing w:after="0" w:line="247"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w:t>
      </w:r>
    </w:p>
    <w:p>
      <w:pPr>
        <w:ind w:right="180" w:firstLine="8"/>
        <w:spacing w:after="0" w:line="244"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might arise regarding the ownership of inventions and know-how resulting from the joint creation or use of either party's intellectual property in connection with the collaboration (or with other third-parties we engage in connection with sponsored research);</w:t>
      </w:r>
    </w:p>
    <w:p>
      <w:pPr>
        <w:spacing w:after="0" w:line="2" w:lineRule="exact"/>
        <w:rPr>
          <w:rFonts w:ascii="Arial" w:cs="Arial" w:eastAsia="Arial" w:hAnsi="Arial"/>
          <w:sz w:val="20"/>
          <w:szCs w:val="20"/>
          <w:color w:val="auto"/>
        </w:rPr>
      </w:pPr>
    </w:p>
    <w:p>
      <w:pPr>
        <w:ind w:right="40" w:firstLine="8"/>
        <w:spacing w:after="0" w:line="244"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not properly maintain or defend our intellectual property rights (or jointly owned or developed intellectual property) or might use our intellectual property improperly or in a way that jeopardizes our intellectual property or the potential commercial benefit of our product candidates or exposes us to potential liability;</w:t>
      </w:r>
    </w:p>
    <w:p>
      <w:pPr>
        <w:spacing w:after="0" w:line="2" w:lineRule="exact"/>
        <w:rPr>
          <w:rFonts w:ascii="Arial" w:cs="Arial" w:eastAsia="Arial" w:hAnsi="Arial"/>
          <w:sz w:val="20"/>
          <w:szCs w:val="20"/>
          <w:color w:val="auto"/>
        </w:rPr>
      </w:pPr>
    </w:p>
    <w:p>
      <w:pPr>
        <w:ind w:right="620" w:firstLine="8"/>
        <w:spacing w:after="0" w:line="247"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 activities might result in the collaborator having intellectual property covering our activities or product candidates, which could limit our rights or ability to research, develop and/or commercialize our product candidates;</w:t>
      </w:r>
    </w:p>
    <w:p>
      <w:pPr>
        <w:ind w:firstLine="8"/>
        <w:spacing w:after="0" w:line="247"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might not be in compliance with laws applicable to their activities under the collaboration, which could impact the collaboration and us;</w:t>
      </w:r>
    </w:p>
    <w:p>
      <w:pPr>
        <w:ind w:right="240" w:firstLine="8"/>
        <w:spacing w:after="0" w:line="247"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might arise between a collaborator and us that could cause a delay or termination of the collaboration or result in costly litigation that diverts management attention and resources; and</w:t>
      </w:r>
    </w:p>
    <w:p>
      <w:pPr>
        <w:ind w:right="960" w:firstLine="8"/>
        <w:spacing w:after="0" w:line="254" w:lineRule="auto"/>
        <w:tabs>
          <w:tab w:leader="none" w:pos="192"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might be terminated, which could result in a need for additional capital to pursue further research, development and/or commercialization of our product candidates.</w:t>
      </w:r>
    </w:p>
    <w:p>
      <w:pPr>
        <w:spacing w:after="0" w:line="111" w:lineRule="exact"/>
        <w:rPr>
          <w:sz w:val="20"/>
          <w:szCs w:val="20"/>
          <w:color w:val="auto"/>
        </w:rPr>
      </w:pPr>
    </w:p>
    <w:p>
      <w:pPr>
        <w:ind w:right="120" w:firstLine="555"/>
        <w:spacing w:after="0" w:line="252" w:lineRule="auto"/>
        <w:rPr>
          <w:sz w:val="20"/>
          <w:szCs w:val="20"/>
          <w:color w:val="auto"/>
        </w:rPr>
      </w:pPr>
      <w:r>
        <w:rPr>
          <w:rFonts w:ascii="Times New Roman" w:cs="Times New Roman" w:eastAsia="Times New Roman" w:hAnsi="Times New Roman"/>
          <w:sz w:val="20"/>
          <w:szCs w:val="20"/>
          <w:color w:val="auto"/>
        </w:rPr>
        <w:t>In addition, funding provided by a collaborator might not be sufficient to advance product candidates under the collaboration. For example, although Gilead provided us with $175.0 million upfront payments and a $20.0 million equity investment in connection with our collaboration, we might need additional funding to advance product candidates prior to the completion of the applicable milestones of the collaboration agreement with Gilead.</w:t>
      </w:r>
    </w:p>
    <w:p>
      <w:pPr>
        <w:spacing w:after="0" w:line="194" w:lineRule="exact"/>
        <w:rPr>
          <w:sz w:val="20"/>
          <w:szCs w:val="20"/>
          <w:color w:val="auto"/>
        </w:rPr>
      </w:pPr>
    </w:p>
    <w:p>
      <w:pPr>
        <w:ind w:right="20" w:firstLine="555"/>
        <w:spacing w:after="0" w:line="246" w:lineRule="auto"/>
        <w:rPr>
          <w:sz w:val="20"/>
          <w:szCs w:val="20"/>
          <w:color w:val="auto"/>
        </w:rPr>
      </w:pPr>
      <w:r>
        <w:rPr>
          <w:rFonts w:ascii="Times New Roman" w:cs="Times New Roman" w:eastAsia="Times New Roman" w:hAnsi="Times New Roman"/>
          <w:sz w:val="20"/>
          <w:szCs w:val="20"/>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200" w:lineRule="exact"/>
        <w:rPr>
          <w:sz w:val="20"/>
          <w:szCs w:val="20"/>
          <w:color w:val="auto"/>
        </w:rPr>
      </w:pPr>
    </w:p>
    <w:p>
      <w:pPr>
        <w:ind w:firstLine="555"/>
        <w:spacing w:after="0" w:line="247" w:lineRule="auto"/>
        <w:rPr>
          <w:sz w:val="20"/>
          <w:szCs w:val="20"/>
          <w:color w:val="auto"/>
        </w:rPr>
      </w:pPr>
      <w:r>
        <w:rPr>
          <w:rFonts w:ascii="Times New Roman" w:cs="Times New Roman" w:eastAsia="Times New Roman" w:hAnsi="Times New Roman"/>
          <w:sz w:val="20"/>
          <w:szCs w:val="20"/>
          <w:color w:val="auto"/>
        </w:rPr>
        <w:t>Additionally, disagreements between parties to a collaboration arrangement regarding clinical development and commercialization matters can lead to delays in the development process or commercializing of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0" w:lineRule="exact"/>
        <w:rPr>
          <w:sz w:val="20"/>
          <w:szCs w:val="20"/>
          <w:color w:val="auto"/>
        </w:rPr>
      </w:pPr>
    </w:p>
    <w:p>
      <w:pPr>
        <w:ind w:right="60" w:firstLine="555"/>
        <w:spacing w:after="0" w:line="258" w:lineRule="auto"/>
        <w:rPr>
          <w:sz w:val="20"/>
          <w:szCs w:val="20"/>
          <w:color w:val="auto"/>
        </w:rPr>
      </w:pPr>
      <w:r>
        <w:rPr>
          <w:rFonts w:ascii="Times New Roman" w:cs="Times New Roman" w:eastAsia="Times New Roman" w:hAnsi="Times New Roman"/>
          <w:sz w:val="20"/>
          <w:szCs w:val="20"/>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8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contract with a limited number of third parties for the manufacture of our product candidates for preclinical development and clinical testing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4" w:lineRule="exact"/>
        <w:rPr>
          <w:sz w:val="20"/>
          <w:szCs w:val="20"/>
          <w:color w:val="auto"/>
        </w:rPr>
      </w:pPr>
    </w:p>
    <w:p>
      <w:pPr>
        <w:ind w:right="180" w:firstLine="555"/>
        <w:spacing w:after="0" w:line="252" w:lineRule="auto"/>
        <w:rPr>
          <w:sz w:val="20"/>
          <w:szCs w:val="20"/>
          <w:color w:val="auto"/>
        </w:rPr>
      </w:pPr>
      <w:r>
        <w:rPr>
          <w:rFonts w:ascii="Times New Roman" w:cs="Times New Roman" w:eastAsia="Times New Roman" w:hAnsi="Times New Roman"/>
          <w:sz w:val="20"/>
          <w:szCs w:val="20"/>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or two parties to manufacture our preclinical and clinical</w:t>
      </w:r>
    </w:p>
    <w:p>
      <w:pPr>
        <w:sectPr>
          <w:pgSz w:w="12960" w:h="16560" w:orient="portrait"/>
          <w:cols w:equalWidth="0" w:num="1">
            <w:col w:w="10160"/>
          </w:cols>
          <w:pgMar w:left="1360" w:top="1434" w:right="1440" w:bottom="535"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960" w:h="16560" w:orient="portrait"/>
          <w:cols w:equalWidth="0" w:num="1">
            <w:col w:w="10160"/>
          </w:cols>
          <w:pgMar w:left="1360" w:top="1434" w:right="1440" w:bottom="535" w:gutter="0" w:footer="0" w:header="0"/>
          <w:type w:val="continuous"/>
        </w:sectPr>
      </w:pPr>
    </w:p>
    <w:bookmarkStart w:id="56" w:name="page57"/>
    <w:bookmarkEnd w:id="56"/>
    <w:p>
      <w:pPr>
        <w:ind w:right="260"/>
        <w:spacing w:after="0" w:line="252" w:lineRule="auto"/>
        <w:rPr>
          <w:sz w:val="20"/>
          <w:szCs w:val="20"/>
          <w:color w:val="auto"/>
        </w:rPr>
      </w:pPr>
      <w:r>
        <w:rPr>
          <w:rFonts w:ascii="Times New Roman" w:cs="Times New Roman" w:eastAsia="Times New Roman" w:hAnsi="Times New Roman"/>
          <w:sz w:val="20"/>
          <w:szCs w:val="20"/>
          <w:color w:val="auto"/>
        </w:rPr>
        <w:t>products and we exercise limited direct control over these manufacturers (and it would be time consuming and expensive to move production to any new manufacturers, if we were able to do so at all). This reliance on third parties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94" w:lineRule="exact"/>
        <w:rPr>
          <w:sz w:val="20"/>
          <w:szCs w:val="20"/>
          <w:color w:val="auto"/>
        </w:rPr>
      </w:pPr>
    </w:p>
    <w:p>
      <w:pPr>
        <w:ind w:right="20" w:firstLine="555"/>
        <w:spacing w:after="0" w:line="243" w:lineRule="auto"/>
        <w:rPr>
          <w:sz w:val="20"/>
          <w:szCs w:val="20"/>
          <w:color w:val="auto"/>
        </w:rPr>
      </w:pPr>
      <w:r>
        <w:rPr>
          <w:rFonts w:ascii="Times New Roman" w:cs="Times New Roman" w:eastAsia="Times New Roman" w:hAnsi="Times New Roman"/>
          <w:sz w:val="20"/>
          <w:szCs w:val="20"/>
          <w:color w:val="auto"/>
        </w:rPr>
        <w:t>The facilities used by our contract manufacturers to manufacture our product candidates must be inspected by the FDA pursuant to pre-approval inspections that will be conducted after we submit our NDA applications to the FDA. We do not control the manufacturing process of, and will be completely dependent on, our contract manufacturers for compliance with cGMP in connection with the manufacture of our product candidates. If our contract manufacturers cannot successfully manufacture material that conforms to our specifications and the strict regulatory requirements of the FDA or other regulatory agencies,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agency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208" w:lineRule="exact"/>
        <w:rPr>
          <w:sz w:val="20"/>
          <w:szCs w:val="20"/>
          <w:color w:val="auto"/>
        </w:rPr>
      </w:pPr>
    </w:p>
    <w:p>
      <w:pPr>
        <w:ind w:right="100" w:firstLine="555"/>
        <w:spacing w:after="0" w:line="242" w:lineRule="auto"/>
        <w:rPr>
          <w:sz w:val="20"/>
          <w:szCs w:val="20"/>
          <w:color w:val="auto"/>
        </w:rPr>
      </w:pPr>
      <w:r>
        <w:rPr>
          <w:rFonts w:ascii="Times New Roman" w:cs="Times New Roman" w:eastAsia="Times New Roman" w:hAnsi="Times New Roman"/>
          <w:sz w:val="20"/>
          <w:szCs w:val="20"/>
          <w:color w:val="auto"/>
        </w:rPr>
        <w:t>If any CDMO with whom we contract fails to perform its obligations, we may be forced to enter into an agreement with a different CDMO, which we may not be able to do on reasonable terms, or at all, and such new agreement may result in significantly greater costs to us. In such scenario, our supply of study drug for clinical trials could be disrupted or delayed significantly as we establish alternative supply sources. In some cases, the technical skills or processes required to manufacture our products or product candidates may be unique or proprietary to the original CDMO and we may have difficulty, or there may be contractual restrictions prohibiting us from, transferring such skills or processes to a back-up or alternate supplier, or we may be unable to transfer such skills or processes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agency. The delays associated with the verification of a new CDMO could negatively affect our ability to develop product candidates or commercialize our products in a timely manner or within budget.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207" w:lineRule="exact"/>
        <w:rPr>
          <w:sz w:val="20"/>
          <w:szCs w:val="20"/>
          <w:color w:val="auto"/>
        </w:rPr>
      </w:pPr>
    </w:p>
    <w:p>
      <w:pPr>
        <w:ind w:right="40" w:firstLine="555"/>
        <w:spacing w:after="0" w:line="249" w:lineRule="auto"/>
        <w:rPr>
          <w:sz w:val="20"/>
          <w:szCs w:val="20"/>
          <w:color w:val="auto"/>
        </w:rPr>
      </w:pPr>
      <w:r>
        <w:rPr>
          <w:rFonts w:ascii="Times New Roman" w:cs="Times New Roman" w:eastAsia="Times New Roman" w:hAnsi="Times New Roman"/>
          <w:sz w:val="20"/>
          <w:szCs w:val="20"/>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97" w:lineRule="exact"/>
        <w:rPr>
          <w:sz w:val="20"/>
          <w:szCs w:val="20"/>
          <w:color w:val="auto"/>
        </w:rPr>
      </w:pPr>
    </w:p>
    <w:p>
      <w:pPr>
        <w:ind w:right="480" w:firstLine="555"/>
        <w:spacing w:after="0" w:line="258" w:lineRule="auto"/>
        <w:rPr>
          <w:sz w:val="20"/>
          <w:szCs w:val="20"/>
          <w:color w:val="auto"/>
        </w:rPr>
      </w:pPr>
      <w:r>
        <w:rPr>
          <w:rFonts w:ascii="Times New Roman" w:cs="Times New Roman" w:eastAsia="Times New Roman" w:hAnsi="Times New Roman"/>
          <w:sz w:val="20"/>
          <w:szCs w:val="20"/>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third parties upon whom we rely for the supply of the active pharmaceutical ingredients and drug product to be used in our product candidates are our sole sources of supply, and the loss of any of these suppliers could significantly harm our business.</w:t>
      </w:r>
    </w:p>
    <w:p>
      <w:pPr>
        <w:spacing w:after="0" w:line="68" w:lineRule="exact"/>
        <w:rPr>
          <w:sz w:val="20"/>
          <w:szCs w:val="20"/>
          <w:color w:val="auto"/>
        </w:rPr>
      </w:pPr>
    </w:p>
    <w:p>
      <w:pPr>
        <w:ind w:right="60" w:firstLine="555"/>
        <w:spacing w:after="0" w:line="244" w:lineRule="auto"/>
        <w:rPr>
          <w:sz w:val="20"/>
          <w:szCs w:val="20"/>
          <w:color w:val="auto"/>
        </w:rPr>
      </w:pPr>
      <w:r>
        <w:rPr>
          <w:rFonts w:ascii="Times New Roman" w:cs="Times New Roman" w:eastAsia="Times New Roman" w:hAnsi="Times New Roman"/>
          <w:sz w:val="20"/>
          <w:szCs w:val="20"/>
          <w:color w:val="auto"/>
        </w:rPr>
        <w:t>The API we use and that we may continue to use in all of our product candidates is supplied to us from one supplier. The drug product used in our product candidates is supplied by two manufacturers (and the manufacturer that produces the API is also one of the two suppliers of our the drug product used in our current clinical trials). Our ability to successfully develop our product candidates, and to ultimately supply our commercial products in quantities (if approved by regulatory authorities) sufficient to meet the market demand (and to meet requirements in connection with our ongoing and planned clinical trials), depends in part on our ability to obtain the API and drug product for these products in accordance with regulatory requirements and in sufficient quantities for clinical testing and commercialization, when applicable. We are also unable to predict how changing global economic conditions or global health concerns, as well as potential supply chain disruptions or cost increases related thereto, will affect our third-party suppliers and manufacturers. The risks related to global economic and political changes and supply chain disruption could have a material impact since one of our two CDMOs is</w:t>
      </w:r>
    </w:p>
    <w:p>
      <w:pPr>
        <w:sectPr>
          <w:pgSz w:w="12960" w:h="16560" w:orient="portrait"/>
          <w:cols w:equalWidth="0" w:num="1">
            <w:col w:w="10160"/>
          </w:cols>
          <w:pgMar w:left="1360" w:top="1420" w:right="1440" w:bottom="535" w:gutter="0" w:footer="0" w:header="0"/>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960" w:h="16560" w:orient="portrait"/>
          <w:cols w:equalWidth="0" w:num="1">
            <w:col w:w="10160"/>
          </w:cols>
          <w:pgMar w:left="1360" w:top="1420" w:right="1440" w:bottom="535" w:gutter="0" w:footer="0" w:header="0"/>
          <w:type w:val="continuous"/>
        </w:sectPr>
      </w:pPr>
    </w:p>
    <w:bookmarkStart w:id="57" w:name="page58"/>
    <w:bookmarkEnd w:id="57"/>
    <w:p>
      <w:pPr>
        <w:ind w:right="40"/>
        <w:spacing w:after="0" w:line="245" w:lineRule="auto"/>
        <w:rPr>
          <w:sz w:val="20"/>
          <w:szCs w:val="20"/>
          <w:color w:val="auto"/>
        </w:rPr>
      </w:pPr>
      <w:r>
        <w:rPr>
          <w:rFonts w:ascii="Times New Roman" w:cs="Times New Roman" w:eastAsia="Times New Roman" w:hAnsi="Times New Roman"/>
          <w:sz w:val="20"/>
          <w:szCs w:val="20"/>
          <w:color w:val="auto"/>
        </w:rPr>
        <w:t>located in China. Further, this CDMO, which is our sole supplier of API for the drugs used in our clinical trials, is affiliated with WuXi AppTec, and WuXi AppTec has been the subject of proposed Congressional legislation that, if enacted or if the subject of similar executive or administrative action, could restrict WuXi's business in the United States or the ability of businesses in the United States to conduct business with WuXi on national security grounds. We have started the process to locate an alternate producer of API, but there is no guarantee that we can identify and engage an alternate producer or manufacturer in time so as not to disrupt our clinical trials, on terms that are acceptable to us (including financial terms), or at all. Any negative impact of the ability of our CDMOs to deliver API and/or drug product due to political actions, supply chain disruptions or otherwise, may have a material adverse impact on our results of operations or financial condition.</w:t>
      </w:r>
    </w:p>
    <w:p>
      <w:pPr>
        <w:spacing w:after="0" w:line="202" w:lineRule="exact"/>
        <w:rPr>
          <w:sz w:val="20"/>
          <w:szCs w:val="20"/>
          <w:color w:val="auto"/>
        </w:rPr>
      </w:pPr>
    </w:p>
    <w:p>
      <w:pPr>
        <w:ind w:right="200" w:firstLine="555"/>
        <w:spacing w:after="0" w:line="246" w:lineRule="auto"/>
        <w:rPr>
          <w:sz w:val="20"/>
          <w:szCs w:val="20"/>
          <w:color w:val="auto"/>
        </w:rPr>
      </w:pPr>
      <w:r>
        <w:rPr>
          <w:rFonts w:ascii="Times New Roman" w:cs="Times New Roman" w:eastAsia="Times New Roman" w:hAnsi="Times New Roman"/>
          <w:sz w:val="20"/>
          <w:szCs w:val="20"/>
          <w:color w:val="auto"/>
        </w:rPr>
        <w:t>For all of our product candidates, we intend to identify and qualify additional manufacturers to provide such API and drug product prior to submission of an NDA to the FDA and/or an MAA to the EMA. We are not certain, however, that our single-source suppliers or limited number of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products on a timely basis in the past, they may subordinate our needs in the future to their other customers or may experience operating disruptions.</w:t>
      </w:r>
    </w:p>
    <w:p>
      <w:pPr>
        <w:spacing w:after="0" w:line="200" w:lineRule="exact"/>
        <w:rPr>
          <w:sz w:val="20"/>
          <w:szCs w:val="20"/>
          <w:color w:val="auto"/>
        </w:rPr>
      </w:pPr>
    </w:p>
    <w:p>
      <w:pPr>
        <w:ind w:right="20" w:firstLine="555"/>
        <w:spacing w:after="0" w:line="246" w:lineRule="auto"/>
        <w:rPr>
          <w:sz w:val="20"/>
          <w:szCs w:val="20"/>
          <w:color w:val="auto"/>
        </w:rPr>
      </w:pPr>
      <w:r>
        <w:rPr>
          <w:rFonts w:ascii="Times New Roman" w:cs="Times New Roman" w:eastAsia="Times New Roman" w:hAnsi="Times New Roman"/>
          <w:sz w:val="20"/>
          <w:szCs w:val="20"/>
          <w:color w:val="auto"/>
        </w:rPr>
        <w:t>Establishing additional or replacement suppliers for the API and drug product used in our product candidates and clinical trials,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and clinical trials,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49" w:lineRule="exact"/>
        <w:rPr>
          <w:sz w:val="20"/>
          <w:szCs w:val="20"/>
          <w:color w:val="auto"/>
        </w:rPr>
      </w:pPr>
    </w:p>
    <w:p>
      <w:pPr>
        <w:ind w:right="160" w:firstLine="555"/>
        <w:spacing w:after="0" w:line="258" w:lineRule="auto"/>
        <w:rPr>
          <w:sz w:val="20"/>
          <w:szCs w:val="20"/>
          <w:color w:val="auto"/>
        </w:rPr>
      </w:pPr>
      <w:r>
        <w:rPr>
          <w:rFonts w:ascii="Times New Roman" w:cs="Times New Roman" w:eastAsia="Times New Roman" w:hAnsi="Times New Roman"/>
          <w:sz w:val="20"/>
          <w:szCs w:val="20"/>
          <w:color w:val="auto"/>
        </w:rPr>
        <w:t>Our success depends in part on our ability to obtain and maintain patent and regulatory protections for our products candidates, to preserve our trade secrets and other proprietary rights and to prevent third parties from infringing on our rights and our proprietary technology.</w:t>
      </w:r>
    </w:p>
    <w:p>
      <w:pPr>
        <w:spacing w:after="0" w:line="188" w:lineRule="exact"/>
        <w:rPr>
          <w:sz w:val="20"/>
          <w:szCs w:val="20"/>
          <w:color w:val="auto"/>
        </w:rPr>
      </w:pPr>
    </w:p>
    <w:p>
      <w:pPr>
        <w:ind w:right="60" w:firstLine="555"/>
        <w:spacing w:after="0" w:line="252" w:lineRule="auto"/>
        <w:rPr>
          <w:sz w:val="20"/>
          <w:szCs w:val="20"/>
          <w:color w:val="auto"/>
        </w:rPr>
      </w:pPr>
      <w:r>
        <w:rPr>
          <w:rFonts w:ascii="Times New Roman" w:cs="Times New Roman" w:eastAsia="Times New Roman" w:hAnsi="Times New Roman"/>
          <w:sz w:val="20"/>
          <w:szCs w:val="20"/>
          <w:color w:val="auto"/>
        </w:rPr>
        <w:t>We have procured patent rights, through both ownership and license, that cover our product candidates, and expect to apply for additional patent protections in the future. However, our patent applications may not result in the issuance of patents in the U.S. or other countries. In addition, a patent may be issued in one country, but a counterpart patent may not be issued in another country, which is not uncommon in the biopharmaceutical industry.</w:t>
      </w:r>
    </w:p>
    <w:p>
      <w:pPr>
        <w:spacing w:after="0" w:line="194" w:lineRule="exact"/>
        <w:rPr>
          <w:sz w:val="20"/>
          <w:szCs w:val="20"/>
          <w:color w:val="auto"/>
        </w:rPr>
      </w:pPr>
    </w:p>
    <w:p>
      <w:pPr>
        <w:ind w:right="20" w:firstLine="555"/>
        <w:spacing w:after="0" w:line="243" w:lineRule="auto"/>
        <w:rPr>
          <w:sz w:val="20"/>
          <w:szCs w:val="20"/>
          <w:color w:val="auto"/>
        </w:rPr>
      </w:pPr>
      <w:r>
        <w:rPr>
          <w:rFonts w:ascii="Times New Roman" w:cs="Times New Roman" w:eastAsia="Times New Roman" w:hAnsi="Times New Roman"/>
          <w:sz w:val="20"/>
          <w:szCs w:val="20"/>
          <w:color w:val="auto"/>
        </w:rPr>
        <w:t>Periodic maintenance fees on any issued patent that are due to be paid to the United States Patent and Trademark Office, or USPTO, and foreign countries may require the payment of maintenance fees or patent annuities during the lifetime of a patent application and/or any subsequent patent that issues from the application. The USPTO and various foreign governmental patent agencies require compliance with a number of procedural, documentary, fee payment and other similar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Such noncompliance can result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Such an event could have a material adverse effect on our business.</w:t>
      </w:r>
    </w:p>
    <w:p>
      <w:pPr>
        <w:spacing w:after="0" w:line="208" w:lineRule="exact"/>
        <w:rPr>
          <w:sz w:val="20"/>
          <w:szCs w:val="20"/>
          <w:color w:val="auto"/>
        </w:rPr>
      </w:pPr>
    </w:p>
    <w:p>
      <w:pPr>
        <w:ind w:right="60" w:firstLine="555"/>
        <w:spacing w:after="0" w:line="245" w:lineRule="auto"/>
        <w:rPr>
          <w:sz w:val="20"/>
          <w:szCs w:val="20"/>
          <w:color w:val="auto"/>
        </w:rPr>
      </w:pPr>
      <w:r>
        <w:rPr>
          <w:rFonts w:ascii="Times New Roman" w:cs="Times New Roman" w:eastAsia="Times New Roman" w:hAnsi="Times New Roman"/>
          <w:sz w:val="20"/>
          <w:szCs w:val="20"/>
          <w:color w:val="auto"/>
        </w:rPr>
        <w:t>Even if a patent is issued, that is not conclusive as to its inventorship, scope, validity or enforceability and therefore that patent may not afford adequate (or any) protection for our product candidates or future approved products or technology. On the basis of such inconclusiveness, third parties may challenge our patents. Furthermore, patents have a limited lifespan. In the United States and most other jurisdictions in which we have undertaken patent filings, the natural expiration of a patent is generally twenty years after it is filed, assuming all maintenance fees are paid.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w:t>
      </w:r>
    </w:p>
    <w:p>
      <w:pPr>
        <w:sectPr>
          <w:pgSz w:w="12960" w:h="16560" w:orient="portrait"/>
          <w:cols w:equalWidth="0" w:num="1">
            <w:col w:w="10160"/>
          </w:cols>
          <w:pgMar w:left="1360" w:top="1420" w:right="1440" w:bottom="535"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960" w:h="16560" w:orient="portrait"/>
          <w:cols w:equalWidth="0" w:num="1">
            <w:col w:w="10160"/>
          </w:cols>
          <w:pgMar w:left="1360" w:top="1420" w:right="1440" w:bottom="535" w:gutter="0" w:footer="0" w:header="0"/>
          <w:type w:val="continuous"/>
        </w:sectPr>
      </w:pPr>
    </w:p>
    <w:bookmarkStart w:id="58" w:name="page59"/>
    <w:bookmarkEnd w:id="58"/>
    <w:p>
      <w:pPr>
        <w:ind w:right="200"/>
        <w:spacing w:after="0" w:line="258" w:lineRule="auto"/>
        <w:rPr>
          <w:sz w:val="20"/>
          <w:szCs w:val="20"/>
          <w:color w:val="auto"/>
        </w:rPr>
      </w:pPr>
      <w:r>
        <w:rPr>
          <w:rFonts w:ascii="Times New Roman" w:cs="Times New Roman" w:eastAsia="Times New Roman" w:hAnsi="Times New Roman"/>
          <w:sz w:val="20"/>
          <w:szCs w:val="20"/>
          <w:color w:val="auto"/>
        </w:rPr>
        <w:t>current or future product candidates, including generic versions of our drugs. Nor can we be certain that we will obtain any patent term extension as permitted under the “Hatch-Waxman Amendments” which permit a patent restoration term of up to five years as compensation for patent term lost during product development and the FDA regulatory review process.</w:t>
      </w:r>
    </w:p>
    <w:p>
      <w:pPr>
        <w:spacing w:after="0" w:line="188" w:lineRule="exact"/>
        <w:rPr>
          <w:sz w:val="20"/>
          <w:szCs w:val="20"/>
          <w:color w:val="auto"/>
        </w:rPr>
      </w:pPr>
    </w:p>
    <w:p>
      <w:pPr>
        <w:ind w:firstLine="555"/>
        <w:spacing w:after="0" w:line="252" w:lineRule="auto"/>
        <w:rPr>
          <w:sz w:val="20"/>
          <w:szCs w:val="20"/>
          <w:color w:val="auto"/>
        </w:rPr>
      </w:pPr>
      <w:r>
        <w:rPr>
          <w:rFonts w:ascii="Times New Roman" w:cs="Times New Roman" w:eastAsia="Times New Roman" w:hAnsi="Times New Roman"/>
          <w:sz w:val="20"/>
          <w:szCs w:val="20"/>
          <w:color w:val="auto"/>
        </w:rPr>
        <w:t>If any of our patents are narrowed, invalidated, revoked or become unenforceable, competitors may develop and market products similar or identical to ours that do not conflict with or infringe our patents rights, which could have a material adverse effect on our financial condition. Even if we obtain and maintain patents, our business may be significantly harmed if the patents are not broad enough to protect our products from copycat, generic or similar products.</w:t>
      </w:r>
    </w:p>
    <w:p>
      <w:pPr>
        <w:spacing w:after="0" w:line="194" w:lineRule="exact"/>
        <w:rPr>
          <w:sz w:val="20"/>
          <w:szCs w:val="20"/>
          <w:color w:val="auto"/>
        </w:rPr>
      </w:pPr>
    </w:p>
    <w:p>
      <w:pPr>
        <w:ind w:right="260" w:firstLine="555"/>
        <w:spacing w:after="0" w:line="252" w:lineRule="auto"/>
        <w:rPr>
          <w:sz w:val="20"/>
          <w:szCs w:val="20"/>
          <w:color w:val="auto"/>
        </w:rPr>
      </w:pPr>
      <w:r>
        <w:rPr>
          <w:rFonts w:ascii="Times New Roman" w:cs="Times New Roman" w:eastAsia="Times New Roman" w:hAnsi="Times New Roman"/>
          <w:sz w:val="20"/>
          <w:szCs w:val="20"/>
          <w:color w:val="auto"/>
        </w:rPr>
        <w:t>In addition, if there are challenges to our intellectual property by third parties, we may in the future enter into agreements with those parties that provide certain intellectual property rights to our future marketed products or products in our pipeline. If we do enter into such agreements, we may not be the exclusive provider of a therapy and, as a result, we expect that any potential revenue from the sales of such therapies would be materially and negatively impacted.</w:t>
      </w:r>
    </w:p>
    <w:p>
      <w:pPr>
        <w:spacing w:after="0" w:line="194" w:lineRule="exact"/>
        <w:rPr>
          <w:sz w:val="20"/>
          <w:szCs w:val="20"/>
          <w:color w:val="auto"/>
        </w:rPr>
      </w:pPr>
    </w:p>
    <w:p>
      <w:pPr>
        <w:ind w:firstLine="555"/>
        <w:spacing w:after="0" w:line="246" w:lineRule="auto"/>
        <w:rPr>
          <w:sz w:val="20"/>
          <w:szCs w:val="20"/>
          <w:color w:val="auto"/>
        </w:rPr>
      </w:pPr>
      <w:r>
        <w:rPr>
          <w:rFonts w:ascii="Times New Roman" w:cs="Times New Roman" w:eastAsia="Times New Roman" w:hAnsi="Times New Roman"/>
          <w:sz w:val="20"/>
          <w:szCs w:val="20"/>
          <w:color w:val="auto"/>
        </w:rPr>
        <w:t>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or were involved in generating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200" w:lineRule="exact"/>
        <w:rPr>
          <w:sz w:val="20"/>
          <w:szCs w:val="20"/>
          <w:color w:val="auto"/>
        </w:rPr>
      </w:pPr>
    </w:p>
    <w:p>
      <w:pPr>
        <w:ind w:firstLine="555"/>
        <w:spacing w:after="0" w:line="245" w:lineRule="auto"/>
        <w:rPr>
          <w:sz w:val="20"/>
          <w:szCs w:val="20"/>
          <w:color w:val="auto"/>
        </w:rPr>
      </w:pPr>
      <w:r>
        <w:rPr>
          <w:rFonts w:ascii="Times New Roman" w:cs="Times New Roman" w:eastAsia="Times New Roman" w:hAnsi="Times New Roman"/>
          <w:sz w:val="20"/>
          <w:szCs w:val="20"/>
          <w:color w:val="auto"/>
        </w:rPr>
        <w:t>We have, and expect that we will continue, to finance or collaborate in research and development projects conducted by third parties, including government organizations, hospitals, universities or other educational or research institutions, or other for-profit companies. Such third parties may be unwilling to grant us certain rights to technology or products developed through such projects. Certain collaborators may only grant us a right to obtain a license to technology developed in a collaboration, and we may not be able to negotiate a license or the license may require an upfront or royalty payment on terms that are acceptable to us, or at all. Disputes may also arise as to the rights to technology or products developed in collaboration with such third parties and we may not be able to secure the proprietary rights to any technology generated in such collaboration.</w:t>
      </w:r>
    </w:p>
    <w:p>
      <w:pPr>
        <w:spacing w:after="0" w:line="202" w:lineRule="exact"/>
        <w:rPr>
          <w:sz w:val="20"/>
          <w:szCs w:val="20"/>
          <w:color w:val="auto"/>
        </w:rPr>
      </w:pPr>
    </w:p>
    <w:p>
      <w:pPr>
        <w:ind w:firstLine="555"/>
        <w:spacing w:after="0" w:line="242" w:lineRule="auto"/>
        <w:rPr>
          <w:sz w:val="20"/>
          <w:szCs w:val="20"/>
          <w:color w:val="auto"/>
        </w:rPr>
      </w:pPr>
      <w:r>
        <w:rPr>
          <w:rFonts w:ascii="Times New Roman" w:cs="Times New Roman" w:eastAsia="Times New Roman" w:hAnsi="Times New Roman"/>
          <w:sz w:val="20"/>
          <w:szCs w:val="20"/>
          <w:color w:val="auto"/>
        </w:rPr>
        <w:t>Significant legal questions exist concerning the extent and scope of patent protection for biopharmaceutical products and processes in the U.S. and elsewhere. Accordingly, there is no certainty that patent applications owned or licensed by us will issue as patents, or that our issued patents will afford meaningful protection against competitors. Once issued, patents are subject to challenge through both administrative and judicial proceedings in the U.S. and certain other countries. Such proceedings include re-examinations, inter partes reviews, post-grant reviews and interference proceedings before the USPTO, as well as opposition proceedings before the European Patent Office and other non-U.S. patent offices. Certain countries have laws that provide stronger bases for challenging third party patent rights than are available to challenge patents in other countries. Therefore, we may be able to defend our patents against a third-party claim in one country but counterpart patents may be invalidated in other countries and we may be able to invalidate a third-party patent in one country but not invalidate its counterpart patents in other countries. Further,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Litigation may be required to enforce, defend or obtain our patent and other intellectual property rights. Any administrative proceeding or litigation could require a significant commitment of our resources and, depending on outcome, could adversely affect the scope, validity or enforceability of certain of our patent or other proprietary rights.</w:t>
      </w:r>
    </w:p>
    <w:p>
      <w:pPr>
        <w:spacing w:after="0" w:line="209" w:lineRule="exact"/>
        <w:rPr>
          <w:sz w:val="20"/>
          <w:szCs w:val="20"/>
          <w:color w:val="auto"/>
        </w:rPr>
      </w:pPr>
    </w:p>
    <w:p>
      <w:pPr>
        <w:ind w:right="20" w:firstLine="555"/>
        <w:spacing w:after="0" w:line="244" w:lineRule="auto"/>
        <w:rPr>
          <w:sz w:val="20"/>
          <w:szCs w:val="20"/>
          <w:color w:val="auto"/>
        </w:rPr>
      </w:pPr>
      <w:r>
        <w:rPr>
          <w:rFonts w:ascii="Times New Roman" w:cs="Times New Roman" w:eastAsia="Times New Roman" w:hAnsi="Times New Roman"/>
          <w:sz w:val="20"/>
          <w:szCs w:val="20"/>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ectPr>
          <w:pgSz w:w="12960" w:h="16560" w:orient="portrait"/>
          <w:cols w:equalWidth="0" w:num="1">
            <w:col w:w="10160"/>
          </w:cols>
          <w:pgMar w:left="1360" w:top="1420" w:right="1440" w:bottom="535"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960" w:h="16560" w:orient="portrait"/>
          <w:cols w:equalWidth="0" w:num="1">
            <w:col w:w="10160"/>
          </w:cols>
          <w:pgMar w:left="1360" w:top="1420" w:right="1440" w:bottom="535" w:gutter="0" w:footer="0" w:header="0"/>
          <w:type w:val="continuous"/>
        </w:sectPr>
      </w:pPr>
    </w:p>
    <w:bookmarkStart w:id="59" w:name="page60"/>
    <w:bookmarkEnd w:id="59"/>
    <w:p>
      <w:pPr>
        <w:ind w:right="80" w:firstLine="555"/>
        <w:spacing w:after="0" w:line="242" w:lineRule="auto"/>
        <w:rPr>
          <w:sz w:val="20"/>
          <w:szCs w:val="20"/>
          <w:color w:val="auto"/>
        </w:rPr>
      </w:pPr>
      <w:r>
        <w:rPr>
          <w:rFonts w:ascii="Times New Roman" w:cs="Times New Roman" w:eastAsia="Times New Roman" w:hAnsi="Times New Roman"/>
          <w:sz w:val="20"/>
          <w:szCs w:val="20"/>
          <w:color w:val="auto"/>
        </w:rPr>
        <w:t>Some of the sensitive technology, techniques and proprietary compounds used in our business are protected as trade secrets. Among other things, we enter into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(or for which we determine we will not seek patent protection).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(or that the terms of such agreements are enforceable). In our business, we rely on collaboration with, or discuss the potential for collaboration with, suppliers, outside scientists, research organizations and other biopharmaceutical companies. Collaboration and discussion of potential collaboration or inadvertent disclosure of a trade secret present a strong risk of exposing our trade secrets. If our trade secrets were exposed, we may lose the protection and potential exclusive rights afforded by trade secret law, and such exposure may likely help our competitors and allow them to access technology without restriction and adversely affect our business prospects.</w:t>
      </w:r>
    </w:p>
    <w:p>
      <w:pPr>
        <w:spacing w:after="0" w:line="234" w:lineRule="exact"/>
        <w:rPr>
          <w:sz w:val="20"/>
          <w:szCs w:val="20"/>
          <w:color w:val="auto"/>
        </w:rPr>
      </w:pPr>
    </w:p>
    <w:p>
      <w:pPr>
        <w:ind w:firstLine="555"/>
        <w:spacing w:after="0" w:line="242" w:lineRule="auto"/>
        <w:rPr>
          <w:sz w:val="20"/>
          <w:szCs w:val="20"/>
          <w:color w:val="auto"/>
        </w:rPr>
      </w:pPr>
      <w:r>
        <w:rPr>
          <w:rFonts w:ascii="Times New Roman" w:cs="Times New Roman" w:eastAsia="Times New Roman" w:hAnsi="Times New Roman"/>
          <w:sz w:val="20"/>
          <w:szCs w:val="20"/>
          <w:color w:val="auto"/>
        </w:rPr>
        <w:t>In addition, the patent prosecution process is expensive and time-consuming, and we may not be able to file and prosecute all necessary or desirable patent applications at a reasonable cost or in a timely manner. In some instances, a delay in filing patent applications could adversely impact patentability, for example if certain information is disclosed prior to the filing of a patent application. Under certain circumstances, use of the compounds in clinical trials could be interpreted as a public use and negatively impact our ability to obtain patent protection for certain inventions. Due to expense of patent filings, we also may not file in every jurisdiction in which patents may be issued (and, therefore, we may not be able to assert patents rights in every country in the future).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or access from or to third parties. Therefore, these patents and applications may not be prosecuted and enforced in a manner consistent with the best interests of our business.</w:t>
      </w:r>
    </w:p>
    <w:p>
      <w:pPr>
        <w:spacing w:after="0" w:line="213" w:lineRule="exact"/>
        <w:rPr>
          <w:sz w:val="20"/>
          <w:szCs w:val="20"/>
          <w:color w:val="auto"/>
        </w:rPr>
      </w:pPr>
    </w:p>
    <w:p>
      <w:pPr>
        <w:ind w:right="160" w:firstLine="555"/>
        <w:spacing w:after="0" w:line="258" w:lineRule="auto"/>
        <w:rPr>
          <w:sz w:val="20"/>
          <w:szCs w:val="20"/>
          <w:color w:val="auto"/>
        </w:rPr>
      </w:pPr>
      <w:r>
        <w:rPr>
          <w:rFonts w:ascii="Times New Roman" w:cs="Times New Roman" w:eastAsia="Times New Roman" w:hAnsi="Times New Roman"/>
          <w:sz w:val="20"/>
          <w:szCs w:val="20"/>
          <w:color w:val="auto"/>
        </w:rPr>
        <w:t>Similarly, trademarks and trade names we utilize in our business may be challenged, infringed, diluted or declared generic or determined to be infringing on other marks. These marks can be important for name recognition in markets. If we are unable to secure and protect our trademarks and trade names, our business could be harmed.</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51" w:lineRule="exact"/>
        <w:rPr>
          <w:sz w:val="20"/>
          <w:szCs w:val="20"/>
          <w:color w:val="auto"/>
        </w:rPr>
      </w:pPr>
    </w:p>
    <w:p>
      <w:pPr>
        <w:ind w:firstLine="555"/>
        <w:spacing w:after="0" w:line="249" w:lineRule="auto"/>
        <w:rPr>
          <w:sz w:val="20"/>
          <w:szCs w:val="20"/>
          <w:color w:val="auto"/>
        </w:rPr>
      </w:pPr>
      <w:r>
        <w:rPr>
          <w:rFonts w:ascii="Times New Roman" w:cs="Times New Roman" w:eastAsia="Times New Roman" w:hAnsi="Times New Roman"/>
          <w:sz w:val="20"/>
          <w:szCs w:val="20"/>
          <w:color w:val="auto"/>
        </w:rPr>
        <w:t>Parts of our technology, techniques, proprietary compounds and potential product candidates, including those which are or may be in-licensed or developed in collaboration with third parties, may be found to infringe patents owned by or granted to others. We may in the future receive notices claiming our products (if approved) and product candidates infringe third party patents (and we have received and may in the future receive notices offering the right to license certain technology to us) and third parties may in the future file civil lawsuits against us claiming infringement of their intellectual property rights.</w:t>
      </w:r>
    </w:p>
    <w:p>
      <w:pPr>
        <w:spacing w:after="0" w:line="197" w:lineRule="exact"/>
        <w:rPr>
          <w:sz w:val="20"/>
          <w:szCs w:val="20"/>
          <w:color w:val="auto"/>
        </w:rPr>
      </w:pPr>
    </w:p>
    <w:p>
      <w:pPr>
        <w:ind w:right="40" w:firstLine="555"/>
        <w:spacing w:after="0" w:line="249" w:lineRule="auto"/>
        <w:rPr>
          <w:sz w:val="20"/>
          <w:szCs w:val="20"/>
          <w:color w:val="auto"/>
        </w:rPr>
      </w:pPr>
      <w:r>
        <w:rPr>
          <w:rFonts w:ascii="Times New Roman" w:cs="Times New Roman" w:eastAsia="Times New Roman" w:hAnsi="Times New Roman"/>
          <w:sz w:val="20"/>
          <w:szCs w:val="20"/>
          <w:color w:val="auto"/>
        </w:rPr>
        <w:t>Third parties may claim that the manufacture, use or sale of our products or product candidates infringes patents owned or granted to such third parties. We may become aware of patents owned by third parties that might be claimed by such third parties to be infringed by the development, use, manufacture and commercialization of our products (if approved) or our investigational compounds. In such cases we may take certain actions with respect to some of these, for example we may try to invalidate the third-party patents or obtain licenses to a technology or invention.</w:t>
      </w:r>
    </w:p>
    <w:p>
      <w:pPr>
        <w:spacing w:after="0" w:line="197" w:lineRule="exact"/>
        <w:rPr>
          <w:sz w:val="20"/>
          <w:szCs w:val="20"/>
          <w:color w:val="auto"/>
        </w:rPr>
      </w:pPr>
    </w:p>
    <w:p>
      <w:pPr>
        <w:ind w:right="100" w:firstLine="555"/>
        <w:spacing w:after="0" w:line="245" w:lineRule="auto"/>
        <w:rPr>
          <w:sz w:val="20"/>
          <w:szCs w:val="20"/>
          <w:color w:val="auto"/>
        </w:rPr>
      </w:pPr>
      <w:r>
        <w:rPr>
          <w:rFonts w:ascii="Times New Roman" w:cs="Times New Roman" w:eastAsia="Times New Roman" w:hAnsi="Times New Roman"/>
          <w:sz w:val="20"/>
          <w:szCs w:val="20"/>
          <w:color w:val="auto"/>
        </w:rPr>
        <w:t>Any holder of patents covering similar or identical technology to our technology could sue us for damages, which may be material in amount, and seek to prevent us from manufacturing, selling or developing our products (and we may be, in certain cases, prevented from initiating product launches in certain jurisdictions or be required to withdraw the product from the market after it has been launched). Intellectual property disputes can be costly and time consuming to defend and there is no guarantee that we would prevail in such lawsuit. If we believe we cannot successfully defend against certain infringement claims, we may seek to invalidate the patent or seek a license to the technology prior to or during legal actions in order to reduce the risks in connection with the product launches (or at a later time after product introduction) and to reduce further costs and the risk of a court determination that our technology, techniques, proprietary compounds or potential product</w:t>
      </w:r>
    </w:p>
    <w:p>
      <w:pPr>
        <w:sectPr>
          <w:pgSz w:w="12960" w:h="16560" w:orient="portrait"/>
          <w:cols w:equalWidth="0" w:num="1">
            <w:col w:w="10160"/>
          </w:cols>
          <w:pgMar w:left="1360" w:top="1420" w:right="1440" w:bottom="535" w:gutter="0" w:footer="0" w:header="0"/>
        </w:sect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960" w:h="16560" w:orient="portrait"/>
          <w:cols w:equalWidth="0" w:num="1">
            <w:col w:w="10160"/>
          </w:cols>
          <w:pgMar w:left="1360" w:top="1420" w:right="1440" w:bottom="535" w:gutter="0" w:footer="0" w:header="0"/>
          <w:type w:val="continuous"/>
        </w:sectPr>
      </w:pPr>
    </w:p>
    <w:bookmarkStart w:id="60" w:name="page61"/>
    <w:bookmarkEnd w:id="60"/>
    <w:p>
      <w:pPr>
        <w:ind w:right="160"/>
        <w:spacing w:after="0" w:line="277" w:lineRule="auto"/>
        <w:rPr>
          <w:sz w:val="20"/>
          <w:szCs w:val="20"/>
          <w:color w:val="auto"/>
        </w:rPr>
      </w:pPr>
      <w:r>
        <w:rPr>
          <w:rFonts w:ascii="Times New Roman" w:cs="Times New Roman" w:eastAsia="Times New Roman" w:hAnsi="Times New Roman"/>
          <w:sz w:val="20"/>
          <w:szCs w:val="20"/>
          <w:color w:val="auto"/>
        </w:rPr>
        <w:t>candidates infringe the third party’s patents. A required license may be costly or may not be available on acceptable terms, if at all. A costly license, or inability to obtain a necessary license, could have a material adverse effect on our business.</w:t>
      </w:r>
    </w:p>
    <w:p>
      <w:pPr>
        <w:spacing w:after="0" w:line="169" w:lineRule="exact"/>
        <w:rPr>
          <w:sz w:val="20"/>
          <w:szCs w:val="20"/>
          <w:color w:val="auto"/>
        </w:rPr>
      </w:pPr>
    </w:p>
    <w:p>
      <w:pPr>
        <w:ind w:firstLine="555"/>
        <w:spacing w:after="0" w:line="246" w:lineRule="auto"/>
        <w:rPr>
          <w:sz w:val="20"/>
          <w:szCs w:val="20"/>
          <w:color w:val="auto"/>
        </w:rPr>
      </w:pPr>
      <w:r>
        <w:rPr>
          <w:rFonts w:ascii="Times New Roman" w:cs="Times New Roman" w:eastAsia="Times New Roman" w:hAnsi="Times New Roman"/>
          <w:sz w:val="20"/>
          <w:szCs w:val="20"/>
          <w:color w:val="auto"/>
        </w:rPr>
        <w:t>In some instances, we believe we may prevail in a patent infringement action. There can, however, be no assurance that the court will agree with our position or that it will decide any infringement case in our favor. Nor can we be certain that, if we do not prevail in litigation, that we may be able to obtain a license to any third-party patent on commercially reasonable terms (or at all); successfully develop non-infringing alternatives on a timely basis (or at all); or license alternative non-infringing technology, if any exists, on commercially reasonable terms (or at all). Any impediment to our ability to manufacture, use or sell approved forms of our future products (if approved by regulatory authorities) or our product candidates could have a material adverse effect on our business and prospects.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It is possible that we could lose market exclusivity for a product earlier than expected, which may harm our competitive position.</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In our industry, much of an innovative product’s commercial value is realized while it has market exclusivity.</w:t>
      </w:r>
    </w:p>
    <w:p>
      <w:pPr>
        <w:spacing w:after="0" w:line="2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Market exclusivity for our future products (if approved for sale by regulatory authorities) will likely depend in large part on patent rights and certain regulatory forms of protection. As noted above, patent protection can be uncertain as to the validity, scope and enforceability of many issued patents. Absent relevant patent protection for a product, once regulatory exclusivity periods expire, generic versions of the product can be approved and marketed.</w:t>
      </w:r>
    </w:p>
    <w:p>
      <w:pPr>
        <w:spacing w:after="0" w:line="204" w:lineRule="exact"/>
        <w:rPr>
          <w:sz w:val="20"/>
          <w:szCs w:val="20"/>
          <w:color w:val="auto"/>
        </w:rPr>
      </w:pPr>
    </w:p>
    <w:p>
      <w:pPr>
        <w:ind w:right="60" w:firstLine="555"/>
        <w:spacing w:after="0" w:line="244" w:lineRule="auto"/>
        <w:rPr>
          <w:sz w:val="20"/>
          <w:szCs w:val="20"/>
          <w:color w:val="auto"/>
        </w:rPr>
      </w:pPr>
      <w:r>
        <w:rPr>
          <w:rFonts w:ascii="Times New Roman" w:cs="Times New Roman" w:eastAsia="Times New Roman" w:hAnsi="Times New Roman"/>
          <w:sz w:val="20"/>
          <w:szCs w:val="20"/>
          <w:color w:val="auto"/>
        </w:rPr>
        <w:t>The market exclusivity of our products may be impacted by competitive products that are either innovative or generic copies. In our industry, the risk of generic challenges has been increasing. U.S. law includes an approval pathway for generic versions of innovative small molecule products. Under the pathway, the FDA may approve products that are generic copies of innovative small molecule therapies on the basis of less extensive data than is required for a full new drug application. The law provides a mechanism to challenge the patents that protect an innovator’s products. Such litigation may begin as early as four years after the innovative small molecule product is first approved by the FDA. Pathways for generic products also exist in many other markets, including Europe and Japan. Competition, including from generics approved for marketing, would likely result in a decrease in volume of sales of our products, as well as a decrease in prices and lower margins for our products (if approved for marketing by regulatory authorities).</w:t>
      </w:r>
    </w:p>
    <w:p>
      <w:pPr>
        <w:spacing w:after="0" w:line="206"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49" w:lineRule="exact"/>
        <w:rPr>
          <w:sz w:val="20"/>
          <w:szCs w:val="20"/>
          <w:color w:val="auto"/>
        </w:rPr>
      </w:pPr>
    </w:p>
    <w:p>
      <w:pPr>
        <w:ind w:right="20" w:firstLine="555"/>
        <w:spacing w:after="0" w:line="242" w:lineRule="auto"/>
        <w:rPr>
          <w:sz w:val="20"/>
          <w:szCs w:val="20"/>
          <w:color w:val="auto"/>
        </w:rPr>
      </w:pPr>
      <w:r>
        <w:rPr>
          <w:rFonts w:ascii="Times New Roman" w:cs="Times New Roman" w:eastAsia="Times New Roman" w:hAnsi="Times New Roman"/>
          <w:sz w:val="20"/>
          <w:szCs w:val="20"/>
          <w:color w:val="auto"/>
        </w:rPr>
        <w:t>Competitors may infringe any patents we may own or in-license, our trade secrets or other proprietary rights. In addition, any patents or other proprietary rights we may own or in-license also may become involved in inventorship, priority, validity or unenforceability disputes. To counter infringement or unauthorized use, we may be required to file infringement claims, which can be expensive and time-consuming to litigate. We may not prevail in any lawsuits that we initiate, and the damages or other remedies awarded, if any, may not be commercially meaningful (and we may not be able to prevent the commercialization of any competitor product or a generic).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(relating to conduct used in connection with obtaining regulatory approval of a medical device or drug).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(or any other proprietary rights we may own). An adverse result in any litigation or defense proceedings could put one or more of any patents we may own or in-license at risk of being invalidated, held unenforceable, or interpreted narrowly and could put our patent applications at risk of not issuing. Uncertainties resulting from the initiation and continuation of patent litigation or other proceedings relating to our proprietary rights could have a material adverse effect on our ability to compete in the marketplace and may negatively impact our stock price.</w:t>
      </w:r>
    </w:p>
    <w:p>
      <w:pPr>
        <w:spacing w:after="0" w:line="207" w:lineRule="exact"/>
        <w:rPr>
          <w:sz w:val="20"/>
          <w:szCs w:val="20"/>
          <w:color w:val="auto"/>
        </w:rPr>
      </w:pPr>
    </w:p>
    <w:p>
      <w:pPr>
        <w:ind w:right="100" w:firstLine="555"/>
        <w:spacing w:after="0" w:line="244" w:lineRule="auto"/>
        <w:rPr>
          <w:sz w:val="20"/>
          <w:szCs w:val="20"/>
          <w:color w:val="auto"/>
        </w:rPr>
      </w:pPr>
      <w:r>
        <w:rPr>
          <w:rFonts w:ascii="Times New Roman" w:cs="Times New Roman" w:eastAsia="Times New Roman" w:hAnsi="Times New Roman"/>
          <w:sz w:val="20"/>
          <w:szCs w:val="20"/>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or at all.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w:t>
      </w:r>
    </w:p>
    <w:p>
      <w:pPr>
        <w:sectPr>
          <w:pgSz w:w="12960" w:h="16560" w:orient="portrait"/>
          <w:cols w:equalWidth="0" w:num="1">
            <w:col w:w="10160"/>
          </w:cols>
          <w:pgMar w:left="1360" w:top="1420" w:right="1440" w:bottom="535"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960" w:h="16560" w:orient="portrait"/>
          <w:cols w:equalWidth="0" w:num="1">
            <w:col w:w="10160"/>
          </w:cols>
          <w:pgMar w:left="1360" w:top="1420" w:right="1440" w:bottom="535" w:gutter="0" w:footer="0" w:header="0"/>
          <w:type w:val="continuous"/>
        </w:sectPr>
      </w:pPr>
    </w:p>
    <w:bookmarkStart w:id="61" w:name="page62"/>
    <w:bookmarkEnd w:id="61"/>
    <w:p>
      <w:pPr>
        <w:ind w:right="240" w:firstLine="555"/>
        <w:spacing w:after="0" w:line="246" w:lineRule="auto"/>
        <w:rPr>
          <w:sz w:val="20"/>
          <w:szCs w:val="20"/>
          <w:color w:val="auto"/>
        </w:rPr>
      </w:pPr>
      <w:r>
        <w:rPr>
          <w:rFonts w:ascii="Times New Roman" w:cs="Times New Roman" w:eastAsia="Times New Roman" w:hAnsi="Times New Roman"/>
          <w:sz w:val="20"/>
          <w:szCs w:val="20"/>
          <w:color w:val="auto"/>
        </w:rPr>
        <w:t>Even in cases in which we or our licensors or strategic partners initiate legal proceedings against a third party to enforce a patent covering one of our current or future product candidates, the defendant could (and in pharmaceutical patent litigation the defendant often does) make a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If such counterclaims are successful, the exclusivity related to the product may be lost and our business would be harmed.</w:t>
      </w:r>
    </w:p>
    <w:p>
      <w:pPr>
        <w:spacing w:after="0" w:line="20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49" w:lineRule="exact"/>
        <w:rPr>
          <w:sz w:val="20"/>
          <w:szCs w:val="20"/>
          <w:color w:val="auto"/>
        </w:rPr>
      </w:pPr>
    </w:p>
    <w:p>
      <w:pPr>
        <w:ind w:right="20" w:firstLine="555"/>
        <w:spacing w:after="0" w:line="244"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research and development activities or any future sales, marketing, patient support or distribution activities. We may not have sufficient financial or other resources to conduct such litigation or proceedings adequately (and we may decline to initiate litigation against a potential infringing party because the cost of the litigation and use of cash resources may be determined to not be in the best interests of the company at such time).</w:t>
      </w:r>
    </w:p>
    <w:p>
      <w:pPr>
        <w:spacing w:after="0" w:line="20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0" w:lineRule="exact"/>
        <w:rPr>
          <w:sz w:val="20"/>
          <w:szCs w:val="20"/>
          <w:color w:val="auto"/>
        </w:rPr>
      </w:pPr>
    </w:p>
    <w:p>
      <w:pPr>
        <w:ind w:right="20" w:firstLine="555"/>
        <w:spacing w:after="0" w:line="243" w:lineRule="auto"/>
        <w:rPr>
          <w:sz w:val="20"/>
          <w:szCs w:val="20"/>
          <w:color w:val="auto"/>
        </w:rPr>
      </w:pPr>
      <w:r>
        <w:rPr>
          <w:rFonts w:ascii="Times New Roman" w:cs="Times New Roman" w:eastAsia="Times New Roman" w:hAnsi="Times New Roman"/>
          <w:sz w:val="20"/>
          <w:szCs w:val="20"/>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our results of operations and the success of our business.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or research institutions.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203" w:lineRule="exact"/>
        <w:rPr>
          <w:sz w:val="20"/>
          <w:szCs w:val="20"/>
          <w:color w:val="auto"/>
        </w:rPr>
      </w:pPr>
    </w:p>
    <w:p>
      <w:pPr>
        <w:ind w:right="80" w:firstLine="562"/>
        <w:spacing w:after="0" w:line="277" w:lineRule="auto"/>
        <w:rPr>
          <w:sz w:val="20"/>
          <w:szCs w:val="20"/>
          <w:color w:val="auto"/>
        </w:rPr>
      </w:pPr>
      <w:r>
        <w:rPr>
          <w:rFonts w:ascii="Times New Roman" w:cs="Times New Roman" w:eastAsia="Times New Roman" w:hAnsi="Times New Roman"/>
          <w:sz w:val="20"/>
          <w:szCs w:val="20"/>
          <w:color w:val="auto"/>
        </w:rPr>
        <w:t>If a third party claims that we infringe, misappropriate or otherwise violate its intellectual property rights, we may face a number of issues, including, but not limited to:</w:t>
      </w:r>
    </w:p>
    <w:p>
      <w:pPr>
        <w:spacing w:after="0" w:line="63" w:lineRule="exact"/>
        <w:rPr>
          <w:sz w:val="20"/>
          <w:szCs w:val="20"/>
          <w:color w:val="auto"/>
        </w:rPr>
      </w:pPr>
    </w:p>
    <w:p>
      <w:pPr>
        <w:ind w:right="60" w:firstLine="8"/>
        <w:spacing w:after="0" w:line="252" w:lineRule="auto"/>
        <w:tabs>
          <w:tab w:leader="none" w:pos="192"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 w:lineRule="exact"/>
        <w:rPr>
          <w:rFonts w:ascii="Arial" w:cs="Arial" w:eastAsia="Arial" w:hAnsi="Arial"/>
          <w:sz w:val="20"/>
          <w:szCs w:val="20"/>
          <w:color w:val="auto"/>
        </w:rPr>
      </w:pPr>
    </w:p>
    <w:p>
      <w:pPr>
        <w:ind w:right="60" w:firstLine="8"/>
        <w:spacing w:after="0" w:line="244" w:lineRule="auto"/>
        <w:tabs>
          <w:tab w:leader="none" w:pos="192"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a court prohibiting us from developing, manufacturing, marketing or selling our current product candidates, including TNG462, TNG456 or TNG260 or future product candidates, or from using our proprietary technologies, unless the third party licenses its product, process or other rights to us, which it is not required to do, on commercially reasonable terms or at all;</w:t>
      </w:r>
    </w:p>
    <w:p>
      <w:pPr>
        <w:spacing w:after="0" w:line="2" w:lineRule="exact"/>
        <w:rPr>
          <w:rFonts w:ascii="Arial" w:cs="Arial" w:eastAsia="Arial" w:hAnsi="Arial"/>
          <w:sz w:val="20"/>
          <w:szCs w:val="20"/>
          <w:color w:val="auto"/>
        </w:rPr>
      </w:pPr>
    </w:p>
    <w:p>
      <w:pPr>
        <w:jc w:val="both"/>
        <w:ind w:right="120" w:firstLine="8"/>
        <w:spacing w:after="0" w:line="244" w:lineRule="auto"/>
        <w:tabs>
          <w:tab w:leader="none" w:pos="192"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if a license is available from a third party, we may have to pay substantial royalties, upfront fees and other amounts, and/or grant cross-licenses to intellectual property rights for our products, processes or other rights, or the license to us may be non-exclusive, which would permit third parties to use the same intellectual property to compete with us;</w:t>
      </w:r>
    </w:p>
    <w:p>
      <w:pPr>
        <w:spacing w:after="0" w:line="2" w:lineRule="exact"/>
        <w:rPr>
          <w:rFonts w:ascii="Arial" w:cs="Arial" w:eastAsia="Arial" w:hAnsi="Arial"/>
          <w:sz w:val="20"/>
          <w:szCs w:val="20"/>
          <w:color w:val="auto"/>
        </w:rPr>
      </w:pPr>
    </w:p>
    <w:p>
      <w:pPr>
        <w:ind w:right="180" w:firstLine="8"/>
        <w:spacing w:after="0" w:line="247" w:lineRule="auto"/>
        <w:tabs>
          <w:tab w:leader="none" w:pos="192"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ind w:right="60" w:firstLine="8"/>
        <w:spacing w:after="0" w:line="244" w:lineRule="auto"/>
        <w:tabs>
          <w:tab w:leader="none" w:pos="192"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w:t>
      </w:r>
    </w:p>
    <w:p>
      <w:pPr>
        <w:sectPr>
          <w:pgSz w:w="12960" w:h="16560" w:orient="portrait"/>
          <w:cols w:equalWidth="0" w:num="1">
            <w:col w:w="10160"/>
          </w:cols>
          <w:pgMar w:left="1360" w:top="1420" w:right="1440" w:bottom="535" w:gutter="0" w:footer="0" w:header="0"/>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960" w:h="16560" w:orient="portrait"/>
          <w:cols w:equalWidth="0" w:num="1">
            <w:col w:w="10160"/>
          </w:cols>
          <w:pgMar w:left="1360" w:top="1420" w:right="1440" w:bottom="535" w:gutter="0" w:footer="0" w:header="0"/>
          <w:type w:val="continuous"/>
        </w:sectPr>
      </w:pPr>
    </w:p>
    <w:bookmarkStart w:id="62" w:name="page63"/>
    <w:bookmarkEnd w:id="62"/>
    <w:p>
      <w:pPr>
        <w:ind w:right="260"/>
        <w:spacing w:after="0" w:line="258" w:lineRule="auto"/>
        <w:rPr>
          <w:sz w:val="20"/>
          <w:szCs w:val="20"/>
          <w:color w:val="auto"/>
        </w:rPr>
      </w:pPr>
      <w:r>
        <w:rPr>
          <w:rFonts w:ascii="Times New Roman" w:cs="Times New Roman" w:eastAsia="Times New Roman" w:hAnsi="Times New Roman"/>
          <w:sz w:val="20"/>
          <w:szCs w:val="20"/>
          <w:color w:val="auto"/>
        </w:rPr>
        <w:t>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or obtain intellectual property protection.</w:t>
      </w:r>
    </w:p>
    <w:p>
      <w:pPr>
        <w:spacing w:after="0" w:line="68" w:lineRule="exact"/>
        <w:rPr>
          <w:sz w:val="20"/>
          <w:szCs w:val="20"/>
          <w:color w:val="auto"/>
        </w:rPr>
      </w:pPr>
    </w:p>
    <w:p>
      <w:pPr>
        <w:ind w:firstLine="555"/>
        <w:spacing w:after="0" w:line="242" w:lineRule="auto"/>
        <w:rPr>
          <w:sz w:val="20"/>
          <w:szCs w:val="20"/>
          <w:color w:val="auto"/>
        </w:rPr>
      </w:pPr>
      <w:r>
        <w:rPr>
          <w:rFonts w:ascii="Times New Roman" w:cs="Times New Roman" w:eastAsia="Times New Roman" w:hAnsi="Times New Roman"/>
          <w:sz w:val="20"/>
          <w:szCs w:val="20"/>
          <w:color w:val="auto"/>
        </w:rPr>
        <w:t>We may not be able to (or we may decide not to) pursue patent coverage of our current or future product candidates and technologies in all countries. Filing, prosecuting and defending patents on current or future product candidates and technologies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213" w:lineRule="exact"/>
        <w:rPr>
          <w:sz w:val="20"/>
          <w:szCs w:val="20"/>
          <w:color w:val="auto"/>
        </w:rPr>
      </w:pPr>
    </w:p>
    <w:p>
      <w:pPr>
        <w:ind w:right="100" w:firstLine="555"/>
        <w:spacing w:after="0" w:line="245"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2" w:lineRule="exact"/>
        <w:rPr>
          <w:sz w:val="20"/>
          <w:szCs w:val="20"/>
          <w:color w:val="auto"/>
        </w:rPr>
      </w:pPr>
    </w:p>
    <w:p>
      <w:pPr>
        <w:ind w:firstLine="555"/>
        <w:spacing w:after="0" w:line="247" w:lineRule="auto"/>
        <w:rPr>
          <w:sz w:val="20"/>
          <w:szCs w:val="20"/>
          <w:color w:val="auto"/>
        </w:rPr>
      </w:pPr>
      <w:r>
        <w:rPr>
          <w:rFonts w:ascii="Times New Roman" w:cs="Times New Roman" w:eastAsia="Times New Roman" w:hAnsi="Times New Roman"/>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ind w:right="20" w:firstLine="555"/>
        <w:spacing w:after="0" w:line="243" w:lineRule="auto"/>
        <w:rPr>
          <w:sz w:val="20"/>
          <w:szCs w:val="20"/>
          <w:color w:val="auto"/>
        </w:rPr>
      </w:pPr>
      <w:r>
        <w:rPr>
          <w:rFonts w:ascii="Times New Roman" w:cs="Times New Roman" w:eastAsia="Times New Roman" w:hAnsi="Times New Roman"/>
          <w:sz w:val="20"/>
          <w:szCs w:val="20"/>
          <w:color w:val="auto"/>
        </w:rPr>
        <w:t>Our European patents and patent applications could be challenged in the recently created Unified Patent Court, or UPC, for the European Union. We may decide to opt out of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have historically been adjudicated.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2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68" w:lineRule="exact"/>
        <w:rPr>
          <w:sz w:val="20"/>
          <w:szCs w:val="20"/>
          <w:color w:val="auto"/>
        </w:rPr>
      </w:pPr>
    </w:p>
    <w:p>
      <w:pPr>
        <w:ind w:right="60" w:firstLine="555"/>
        <w:spacing w:after="0" w:line="249" w:lineRule="auto"/>
        <w:rPr>
          <w:sz w:val="20"/>
          <w:szCs w:val="20"/>
          <w:color w:val="auto"/>
        </w:rPr>
      </w:pPr>
      <w:r>
        <w:rPr>
          <w:rFonts w:ascii="Times New Roman" w:cs="Times New Roman" w:eastAsia="Times New Roman" w:hAnsi="Times New Roman"/>
          <w:sz w:val="20"/>
          <w:szCs w:val="20"/>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w:t>
      </w:r>
    </w:p>
    <w:p>
      <w:pPr>
        <w:sectPr>
          <w:pgSz w:w="12960" w:h="16560" w:orient="portrait"/>
          <w:cols w:equalWidth="0" w:num="1">
            <w:col w:w="10160"/>
          </w:cols>
          <w:pgMar w:left="1360" w:top="1420" w:right="1440" w:bottom="535"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960" w:h="16560" w:orient="portrait"/>
          <w:cols w:equalWidth="0" w:num="1">
            <w:col w:w="10160"/>
          </w:cols>
          <w:pgMar w:left="1360" w:top="1420" w:right="1440" w:bottom="535" w:gutter="0" w:footer="0" w:header="0"/>
          <w:type w:val="continuous"/>
        </w:sectPr>
      </w:pPr>
    </w:p>
    <w:bookmarkStart w:id="63" w:name="page64"/>
    <w:bookmarkEnd w:id="63"/>
    <w:p>
      <w:pPr>
        <w:ind w:right="320"/>
        <w:spacing w:after="0" w:line="258" w:lineRule="auto"/>
        <w:rPr>
          <w:sz w:val="20"/>
          <w:szCs w:val="20"/>
          <w:color w:val="auto"/>
        </w:rPr>
      </w:pPr>
      <w:r>
        <w:rPr>
          <w:rFonts w:ascii="Times New Roman" w:cs="Times New Roman" w:eastAsia="Times New Roman" w:hAnsi="Times New Roman"/>
          <w:sz w:val="20"/>
          <w:szCs w:val="20"/>
          <w:color w:val="auto"/>
        </w:rPr>
        <w:t>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88" w:lineRule="exact"/>
        <w:rPr>
          <w:sz w:val="20"/>
          <w:szCs w:val="20"/>
          <w:color w:val="auto"/>
        </w:rPr>
      </w:pPr>
    </w:p>
    <w:p>
      <w:pPr>
        <w:ind w:right="200" w:firstLine="562"/>
        <w:spacing w:after="0" w:line="249" w:lineRule="auto"/>
        <w:rPr>
          <w:sz w:val="20"/>
          <w:szCs w:val="20"/>
          <w:color w:val="auto"/>
        </w:rPr>
      </w:pPr>
      <w:r>
        <w:rPr>
          <w:rFonts w:ascii="Times New Roman" w:cs="Times New Roman" w:eastAsia="Times New Roman" w:hAnsi="Times New Roman"/>
          <w:sz w:val="20"/>
          <w:szCs w:val="20"/>
          <w:color w:val="auto"/>
        </w:rPr>
        <w:t>Further, the terms of these agreements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w:t>
      </w:r>
    </w:p>
    <w:p>
      <w:pPr>
        <w:spacing w:after="0" w:line="197" w:lineRule="exact"/>
        <w:rPr>
          <w:sz w:val="20"/>
          <w:szCs w:val="20"/>
          <w:color w:val="auto"/>
        </w:rPr>
      </w:pPr>
    </w:p>
    <w:p>
      <w:pPr>
        <w:ind w:right="140" w:firstLine="562"/>
        <w:spacing w:after="0" w:line="247" w:lineRule="auto"/>
        <w:rPr>
          <w:sz w:val="20"/>
          <w:szCs w:val="20"/>
          <w:color w:val="auto"/>
        </w:rPr>
      </w:pPr>
      <w:r>
        <w:rPr>
          <w:rFonts w:ascii="Times New Roman" w:cs="Times New Roman" w:eastAsia="Times New Roman" w:hAnsi="Times New Roman"/>
          <w:sz w:val="20"/>
          <w:szCs w:val="20"/>
          <w:color w:val="auto"/>
        </w:rPr>
        <w:t>Any termination of these licenses, or if the underlying patents or intellectual property or proprietary rights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or similar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200" w:lineRule="exact"/>
        <w:rPr>
          <w:sz w:val="20"/>
          <w:szCs w:val="20"/>
          <w:color w:val="auto"/>
        </w:rPr>
      </w:pPr>
    </w:p>
    <w:p>
      <w:pPr>
        <w:ind w:right="680" w:firstLine="562"/>
        <w:spacing w:after="0" w:line="277" w:lineRule="auto"/>
        <w:rPr>
          <w:sz w:val="20"/>
          <w:szCs w:val="20"/>
          <w:color w:val="auto"/>
        </w:rPr>
      </w:pPr>
      <w:r>
        <w:rPr>
          <w:rFonts w:ascii="Times New Roman" w:cs="Times New Roman" w:eastAsia="Times New Roman" w:hAnsi="Times New Roman"/>
          <w:sz w:val="20"/>
          <w:szCs w:val="20"/>
          <w:color w:val="auto"/>
        </w:rPr>
        <w:t>Disputes may also arise between us and licensors regarding intellectual property subject to a license agreement, including:</w:t>
      </w:r>
    </w:p>
    <w:p>
      <w:pPr>
        <w:spacing w:after="0" w:line="63"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35" w:lineRule="exact"/>
        <w:rPr>
          <w:rFonts w:ascii="Arial" w:cs="Arial" w:eastAsia="Arial" w:hAnsi="Arial"/>
          <w:sz w:val="20"/>
          <w:szCs w:val="20"/>
          <w:color w:val="auto"/>
        </w:rPr>
      </w:pPr>
    </w:p>
    <w:p>
      <w:pPr>
        <w:ind w:right="420" w:firstLine="8"/>
        <w:spacing w:after="0" w:line="247" w:lineRule="auto"/>
        <w:tabs>
          <w:tab w:leader="none" w:pos="192"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whether and the extent to which our technology and processes infringe, misappropriate or otherwise violate intellectual property rights of the licensor that is not subject to the licensing agreement;</w:t>
      </w:r>
    </w:p>
    <w:p>
      <w:pPr>
        <w:spacing w:after="0" w:line="1" w:lineRule="exact"/>
        <w:rPr>
          <w:rFonts w:ascii="Arial" w:cs="Arial" w:eastAsia="Arial" w:hAnsi="Arial"/>
          <w:sz w:val="20"/>
          <w:szCs w:val="20"/>
          <w:color w:val="auto"/>
        </w:rPr>
      </w:pPr>
    </w:p>
    <w:p>
      <w:pPr>
        <w:ind w:left="200" w:hanging="192"/>
        <w:spacing w:after="0"/>
        <w:tabs>
          <w:tab w:leader="none" w:pos="2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sublicense patent and other rights to third parties under collaborative development relationships;</w:t>
      </w:r>
    </w:p>
    <w:p>
      <w:pPr>
        <w:spacing w:after="0" w:line="13" w:lineRule="exact"/>
        <w:rPr>
          <w:rFonts w:ascii="Arial" w:cs="Arial" w:eastAsia="Arial" w:hAnsi="Arial"/>
          <w:sz w:val="20"/>
          <w:szCs w:val="20"/>
          <w:color w:val="auto"/>
        </w:rPr>
      </w:pPr>
    </w:p>
    <w:p>
      <w:pPr>
        <w:ind w:right="800" w:firstLine="8"/>
        <w:spacing w:after="0" w:line="260" w:lineRule="auto"/>
        <w:tabs>
          <w:tab w:leader="none" w:pos="192" w:val="left"/>
        </w:tabs>
        <w:numPr>
          <w:ilvl w:val="0"/>
          <w:numId w:val="36"/>
        </w:numPr>
        <w:rPr>
          <w:rFonts w:ascii="Arial" w:cs="Arial" w:eastAsia="Arial" w:hAnsi="Arial"/>
          <w:sz w:val="19"/>
          <w:szCs w:val="19"/>
          <w:color w:val="auto"/>
        </w:rPr>
      </w:pPr>
      <w:r>
        <w:rPr>
          <w:rFonts w:ascii="Times New Roman" w:cs="Times New Roman" w:eastAsia="Times New Roman" w:hAnsi="Times New Roman"/>
          <w:sz w:val="19"/>
          <w:szCs w:val="19"/>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1" w:lineRule="exact"/>
        <w:rPr>
          <w:rFonts w:ascii="Arial" w:cs="Arial" w:eastAsia="Arial" w:hAnsi="Arial"/>
          <w:sz w:val="19"/>
          <w:szCs w:val="19"/>
          <w:color w:val="auto"/>
        </w:rPr>
      </w:pPr>
    </w:p>
    <w:p>
      <w:pPr>
        <w:ind w:left="200" w:hanging="192"/>
        <w:spacing w:after="0"/>
        <w:tabs>
          <w:tab w:leader="none" w:pos="2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priority of invention of any patented technology; and</w:t>
      </w:r>
    </w:p>
    <w:p>
      <w:pPr>
        <w:spacing w:after="0" w:line="13" w:lineRule="exact"/>
        <w:rPr>
          <w:rFonts w:ascii="Arial" w:cs="Arial" w:eastAsia="Arial" w:hAnsi="Arial"/>
          <w:sz w:val="20"/>
          <w:szCs w:val="20"/>
          <w:color w:val="auto"/>
        </w:rPr>
      </w:pPr>
    </w:p>
    <w:p>
      <w:pPr>
        <w:ind w:right="380" w:firstLine="8"/>
        <w:spacing w:after="0" w:line="255" w:lineRule="auto"/>
        <w:tabs>
          <w:tab w:leader="none" w:pos="192"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future licensors and us and our partners and collaborators.</w:t>
      </w:r>
    </w:p>
    <w:p>
      <w:pPr>
        <w:spacing w:after="0" w:line="19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could diminish the value of patents in general, thereby impairing our ability to protect our current or future product candidates.</w:t>
      </w:r>
    </w:p>
    <w:p>
      <w:pPr>
        <w:spacing w:after="0" w:line="49" w:lineRule="exact"/>
        <w:rPr>
          <w:sz w:val="20"/>
          <w:szCs w:val="20"/>
          <w:color w:val="auto"/>
        </w:rPr>
      </w:pPr>
    </w:p>
    <w:p>
      <w:pPr>
        <w:ind w:right="40" w:firstLine="555"/>
        <w:spacing w:after="0" w:line="242" w:lineRule="auto"/>
        <w:rPr>
          <w:sz w:val="20"/>
          <w:szCs w:val="20"/>
          <w:color w:val="auto"/>
        </w:rPr>
      </w:pPr>
      <w:r>
        <w:rPr>
          <w:rFonts w:ascii="Times New Roman" w:cs="Times New Roman" w:eastAsia="Times New Roman" w:hAnsi="Times New Roman"/>
          <w:sz w:val="20"/>
          <w:szCs w:val="20"/>
          <w:color w:val="auto"/>
        </w:rPr>
        <w:t xml:space="preserve">Patent reform legislation in the United States and other countries, including the Leahy-Smith America Invents Act, or Leahy-Smith Act, signed into law on September 16, 2011, could increase uncertainties of the scope of our patent protection and the costs related to obtaining and enforcing our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33" w:lineRule="exact"/>
        <w:rPr>
          <w:sz w:val="20"/>
          <w:szCs w:val="20"/>
          <w:color w:val="auto"/>
        </w:rPr>
      </w:pPr>
    </w:p>
    <w:p>
      <w:pPr>
        <w:ind w:right="20" w:firstLine="555"/>
        <w:spacing w:after="0" w:line="258" w:lineRule="auto"/>
        <w:rPr>
          <w:sz w:val="20"/>
          <w:szCs w:val="20"/>
          <w:color w:val="auto"/>
        </w:rPr>
      </w:pPr>
      <w:r>
        <w:rPr>
          <w:rFonts w:ascii="Times New Roman" w:cs="Times New Roman" w:eastAsia="Times New Roman" w:hAnsi="Times New Roman"/>
          <w:sz w:val="20"/>
          <w:szCs w:val="20"/>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108" w:lineRule="exact"/>
        <w:rPr>
          <w:sz w:val="20"/>
          <w:szCs w:val="20"/>
          <w:color w:val="auto"/>
        </w:rPr>
      </w:pPr>
    </w:p>
    <w:p>
      <w:pPr>
        <w:ind w:right="40" w:firstLine="555"/>
        <w:spacing w:after="0" w:line="245" w:lineRule="auto"/>
        <w:rPr>
          <w:sz w:val="20"/>
          <w:szCs w:val="20"/>
          <w:color w:val="auto"/>
        </w:rPr>
      </w:pPr>
      <w:r>
        <w:rPr>
          <w:rFonts w:ascii="Times New Roman" w:cs="Times New Roman" w:eastAsia="Times New Roman" w:hAnsi="Times New Roman"/>
          <w:sz w:val="20"/>
          <w:szCs w:val="20"/>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 Further, other countries and jurisdictions, such as the European Union, periodically review their intellectual property laws and they may also</w:t>
      </w:r>
    </w:p>
    <w:p>
      <w:pPr>
        <w:sectPr>
          <w:pgSz w:w="12960" w:h="16560" w:orient="portrait"/>
          <w:cols w:equalWidth="0" w:num="1">
            <w:col w:w="10160"/>
          </w:cols>
          <w:pgMar w:left="1360" w:top="1420" w:right="1440" w:bottom="535"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960" w:h="16560" w:orient="portrait"/>
          <w:cols w:equalWidth="0" w:num="1">
            <w:col w:w="10160"/>
          </w:cols>
          <w:pgMar w:left="1360" w:top="1420" w:right="1440" w:bottom="535" w:gutter="0" w:footer="0" w:header="0"/>
          <w:type w:val="continuous"/>
        </w:sectPr>
      </w:pPr>
    </w:p>
    <w:bookmarkStart w:id="64" w:name="page65"/>
    <w:bookmarkEnd w:id="64"/>
    <w:p>
      <w:pPr>
        <w:ind w:right="620"/>
        <w:spacing w:after="0" w:line="277" w:lineRule="auto"/>
        <w:rPr>
          <w:sz w:val="20"/>
          <w:szCs w:val="20"/>
          <w:color w:val="auto"/>
        </w:rPr>
      </w:pPr>
      <w:r>
        <w:rPr>
          <w:rFonts w:ascii="Times New Roman" w:cs="Times New Roman" w:eastAsia="Times New Roman" w:hAnsi="Times New Roman"/>
          <w:sz w:val="20"/>
          <w:szCs w:val="20"/>
          <w:color w:val="auto"/>
        </w:rPr>
        <w:t>take similar actions that impact the laws and regulations governing patents and they may implement changes that could weaken our ability to obtain new patents or to enforce our rights under patents that we might obtain in the future.</w:t>
      </w:r>
    </w:p>
    <w:p>
      <w:pPr>
        <w:spacing w:after="0" w:line="16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68" w:lineRule="exact"/>
        <w:rPr>
          <w:sz w:val="20"/>
          <w:szCs w:val="20"/>
          <w:color w:val="auto"/>
        </w:rPr>
      </w:pPr>
    </w:p>
    <w:p>
      <w:pPr>
        <w:ind w:right="20" w:firstLine="555"/>
        <w:spacing w:after="0" w:line="241" w:lineRule="auto"/>
        <w:rPr>
          <w:sz w:val="20"/>
          <w:szCs w:val="20"/>
          <w:color w:val="auto"/>
        </w:rPr>
      </w:pPr>
      <w:r>
        <w:rPr>
          <w:rFonts w:ascii="Times New Roman" w:cs="Times New Roman" w:eastAsia="Times New Roman" w:hAnsi="Times New Roman"/>
          <w:sz w:val="20"/>
          <w:szCs w:val="20"/>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technologies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or use certain technologies. We may incorrectly determine that our current or future product candidates or technologies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or use certain technologies. Our failure to identify and correctly interpret relevant patents may negatively impact our ability to develop and market our current or future product candidates or use certain technologies.</w:t>
      </w:r>
    </w:p>
    <w:p>
      <w:pPr>
        <w:spacing w:after="0" w:line="219" w:lineRule="exact"/>
        <w:rPr>
          <w:sz w:val="20"/>
          <w:szCs w:val="20"/>
          <w:color w:val="auto"/>
        </w:rPr>
      </w:pPr>
    </w:p>
    <w:p>
      <w:pPr>
        <w:jc w:val="both"/>
        <w:ind w:right="440" w:firstLine="555"/>
        <w:spacing w:after="0" w:line="258" w:lineRule="auto"/>
        <w:rPr>
          <w:sz w:val="20"/>
          <w:szCs w:val="20"/>
          <w:color w:val="auto"/>
        </w:rPr>
      </w:pPr>
      <w:r>
        <w:rPr>
          <w:rFonts w:ascii="Times New Roman" w:cs="Times New Roman" w:eastAsia="Times New Roman" w:hAnsi="Times New Roman"/>
          <w:sz w:val="20"/>
          <w:szCs w:val="20"/>
          <w:color w:val="auto"/>
        </w:rPr>
        <w:t>If we fail to identify and correctly interpret relevant patents, we may be subject to infringement claims. We cannot guarantee that we will be able to successfully settle or otherwise resolve such infringement claims which can result in the adverse consequences related to infringement as described in the preceding risk factors.</w:t>
      </w:r>
    </w:p>
    <w:p>
      <w:pPr>
        <w:spacing w:after="0" w:line="18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49" w:lineRule="exact"/>
        <w:rPr>
          <w:sz w:val="20"/>
          <w:szCs w:val="20"/>
          <w:color w:val="auto"/>
        </w:rPr>
      </w:pPr>
    </w:p>
    <w:p>
      <w:pPr>
        <w:ind w:right="120" w:firstLine="562"/>
        <w:spacing w:after="0" w:line="249"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any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91" w:lineRule="exact"/>
        <w:rPr>
          <w:sz w:val="20"/>
          <w:szCs w:val="20"/>
          <w:color w:val="auto"/>
        </w:rPr>
      </w:pPr>
    </w:p>
    <w:p>
      <w:pPr>
        <w:ind w:right="400" w:firstLine="8"/>
        <w:spacing w:after="0" w:line="258" w:lineRule="auto"/>
        <w:tabs>
          <w:tab w:leader="none" w:pos="192"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patents, should they issue, that we may own or in-license, may not provide us with any competitive advantages, may be narrowed in scope, or may be challenged and held invalid or unenforceable;</w:t>
      </w:r>
    </w:p>
    <w:p>
      <w:pPr>
        <w:spacing w:after="0" w:line="1" w:lineRule="exact"/>
        <w:rPr>
          <w:rFonts w:ascii="Arial" w:cs="Arial" w:eastAsia="Arial" w:hAnsi="Arial"/>
          <w:sz w:val="20"/>
          <w:szCs w:val="20"/>
          <w:color w:val="auto"/>
        </w:rPr>
      </w:pPr>
    </w:p>
    <w:p>
      <w:pPr>
        <w:ind w:right="20" w:firstLine="8"/>
        <w:spacing w:after="0" w:line="244" w:lineRule="auto"/>
        <w:tabs>
          <w:tab w:leader="none" w:pos="192"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2" w:lineRule="exact"/>
        <w:rPr>
          <w:rFonts w:ascii="Arial" w:cs="Arial" w:eastAsia="Arial" w:hAnsi="Arial"/>
          <w:sz w:val="20"/>
          <w:szCs w:val="20"/>
          <w:color w:val="auto"/>
        </w:rPr>
      </w:pPr>
    </w:p>
    <w:p>
      <w:pPr>
        <w:ind w:right="20" w:firstLine="8"/>
        <w:spacing w:after="0" w:line="247" w:lineRule="auto"/>
        <w:tabs>
          <w:tab w:leader="none" w:pos="192"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we, or our future licensors or collaborators, might not have been the first to make the inventions or to file the patent covered by a patent application that we own or may in-license;</w:t>
      </w:r>
    </w:p>
    <w:p>
      <w:pPr>
        <w:ind w:right="420" w:firstLine="8"/>
        <w:spacing w:after="0" w:line="247" w:lineRule="auto"/>
        <w:tabs>
          <w:tab w:leader="none" w:pos="192"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without infringing, misappropriating or otherwise violating our intellectual property rights;</w:t>
      </w:r>
    </w:p>
    <w:p>
      <w:pPr>
        <w:ind w:right="160" w:firstLine="8"/>
        <w:spacing w:after="0" w:line="243" w:lineRule="auto"/>
        <w:tabs>
          <w:tab w:leader="none" w:pos="192"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2" w:lineRule="exact"/>
        <w:rPr>
          <w:rFonts w:ascii="Arial" w:cs="Arial" w:eastAsia="Arial" w:hAnsi="Arial"/>
          <w:sz w:val="20"/>
          <w:szCs w:val="20"/>
          <w:color w:val="auto"/>
        </w:rPr>
      </w:pPr>
    </w:p>
    <w:p>
      <w:pPr>
        <w:ind w:right="1020" w:firstLine="8"/>
        <w:spacing w:after="0" w:line="247" w:lineRule="auto"/>
        <w:tabs>
          <w:tab w:leader="none" w:pos="192"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 party may subsequently file a patent covering such trade secrets or know-how;</w:t>
      </w:r>
    </w:p>
    <w:p>
      <w:pPr>
        <w:ind w:left="200" w:hanging="192"/>
        <w:spacing w:after="0"/>
        <w:tabs>
          <w:tab w:leader="none" w:pos="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maintain the confidentiality of our trade secrets or other proprietary information;</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or in-license additional proprietary technologies that are patentable; and</w:t>
      </w:r>
    </w:p>
    <w:p>
      <w:pPr>
        <w:sectPr>
          <w:pgSz w:w="12960" w:h="16560" w:orient="portrait"/>
          <w:cols w:equalWidth="0" w:num="1">
            <w:col w:w="10160"/>
          </w:cols>
          <w:pgMar w:left="1360" w:top="1420" w:right="1440" w:bottom="535"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960" w:h="16560" w:orient="portrait"/>
          <w:cols w:equalWidth="0" w:num="1">
            <w:col w:w="10160"/>
          </w:cols>
          <w:pgMar w:left="1360" w:top="1420" w:right="1440" w:bottom="535" w:gutter="0" w:footer="0" w:header="0"/>
          <w:type w:val="continuous"/>
        </w:sectPr>
      </w:pPr>
    </w:p>
    <w:bookmarkStart w:id="65" w:name="page66"/>
    <w:bookmarkEnd w:id="65"/>
    <w:p>
      <w:pPr>
        <w:ind w:left="200" w:hanging="192"/>
        <w:spacing w:after="0"/>
        <w:tabs>
          <w:tab w:leader="none" w:pos="2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240" w:lineRule="exact"/>
        <w:rPr>
          <w:sz w:val="20"/>
          <w:szCs w:val="20"/>
          <w:color w:val="auto"/>
        </w:rPr>
      </w:pPr>
    </w:p>
    <w:p>
      <w:pPr>
        <w:ind w:right="140" w:firstLine="555"/>
        <w:spacing w:after="0" w:line="277" w:lineRule="auto"/>
        <w:rPr>
          <w:sz w:val="20"/>
          <w:szCs w:val="20"/>
          <w:color w:val="auto"/>
        </w:rPr>
      </w:pPr>
      <w:r>
        <w:rPr>
          <w:rFonts w:ascii="Times New Roman" w:cs="Times New Roman" w:eastAsia="Times New Roman" w:hAnsi="Times New Roman"/>
          <w:sz w:val="20"/>
          <w:szCs w:val="20"/>
          <w:color w:val="auto"/>
        </w:rPr>
        <w:t>Should any of these events occur, they could significantly harm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future commercial success depends on gaining regulatory approval for new products and obtaining approvals for new indications.</w:t>
      </w:r>
    </w:p>
    <w:p>
      <w:pPr>
        <w:spacing w:after="0" w:line="49" w:lineRule="exact"/>
        <w:rPr>
          <w:sz w:val="20"/>
          <w:szCs w:val="20"/>
          <w:color w:val="auto"/>
        </w:rPr>
      </w:pPr>
    </w:p>
    <w:p>
      <w:pPr>
        <w:ind w:right="180" w:firstLine="555"/>
        <w:spacing w:after="0" w:line="249" w:lineRule="auto"/>
        <w:rPr>
          <w:sz w:val="20"/>
          <w:szCs w:val="20"/>
          <w:color w:val="auto"/>
        </w:rPr>
      </w:pPr>
      <w:r>
        <w:rPr>
          <w:rFonts w:ascii="Times New Roman" w:cs="Times New Roman" w:eastAsia="Times New Roman" w:hAnsi="Times New Roman"/>
          <w:sz w:val="20"/>
          <w:szCs w:val="20"/>
          <w:color w:val="auto"/>
        </w:rPr>
        <w:t>We invest significant amounts in developing new products and technologies. Our success and revenue growth, if any, will depend in part on our identification, development, approval by regulatory authorities and commercialization of new products and technologies, and approval of additional indications by regulatory authorities for our products under development. Product development is very expensive, takes significant time and involves a high degree of risk. Only a small number of research and development programs result in the approval and commercialization of a product.</w:t>
      </w:r>
    </w:p>
    <w:p>
      <w:pPr>
        <w:spacing w:after="0" w:line="197" w:lineRule="exact"/>
        <w:rPr>
          <w:sz w:val="20"/>
          <w:szCs w:val="20"/>
          <w:color w:val="auto"/>
        </w:rPr>
      </w:pPr>
    </w:p>
    <w:p>
      <w:pPr>
        <w:ind w:right="260" w:firstLine="562"/>
        <w:spacing w:after="0" w:line="258" w:lineRule="auto"/>
        <w:rPr>
          <w:sz w:val="20"/>
          <w:szCs w:val="20"/>
          <w:color w:val="auto"/>
        </w:rPr>
      </w:pPr>
      <w:r>
        <w:rPr>
          <w:rFonts w:ascii="Times New Roman" w:cs="Times New Roman" w:eastAsia="Times New Roman" w:hAnsi="Times New Roman"/>
          <w:sz w:val="20"/>
          <w:szCs w:val="20"/>
          <w:color w:val="auto"/>
        </w:rPr>
        <w:t>Our ability to grow our business may be adversely affected if we are delayed or unable to successfully develop the products in our pipeline, gain regulatory approval of such product candidates, expand the indications that may be treated by such product candidates, or gain regulatory approval to sell and market such product candidates in additional jurisdictions.</w:t>
      </w:r>
    </w:p>
    <w:p>
      <w:pPr>
        <w:spacing w:after="0" w:line="188" w:lineRule="exact"/>
        <w:rPr>
          <w:sz w:val="20"/>
          <w:szCs w:val="20"/>
          <w:color w:val="auto"/>
        </w:rPr>
      </w:pPr>
    </w:p>
    <w:p>
      <w:pPr>
        <w:ind w:right="300" w:firstLine="562"/>
        <w:spacing w:after="0" w:line="252" w:lineRule="auto"/>
        <w:rPr>
          <w:sz w:val="20"/>
          <w:szCs w:val="20"/>
          <w:color w:val="auto"/>
        </w:rPr>
      </w:pPr>
      <w:r>
        <w:rPr>
          <w:rFonts w:ascii="Times New Roman" w:cs="Times New Roman" w:eastAsia="Times New Roman" w:hAnsi="Times New Roman"/>
          <w:sz w:val="20"/>
          <w:szCs w:val="20"/>
          <w:color w:val="auto"/>
        </w:rPr>
        <w:t>We must also maintain all such regulatory approvals for the period of time that we sell the product in each such jurisdiction. Our failure to obtain, or a delay in obtaining, approval or our failure to maintain approvals once obtained, will prevent us from selling products and generating revenues for those products in such jurisdiction where we do not hold such approvals.</w:t>
      </w:r>
    </w:p>
    <w:p>
      <w:pPr>
        <w:spacing w:after="0" w:line="19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ind w:right="120" w:firstLine="555"/>
        <w:spacing w:after="0" w:line="244" w:lineRule="auto"/>
        <w:rPr>
          <w:sz w:val="20"/>
          <w:szCs w:val="20"/>
          <w:color w:val="auto"/>
        </w:rPr>
      </w:pPr>
      <w:r>
        <w:rPr>
          <w:rFonts w:ascii="Times New Roman" w:cs="Times New Roman" w:eastAsia="Times New Roman" w:hAnsi="Times New Roman"/>
          <w:sz w:val="20"/>
          <w:szCs w:val="20"/>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206" w:lineRule="exact"/>
        <w:rPr>
          <w:sz w:val="20"/>
          <w:szCs w:val="20"/>
          <w:color w:val="auto"/>
        </w:rPr>
      </w:pPr>
    </w:p>
    <w:p>
      <w:pPr>
        <w:ind w:right="20" w:firstLine="555"/>
        <w:spacing w:after="0" w:line="243"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For example, even if the FDA grants regulatory approval of a product candidate, comparable regulatory authorities in foreign jurisdictions must also approve the manufacturing, sale, marketing and promotion of the product candidate in those countries. On the other hand, a failure or delay in obtaining regulatory approval in one jurisdiction may have a negative effect on the regulatory approval process in others.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208"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49" w:lineRule="exact"/>
        <w:rPr>
          <w:sz w:val="20"/>
          <w:szCs w:val="20"/>
          <w:color w:val="auto"/>
        </w:rPr>
      </w:pPr>
    </w:p>
    <w:p>
      <w:pPr>
        <w:ind w:right="100" w:firstLine="555"/>
        <w:spacing w:after="0" w:line="246" w:lineRule="auto"/>
        <w:rPr>
          <w:sz w:val="20"/>
          <w:szCs w:val="20"/>
          <w:color w:val="auto"/>
        </w:rPr>
      </w:pPr>
      <w:r>
        <w:rPr>
          <w:rFonts w:ascii="Times New Roman" w:cs="Times New Roman" w:eastAsia="Times New Roman" w:hAnsi="Times New Roman"/>
          <w:sz w:val="20"/>
          <w:szCs w:val="20"/>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from the date of filing.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w:t>
      </w:r>
    </w:p>
    <w:p>
      <w:pPr>
        <w:sectPr>
          <w:pgSz w:w="12960" w:h="16560" w:orient="portrait"/>
          <w:cols w:equalWidth="0" w:num="1">
            <w:col w:w="10160"/>
          </w:cols>
          <w:pgMar w:left="1360" w:top="1434" w:right="1440" w:bottom="535"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960" w:h="16560" w:orient="portrait"/>
          <w:cols w:equalWidth="0" w:num="1">
            <w:col w:w="10160"/>
          </w:cols>
          <w:pgMar w:left="1360" w:top="1434" w:right="1440" w:bottom="535"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color w:val="auto"/>
        </w:rPr>
        <w:t>approval process or necessarily confer any advantage with respect to approval compared to conventional FDA procedures.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Receiving priority review from the FDA does not guarantee approval within the six-month review cycle or at all.</w:t>
      </w:r>
    </w:p>
    <w:p>
      <w:pPr>
        <w:spacing w:after="0" w:line="212"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49" w:lineRule="exact"/>
        <w:rPr>
          <w:sz w:val="20"/>
          <w:szCs w:val="20"/>
          <w:color w:val="auto"/>
        </w:rPr>
      </w:pPr>
    </w:p>
    <w:p>
      <w:pPr>
        <w:ind w:right="100" w:firstLine="555"/>
        <w:spacing w:after="0" w:line="244" w:lineRule="auto"/>
        <w:rPr>
          <w:sz w:val="20"/>
          <w:szCs w:val="20"/>
          <w:color w:val="auto"/>
        </w:rPr>
      </w:pPr>
      <w:r>
        <w:rPr>
          <w:rFonts w:ascii="Times New Roman" w:cs="Times New Roman" w:eastAsia="Times New Roman" w:hAnsi="Times New Roman"/>
          <w:sz w:val="20"/>
          <w:szCs w:val="20"/>
          <w:color w:val="auto"/>
        </w:rPr>
        <w:t>As part of our business strategy, we may seek orphan drug designation for certain of our product candidates, and we may be unsuccessful in obtaining such designation.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The FDA granted Orphan Drug Designation to TNG462 for the treatment of soft tissue sarcoma and of pancreatic cancer.</w:t>
      </w:r>
    </w:p>
    <w:p>
      <w:pPr>
        <w:spacing w:after="0" w:line="206" w:lineRule="exact"/>
        <w:rPr>
          <w:sz w:val="20"/>
          <w:szCs w:val="20"/>
          <w:color w:val="auto"/>
        </w:rPr>
      </w:pPr>
    </w:p>
    <w:p>
      <w:pPr>
        <w:ind w:right="60" w:firstLine="555"/>
        <w:spacing w:after="0" w:line="244" w:lineRule="auto"/>
        <w:rPr>
          <w:sz w:val="20"/>
          <w:szCs w:val="20"/>
          <w:color w:val="auto"/>
        </w:rPr>
      </w:pPr>
      <w:r>
        <w:rPr>
          <w:rFonts w:ascii="Times New Roman" w:cs="Times New Roman" w:eastAsia="Times New Roman" w:hAnsi="Times New Roman"/>
          <w:sz w:val="20"/>
          <w:szCs w:val="20"/>
          <w:color w:val="auto"/>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not more than five in 10,000 persons in the European Union and for which no satisfactory method of diagnosis, prevention, or treatment has been authorized (or the product would be a significant benefit to those affected if a method already exists). Additionally, designation may be granted for products intended for the diagnosis, prevention, or treatment of a life-threatening, seriously debilitating or serious and chronic condition and when, without incentives, it is unlikely that sales of the product in the European Union would be sufficient to justify the necessary investment in developing the product. In the European Union, orphan designation entitles a party to financial incentives such as reduction of fees or fee waivers.</w:t>
      </w:r>
    </w:p>
    <w:p>
      <w:pPr>
        <w:spacing w:after="0" w:line="206" w:lineRule="exact"/>
        <w:rPr>
          <w:sz w:val="20"/>
          <w:szCs w:val="20"/>
          <w:color w:val="auto"/>
        </w:rPr>
      </w:pPr>
    </w:p>
    <w:p>
      <w:pPr>
        <w:ind w:right="220" w:firstLine="555"/>
        <w:spacing w:after="0" w:line="246" w:lineRule="auto"/>
        <w:rPr>
          <w:sz w:val="20"/>
          <w:szCs w:val="20"/>
          <w:color w:val="auto"/>
        </w:rPr>
      </w:pPr>
      <w:r>
        <w:rPr>
          <w:rFonts w:ascii="Times New Roman" w:cs="Times New Roman" w:eastAsia="Times New Roman" w:hAnsi="Times New Roman"/>
          <w:sz w:val="20"/>
          <w:szCs w:val="20"/>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at the end of the fifth year, it is established that a product no longer meets the criteria for orphan designation, including where it is shown that the product is sufficiently profitable so that market exclusivity is no longer justified.</w:t>
      </w:r>
    </w:p>
    <w:p>
      <w:pPr>
        <w:spacing w:after="0" w:line="200" w:lineRule="exact"/>
        <w:rPr>
          <w:sz w:val="20"/>
          <w:szCs w:val="20"/>
          <w:color w:val="auto"/>
        </w:rPr>
      </w:pPr>
    </w:p>
    <w:p>
      <w:pPr>
        <w:ind w:right="60" w:firstLine="555"/>
        <w:spacing w:after="0" w:line="243" w:lineRule="auto"/>
        <w:rPr>
          <w:sz w:val="20"/>
          <w:szCs w:val="20"/>
          <w:color w:val="auto"/>
        </w:rPr>
      </w:pPr>
      <w:r>
        <w:rPr>
          <w:rFonts w:ascii="Times New Roman" w:cs="Times New Roman" w:eastAsia="Times New Roman" w:hAnsi="Times New Roman"/>
          <w:sz w:val="20"/>
          <w:szCs w:val="20"/>
          <w:color w:val="auto"/>
        </w:rPr>
        <w:t>Obtaining orphan drug exclusivity may not effectively protect a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Orphan drug designation neither shortens the development time or regulatory review time of a product nor gives the product any advantage in the regulatory review or approval process. While we may seek orphan drug designation for our other product candidates, we may never receive such designations. Even if we do receive such designations, there is no guarantee that we will enjoy the benefits of those designations.</w:t>
      </w:r>
    </w:p>
    <w:p>
      <w:pPr>
        <w:spacing w:after="0" w:line="20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8" w:lineRule="exact"/>
        <w:rPr>
          <w:sz w:val="20"/>
          <w:szCs w:val="20"/>
          <w:color w:val="auto"/>
        </w:rPr>
      </w:pPr>
    </w:p>
    <w:p>
      <w:pPr>
        <w:ind w:right="160" w:firstLine="555"/>
        <w:spacing w:after="0" w:line="245" w:lineRule="auto"/>
        <w:rPr>
          <w:sz w:val="20"/>
          <w:szCs w:val="20"/>
          <w:color w:val="auto"/>
        </w:rPr>
      </w:pPr>
      <w:r>
        <w:rPr>
          <w:rFonts w:ascii="Times New Roman" w:cs="Times New Roman" w:eastAsia="Times New Roman" w:hAnsi="Times New Roman"/>
          <w:sz w:val="20"/>
          <w:szCs w:val="20"/>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w:t>
      </w:r>
    </w:p>
    <w:p>
      <w:pPr>
        <w:sectPr>
          <w:pgSz w:w="12960" w:h="16560" w:orient="portrait"/>
          <w:cols w:equalWidth="0" w:num="1">
            <w:col w:w="10160"/>
          </w:cols>
          <w:pgMar w:left="1360" w:top="1420" w:right="1440" w:bottom="535"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960" w:h="16560" w:orient="portrait"/>
          <w:cols w:equalWidth="0" w:num="1">
            <w:col w:w="10160"/>
          </w:cols>
          <w:pgMar w:left="1360" w:top="1420" w:right="1440" w:bottom="535" w:gutter="0" w:footer="0" w:header="0"/>
          <w:type w:val="continuous"/>
        </w:sectPr>
      </w:pPr>
    </w:p>
    <w:bookmarkStart w:id="67" w:name="page68"/>
    <w:bookmarkEnd w:id="67"/>
    <w:p>
      <w:pPr>
        <w:spacing w:after="0" w:line="245" w:lineRule="auto"/>
        <w:rPr>
          <w:sz w:val="20"/>
          <w:szCs w:val="20"/>
          <w:color w:val="auto"/>
        </w:rPr>
      </w:pPr>
      <w:r>
        <w:rPr>
          <w:rFonts w:ascii="Times New Roman" w:cs="Times New Roman" w:eastAsia="Times New Roman" w:hAnsi="Times New Roman"/>
          <w:sz w:val="20"/>
          <w:szCs w:val="20"/>
          <w:color w:val="auto"/>
        </w:rPr>
        <w:t>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202" w:lineRule="exact"/>
        <w:rPr>
          <w:sz w:val="20"/>
          <w:szCs w:val="20"/>
          <w:color w:val="auto"/>
        </w:rPr>
      </w:pPr>
    </w:p>
    <w:p>
      <w:pPr>
        <w:ind w:right="40" w:firstLine="555"/>
        <w:spacing w:after="0" w:line="246" w:lineRule="auto"/>
        <w:rPr>
          <w:sz w:val="20"/>
          <w:szCs w:val="20"/>
          <w:color w:val="auto"/>
        </w:rPr>
      </w:pPr>
      <w:r>
        <w:rPr>
          <w:rFonts w:ascii="Times New Roman" w:cs="Times New Roman" w:eastAsia="Times New Roman" w:hAnsi="Times New Roman"/>
          <w:sz w:val="20"/>
          <w:szCs w:val="20"/>
          <w:color w:val="auto"/>
        </w:rPr>
        <w:t>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00"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74" w:lineRule="exact"/>
        <w:rPr>
          <w:sz w:val="20"/>
          <w:szCs w:val="20"/>
          <w:color w:val="auto"/>
        </w:rPr>
      </w:pPr>
    </w:p>
    <w:p>
      <w:pPr>
        <w:ind w:firstLine="555"/>
        <w:spacing w:after="0" w:line="241" w:lineRule="auto"/>
        <w:rPr>
          <w:sz w:val="20"/>
          <w:szCs w:val="20"/>
          <w:color w:val="auto"/>
        </w:rPr>
      </w:pPr>
      <w:r>
        <w:rPr>
          <w:rFonts w:ascii="Times New Roman" w:cs="Times New Roman" w:eastAsia="Times New Roman" w:hAnsi="Times New Roman"/>
          <w:sz w:val="20"/>
          <w:szCs w:val="20"/>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Under the Food and Drug Omnibus Reform Act of 2022, or FDORA, the FDA is permitted to require that a post-approval confirmatory study or studies be under way prior to approval or, in limited circumstances,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Even if we do receive accelerated approval, we may not experience a faster development or regulatory review or approval process, and receiving accelerated approval does not provide assurance of traditional FDA approval.</w:t>
      </w:r>
    </w:p>
    <w:p>
      <w:pPr>
        <w:spacing w:after="0" w:line="220"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49" w:lineRule="exact"/>
        <w:rPr>
          <w:sz w:val="20"/>
          <w:szCs w:val="20"/>
          <w:color w:val="auto"/>
        </w:rPr>
      </w:pPr>
    </w:p>
    <w:p>
      <w:pPr>
        <w:ind w:right="40" w:firstLine="555"/>
        <w:spacing w:after="0" w:line="243" w:lineRule="auto"/>
        <w:rPr>
          <w:sz w:val="20"/>
          <w:szCs w:val="20"/>
          <w:color w:val="auto"/>
        </w:rPr>
      </w:pPr>
      <w:r>
        <w:rPr>
          <w:rFonts w:ascii="Times New Roman" w:cs="Times New Roman" w:eastAsia="Times New Roman" w:hAnsi="Times New Roman"/>
          <w:sz w:val="20"/>
          <w:szCs w:val="20"/>
          <w:color w:val="auto"/>
        </w:rPr>
        <w:t>The FDA, the EMA and regulatory authorities in other countries have expressed interest in further regulating biotechnology products. Agencies at both the federal and state level in the United States, as well as U.S. Congressional committees and other governments or governing agencies, have also expressed interest in further regulating the biotechnology industry and the pharmaceutical industry, in particular. Such governmental action or actions may delay or prevent commercialization of some or all of our product candidates. Adverse developments in clinical trials of products conducted by us or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w:t>
      </w:r>
    </w:p>
    <w:p>
      <w:pPr>
        <w:sectPr>
          <w:pgSz w:w="12960" w:h="16560" w:orient="portrait"/>
          <w:cols w:equalWidth="0" w:num="1">
            <w:col w:w="10160"/>
          </w:cols>
          <w:pgMar w:left="1360" w:top="1420" w:right="1440" w:bottom="535"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960" w:h="16560" w:orient="portrait"/>
          <w:cols w:equalWidth="0" w:num="1">
            <w:col w:w="10160"/>
          </w:cols>
          <w:pgMar w:left="1360" w:top="1420" w:right="1440" w:bottom="535" w:gutter="0" w:footer="0" w:header="0"/>
          <w:type w:val="continuous"/>
        </w:sectPr>
      </w:pPr>
    </w:p>
    <w:bookmarkStart w:id="68" w:name="page69"/>
    <w:bookmarkEnd w:id="68"/>
    <w:p>
      <w:pPr>
        <w:jc w:val="both"/>
        <w:ind w:right="320"/>
        <w:spacing w:after="0" w:line="258" w:lineRule="auto"/>
        <w:rPr>
          <w:sz w:val="20"/>
          <w:szCs w:val="20"/>
          <w:color w:val="auto"/>
        </w:rPr>
      </w:pPr>
      <w:r>
        <w:rPr>
          <w:rFonts w:ascii="Times New Roman" w:cs="Times New Roman" w:eastAsia="Times New Roman" w:hAnsi="Times New Roman"/>
          <w:sz w:val="20"/>
          <w:szCs w:val="20"/>
          <w:color w:val="auto"/>
        </w:rPr>
        <w:t>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48"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FDA, the SEC and other U.S. government agencies or the EMA or comparable foreign regulatory authorities, including from government shut downs, or other disruptions to these agencies’ operations, including significant leadership, personnel, and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ind w:right="40" w:firstLine="555"/>
        <w:spacing w:after="0" w:line="247" w:lineRule="auto"/>
        <w:rPr>
          <w:sz w:val="20"/>
          <w:szCs w:val="20"/>
          <w:color w:val="auto"/>
        </w:rPr>
      </w:pPr>
      <w:r>
        <w:rPr>
          <w:rFonts w:ascii="Times New Roman" w:cs="Times New Roman" w:eastAsia="Times New Roman" w:hAnsi="Times New Roman"/>
          <w:sz w:val="20"/>
          <w:szCs w:val="20"/>
          <w:color w:val="auto"/>
        </w:rPr>
        <w:t>The ability of the FDA, the EMA or comparable foreign regulatory authorities to review and approve new products can be affected by a variety of factors, including government priorities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200" w:lineRule="exact"/>
        <w:rPr>
          <w:sz w:val="20"/>
          <w:szCs w:val="20"/>
          <w:color w:val="auto"/>
        </w:rPr>
      </w:pPr>
    </w:p>
    <w:p>
      <w:pPr>
        <w:ind w:right="20" w:firstLine="555"/>
        <w:spacing w:after="0" w:line="258" w:lineRule="auto"/>
        <w:rPr>
          <w:sz w:val="20"/>
          <w:szCs w:val="20"/>
          <w:color w:val="auto"/>
        </w:rPr>
      </w:pPr>
      <w:r>
        <w:rPr>
          <w:rFonts w:ascii="Times New Roman" w:cs="Times New Roman" w:eastAsia="Times New Roman" w:hAnsi="Times New Roman"/>
          <w:sz w:val="20"/>
          <w:szCs w:val="20"/>
          <w:color w:val="auto"/>
        </w:rPr>
        <w:t>In addition, government funding of the SEC and other government agencies on which our operations may rely, and those that fund research and development activities that is required by third parties we enter into agreements with, is subject to the political process, which is inherently fluid and unpredictable.</w:t>
      </w:r>
    </w:p>
    <w:p>
      <w:pPr>
        <w:spacing w:after="0" w:line="188" w:lineRule="exact"/>
        <w:rPr>
          <w:sz w:val="20"/>
          <w:szCs w:val="20"/>
          <w:color w:val="auto"/>
        </w:rPr>
      </w:pPr>
    </w:p>
    <w:p>
      <w:pPr>
        <w:ind w:right="20" w:firstLine="555"/>
        <w:spacing w:after="0" w:line="244" w:lineRule="auto"/>
        <w:rPr>
          <w:sz w:val="20"/>
          <w:szCs w:val="20"/>
          <w:color w:val="auto"/>
        </w:rPr>
      </w:pPr>
      <w:r>
        <w:rPr>
          <w:rFonts w:ascii="Times New Roman" w:cs="Times New Roman" w:eastAsia="Times New Roman" w:hAnsi="Times New Roman"/>
          <w:sz w:val="20"/>
          <w:szCs w:val="20"/>
          <w:color w:val="auto"/>
        </w:rPr>
        <w:t>Disruptions at the FDA, the EMA and other agencies may also slow the time necessary for new product candidates to be reviewed and/or approved by necessary government agencies, which would adversely affect our business. Currently, federal agencies in the U.S. are operating under a continuing resolution that is set to expire on March 14, 2025. For example, in prior years the U.S. government has shut down several times and certain regulatory agencies, such as the FDA and the SEC, have had to furlough critical FDA, SEC and other government employees and stop critical activities. A prolonged government shutdown, significant leadership, personnel, and/or policy changes, or other substantial modification in agency activities (including due to global health concerns, the aims of the Trump administration, or geopolitical factors) could significantly impact the ability of the FDA to timely review and process our regulatory submissions, which could have a material adverse effect on our business.</w:t>
      </w:r>
    </w:p>
    <w:p>
      <w:pPr>
        <w:spacing w:after="0" w:line="206" w:lineRule="exact"/>
        <w:rPr>
          <w:sz w:val="20"/>
          <w:szCs w:val="20"/>
          <w:color w:val="auto"/>
        </w:rPr>
      </w:pPr>
    </w:p>
    <w:p>
      <w:pPr>
        <w:ind w:right="340" w:firstLine="555"/>
        <w:spacing w:after="0" w:line="277" w:lineRule="auto"/>
        <w:rPr>
          <w:sz w:val="20"/>
          <w:szCs w:val="20"/>
          <w:color w:val="auto"/>
        </w:rPr>
      </w:pPr>
      <w:r>
        <w:rPr>
          <w:rFonts w:ascii="Times New Roman" w:cs="Times New Roman" w:eastAsia="Times New Roman" w:hAnsi="Times New Roman"/>
          <w:sz w:val="20"/>
          <w:szCs w:val="20"/>
          <w:color w:val="auto"/>
        </w:rPr>
        <w:t>Further, in our operations as a public company, future government shutdowns could impact our ability to access the public markets and obtain necessary capital in order to properly capitalize and continue our operations.</w:t>
      </w:r>
    </w:p>
    <w:p>
      <w:pPr>
        <w:spacing w:after="0" w:line="16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Existing regulatory policies may change, and additional government regulations may be enacted that could prevent, limit or delay regulatory approval of our product candidates.</w:t>
      </w:r>
    </w:p>
    <w:p>
      <w:pPr>
        <w:spacing w:after="0" w:line="169"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legislative reform measures may have a material adverse effect on our business and results of operations.</w:t>
      </w:r>
    </w:p>
    <w:p>
      <w:pPr>
        <w:spacing w:after="0" w:line="120" w:lineRule="exact"/>
        <w:rPr>
          <w:sz w:val="20"/>
          <w:szCs w:val="20"/>
          <w:color w:val="auto"/>
        </w:rPr>
      </w:pPr>
    </w:p>
    <w:p>
      <w:pPr>
        <w:ind w:right="80" w:firstLine="555"/>
        <w:spacing w:after="0" w:line="245" w:lineRule="auto"/>
        <w:rPr>
          <w:sz w:val="20"/>
          <w:szCs w:val="20"/>
          <w:color w:val="auto"/>
        </w:rPr>
      </w:pPr>
      <w:r>
        <w:rPr>
          <w:rFonts w:ascii="Times New Roman" w:cs="Times New Roman" w:eastAsia="Times New Roman" w:hAnsi="Times New Roman"/>
          <w:sz w:val="20"/>
          <w:szCs w:val="20"/>
          <w:color w:val="auto"/>
        </w:rPr>
        <w:t>Changes in regulations, statutes or the interpretation of existing regulations and statutes could impact our business in the future by requiring, for example: (i) changes to our manufacturing arrangements; (ii) changes to the method in which drug prices are determined for Medicare and Medicaid participants or other potential patients in the U.S. (or by which drug prices are determined in other countries and regions), (iii) additions or modifications to product labeling (if, and when, a product is approved for sale); (iv) the recall or discontinuation of our products (if any products are approved by applicable regulatory authorities); or (v) additional record-keeping requirements. If any such changes were to be imposed, they could adversely affect the operation of our business. For additional information, see the section entitled “Business – Current and future healthcare reform legislation.”</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960" w:h="16560" w:orient="portrait"/>
          <w:cols w:equalWidth="0" w:num="1">
            <w:col w:w="10160"/>
          </w:cols>
          <w:pgMar w:left="1360" w:top="1420" w:right="1440" w:bottom="535" w:gutter="0" w:footer="0" w:header="0"/>
          <w:type w:val="continuous"/>
        </w:sectPr>
      </w:pPr>
    </w:p>
    <w:bookmarkStart w:id="69" w:name="page70"/>
    <w:bookmarkEnd w:id="69"/>
    <w:p>
      <w:pPr>
        <w:jc w:val="both"/>
        <w:ind w:right="960" w:firstLine="562"/>
        <w:spacing w:after="0" w:line="277" w:lineRule="auto"/>
        <w:rPr>
          <w:sz w:val="20"/>
          <w:szCs w:val="20"/>
          <w:color w:val="auto"/>
        </w:rPr>
      </w:pPr>
      <w:r>
        <w:rPr>
          <w:rFonts w:ascii="Times New Roman" w:cs="Times New Roman" w:eastAsia="Times New Roman" w:hAnsi="Times New Roman"/>
          <w:sz w:val="20"/>
          <w:szCs w:val="20"/>
          <w:color w:val="auto"/>
        </w:rPr>
        <w:t>The continuing efforts of the government, insurance companies, pharmacy benefit managers, managed care organizations and other payers of healthcare services to contain or reduce costs of healthcare may adversely affect:</w:t>
      </w:r>
    </w:p>
    <w:p>
      <w:pPr>
        <w:spacing w:after="0" w:line="63"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demand for any of our product candidates, if approved;</w:t>
      </w:r>
    </w:p>
    <w:p>
      <w:pPr>
        <w:spacing w:after="0" w:line="35"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set a price that we believe is fair for any of our product candidates, if approved;</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generate revenues and achieve or maintain profitability;</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capital.</w:t>
      </w:r>
    </w:p>
    <w:p>
      <w:pPr>
        <w:spacing w:after="0" w:line="219" w:lineRule="exact"/>
        <w:rPr>
          <w:sz w:val="20"/>
          <w:szCs w:val="20"/>
          <w:color w:val="auto"/>
        </w:rPr>
      </w:pPr>
    </w:p>
    <w:p>
      <w:pPr>
        <w:ind w:right="220" w:firstLine="555"/>
        <w:spacing w:after="0" w:line="249" w:lineRule="auto"/>
        <w:rPr>
          <w:sz w:val="20"/>
          <w:szCs w:val="20"/>
          <w:color w:val="auto"/>
        </w:rPr>
      </w:pPr>
      <w:r>
        <w:rPr>
          <w:rFonts w:ascii="Times New Roman" w:cs="Times New Roman" w:eastAsia="Times New Roman" w:hAnsi="Times New Roman"/>
          <w:sz w:val="20"/>
          <w:szCs w:val="20"/>
          <w:color w:val="auto"/>
        </w:rPr>
        <w:t>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97" w:lineRule="exact"/>
        <w:rPr>
          <w:sz w:val="20"/>
          <w:szCs w:val="20"/>
          <w:color w:val="auto"/>
        </w:rPr>
      </w:pPr>
    </w:p>
    <w:p>
      <w:pPr>
        <w:ind w:right="20" w:firstLine="555"/>
        <w:spacing w:after="0" w:line="245" w:lineRule="auto"/>
        <w:rPr>
          <w:sz w:val="20"/>
          <w:szCs w:val="20"/>
          <w:color w:val="auto"/>
        </w:rPr>
      </w:pPr>
      <w:r>
        <w:rPr>
          <w:rFonts w:ascii="Times New Roman" w:cs="Times New Roman" w:eastAsia="Times New Roman" w:hAnsi="Times New Roman"/>
          <w:sz w:val="20"/>
          <w:szCs w:val="20"/>
          <w:color w:val="auto"/>
        </w:rPr>
        <w:t>On August 16, 2022, President Biden signed into law the Inflation Reduction Act of 2022, or IRA, which, among other provisions, included several measures intended to lower the cost of prescription drugs and related healthcare reforms. This includes a provision that small molecule drugs can be chosen for price setting seven years after first approved by the FDA with the set price taking effect two years later, only nine years after the medicine was initially approved. This is far earlier than the time before small molecule medicines typically face generic competition. As a result, if we were to have one or more of our small molecule drugs approved by the FDA, under the IRA, we could be forced to sell our products at a lower price for CMS programs for several years earlier than would otherwise be the case. In addition, because this could result in lower future cash flows in those years, the valuation of the company could be negatively impacted.</w:t>
      </w:r>
    </w:p>
    <w:p>
      <w:pPr>
        <w:spacing w:after="0" w:line="202" w:lineRule="exact"/>
        <w:rPr>
          <w:sz w:val="20"/>
          <w:szCs w:val="20"/>
          <w:color w:val="auto"/>
        </w:rPr>
      </w:pPr>
    </w:p>
    <w:p>
      <w:pPr>
        <w:ind w:right="100" w:firstLine="555"/>
        <w:spacing w:after="0" w:line="249" w:lineRule="auto"/>
        <w:rPr>
          <w:sz w:val="20"/>
          <w:szCs w:val="20"/>
          <w:color w:val="auto"/>
        </w:rPr>
      </w:pPr>
      <w:r>
        <w:rPr>
          <w:rFonts w:ascii="Times New Roman" w:cs="Times New Roman" w:eastAsia="Times New Roman" w:hAnsi="Times New Roman"/>
          <w:sz w:val="20"/>
          <w:szCs w:val="20"/>
          <w:color w:val="auto"/>
        </w:rPr>
        <w:t>Further, reductions in reimbursement from Medicare and other government programs may also result in reductions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implemented regulations designed to encourage importation of drugs from other countries and bulk purchasing.</w:t>
      </w:r>
    </w:p>
    <w:p>
      <w:pPr>
        <w:spacing w:after="0" w:line="197" w:lineRule="exact"/>
        <w:rPr>
          <w:sz w:val="20"/>
          <w:szCs w:val="20"/>
          <w:color w:val="auto"/>
        </w:rPr>
      </w:pPr>
    </w:p>
    <w:p>
      <w:pPr>
        <w:ind w:firstLine="555"/>
        <w:spacing w:after="0" w:line="245" w:lineRule="auto"/>
        <w:rPr>
          <w:sz w:val="20"/>
          <w:szCs w:val="20"/>
          <w:color w:val="auto"/>
        </w:rPr>
      </w:pPr>
      <w:r>
        <w:rPr>
          <w:rFonts w:ascii="Times New Roman" w:cs="Times New Roman" w:eastAsia="Times New Roman" w:hAnsi="Times New Roman"/>
          <w:sz w:val="20"/>
          <w:szCs w:val="20"/>
          <w:color w:val="auto"/>
        </w:rPr>
        <w:t>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00" w:lineRule="exact"/>
        <w:rPr>
          <w:sz w:val="20"/>
          <w:szCs w:val="20"/>
          <w:color w:val="auto"/>
        </w:rPr>
      </w:pPr>
    </w:p>
    <w:p>
      <w:pPr>
        <w:spacing w:after="0" w:line="236" w:lineRule="exact"/>
        <w:rPr>
          <w:sz w:val="20"/>
          <w:szCs w:val="20"/>
          <w:color w:val="auto"/>
        </w:rPr>
      </w:pPr>
    </w:p>
    <w:p>
      <w:pPr>
        <w:ind w:right="60" w:firstLine="555"/>
        <w:spacing w:after="0" w:line="247" w:lineRule="auto"/>
        <w:rPr>
          <w:sz w:val="20"/>
          <w:szCs w:val="20"/>
          <w:color w:val="auto"/>
        </w:rPr>
      </w:pPr>
      <w:r>
        <w:rPr>
          <w:rFonts w:ascii="Times New Roman" w:cs="Times New Roman" w:eastAsia="Times New Roman" w:hAnsi="Times New Roman"/>
          <w:sz w:val="20"/>
          <w:szCs w:val="20"/>
          <w:color w:val="auto"/>
        </w:rPr>
        <w:t>We expect that additional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including pharmacy benefit managers, the increasing influence of health maintenance organizations, cost containment initiatives and additional legislative changes.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drugs and decrease our ability to generate revenue.</w:t>
      </w:r>
    </w:p>
    <w:p>
      <w:pPr>
        <w:spacing w:after="0" w:line="74" w:lineRule="exact"/>
        <w:rPr>
          <w:sz w:val="20"/>
          <w:szCs w:val="20"/>
          <w:color w:val="auto"/>
        </w:rPr>
      </w:pPr>
    </w:p>
    <w:p>
      <w:pPr>
        <w:ind w:right="40" w:firstLine="562"/>
        <w:spacing w:after="0" w:line="247" w:lineRule="auto"/>
        <w:rPr>
          <w:sz w:val="20"/>
          <w:szCs w:val="20"/>
          <w:color w:val="auto"/>
        </w:rPr>
      </w:pPr>
      <w:r>
        <w:rPr>
          <w:rFonts w:ascii="Times New Roman" w:cs="Times New Roman" w:eastAsia="Times New Roman" w:hAnsi="Times New Roman"/>
          <w:sz w:val="20"/>
          <w:szCs w:val="20"/>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For more information regarding insurance coverage and reimbursement please see “Business – Government Regulation – Insurance Coverage and Reimbursement.”</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960" w:h="16560" w:orient="portrait"/>
          <w:cols w:equalWidth="0" w:num="1">
            <w:col w:w="10160"/>
          </w:cols>
          <w:pgMar w:left="1360" w:top="1420" w:right="1440" w:bottom="535" w:gutter="0" w:footer="0" w:header="0"/>
          <w:type w:val="continuous"/>
        </w:sectPr>
      </w:pPr>
    </w:p>
    <w:bookmarkStart w:id="70" w:name="page71"/>
    <w:bookmarkEnd w:id="70"/>
    <w:p>
      <w:pPr>
        <w:ind w:right="200" w:firstLine="555"/>
        <w:spacing w:after="0" w:line="252" w:lineRule="auto"/>
        <w:rPr>
          <w:sz w:val="20"/>
          <w:szCs w:val="20"/>
          <w:color w:val="auto"/>
        </w:rPr>
      </w:pPr>
      <w:r>
        <w:rPr>
          <w:rFonts w:ascii="Times New Roman" w:cs="Times New Roman" w:eastAsia="Times New Roman" w:hAnsi="Times New Roman"/>
          <w:sz w:val="20"/>
          <w:szCs w:val="20"/>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88"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35" w:lineRule="exact"/>
        <w:rPr>
          <w:rFonts w:ascii="Arial" w:cs="Arial" w:eastAsia="Arial" w:hAnsi="Arial"/>
          <w:sz w:val="20"/>
          <w:szCs w:val="20"/>
          <w:color w:val="auto"/>
        </w:rPr>
      </w:pPr>
    </w:p>
    <w:p>
      <w:pPr>
        <w:ind w:left="200" w:hanging="192"/>
        <w:spacing w:after="0"/>
        <w:tabs>
          <w:tab w:leader="none" w:pos="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safe, effective and medically necessary;</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appropriate for the specific patient;</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cost-effective; and</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19" w:lineRule="exact"/>
        <w:rPr>
          <w:sz w:val="20"/>
          <w:szCs w:val="20"/>
          <w:color w:val="auto"/>
        </w:rPr>
      </w:pPr>
    </w:p>
    <w:p>
      <w:pPr>
        <w:ind w:right="160" w:firstLine="555"/>
        <w:spacing w:after="0" w:line="252" w:lineRule="auto"/>
        <w:rPr>
          <w:sz w:val="20"/>
          <w:szCs w:val="20"/>
          <w:color w:val="auto"/>
        </w:rPr>
      </w:pPr>
      <w:r>
        <w:rPr>
          <w:rFonts w:ascii="Times New Roman" w:cs="Times New Roman" w:eastAsia="Times New Roman" w:hAnsi="Times New Roman"/>
          <w:sz w:val="20"/>
          <w:szCs w:val="20"/>
          <w:color w:val="auto"/>
        </w:rPr>
        <w:t>Even if we obtain coverage for our product candidates by a third-party payor, the resulting reimbursement payment rates may not be adequate or may require co-payments that patients find unacceptably high. We cannot be sure that coverage and reimbursement in the U.S., the European Union or elsewhere will be available for our product candidates or any product that we may develop, and any reimbursement that may become available may be decreased or eliminated in the future.</w:t>
      </w:r>
    </w:p>
    <w:p>
      <w:pPr>
        <w:spacing w:after="0" w:line="194" w:lineRule="exact"/>
        <w:rPr>
          <w:sz w:val="20"/>
          <w:szCs w:val="20"/>
          <w:color w:val="auto"/>
        </w:rPr>
      </w:pPr>
    </w:p>
    <w:p>
      <w:pPr>
        <w:ind w:right="80" w:firstLine="555"/>
        <w:spacing w:after="0" w:line="244" w:lineRule="auto"/>
        <w:rPr>
          <w:sz w:val="20"/>
          <w:szCs w:val="20"/>
          <w:color w:val="auto"/>
        </w:rPr>
      </w:pPr>
      <w:r>
        <w:rPr>
          <w:rFonts w:ascii="Times New Roman" w:cs="Times New Roman" w:eastAsia="Times New Roman" w:hAnsi="Times New Roman"/>
          <w:sz w:val="20"/>
          <w:szCs w:val="20"/>
          <w:color w:val="auto"/>
        </w:rPr>
        <w:t>There is significant uncertainty related to the insurance coverage and reimbursement of newly-approved products. In the U.S., third-party payors, and governmental healthcare plans,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Outside the U.S., international operations are generally subject to extensive governmental price controls and other market regulations, and we believe the increasing emphasis on cost-containment initiatives in Europe and other foreign jurisdictions will put pressure on the pricing and usage of our product candidates (if approved by regulators).</w:t>
      </w:r>
    </w:p>
    <w:p>
      <w:pPr>
        <w:spacing w:after="0" w:line="202" w:lineRule="exact"/>
        <w:rPr>
          <w:sz w:val="20"/>
          <w:szCs w:val="20"/>
          <w:color w:val="auto"/>
        </w:rPr>
      </w:pPr>
    </w:p>
    <w:p>
      <w:pPr>
        <w:ind w:right="40" w:firstLine="555"/>
        <w:spacing w:after="0" w:line="246" w:lineRule="auto"/>
        <w:rPr>
          <w:sz w:val="20"/>
          <w:szCs w:val="20"/>
          <w:color w:val="auto"/>
        </w:rPr>
      </w:pPr>
      <w:r>
        <w:rPr>
          <w:rFonts w:ascii="Times New Roman" w:cs="Times New Roman" w:eastAsia="Times New Roman" w:hAnsi="Times New Roman"/>
          <w:sz w:val="20"/>
          <w:szCs w:val="20"/>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20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8" w:lineRule="exact"/>
        <w:rPr>
          <w:sz w:val="20"/>
          <w:szCs w:val="20"/>
          <w:color w:val="auto"/>
        </w:rPr>
      </w:pPr>
    </w:p>
    <w:p>
      <w:pPr>
        <w:ind w:firstLine="555"/>
        <w:spacing w:after="0" w:line="245" w:lineRule="auto"/>
        <w:rPr>
          <w:sz w:val="20"/>
          <w:szCs w:val="20"/>
          <w:color w:val="auto"/>
        </w:rPr>
      </w:pPr>
      <w:r>
        <w:rPr>
          <w:rFonts w:ascii="Times New Roman" w:cs="Times New Roman" w:eastAsia="Times New Roman" w:hAnsi="Times New Roman"/>
          <w:sz w:val="20"/>
          <w:szCs w:val="20"/>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may obtain regulatory approval. Our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the section entitled “</w:t>
      </w:r>
      <w:r>
        <w:rPr>
          <w:rFonts w:ascii="Times New Roman" w:cs="Times New Roman" w:eastAsia="Times New Roman" w:hAnsi="Times New Roman"/>
          <w:sz w:val="20"/>
          <w:szCs w:val="20"/>
          <w:i w:val="1"/>
          <w:iCs w:val="1"/>
          <w:color w:val="auto"/>
        </w:rPr>
        <w:t>Business – Other healthcare laws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firstLine="555"/>
        <w:spacing w:after="0" w:line="243" w:lineRule="auto"/>
        <w:rPr>
          <w:sz w:val="20"/>
          <w:szCs w:val="20"/>
          <w:color w:val="auto"/>
        </w:rPr>
      </w:pPr>
      <w:r>
        <w:rPr>
          <w:rFonts w:ascii="Times New Roman" w:cs="Times New Roman" w:eastAsia="Times New Roman" w:hAnsi="Times New Roman"/>
          <w:sz w:val="20"/>
          <w:szCs w:val="20"/>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w:t>
      </w:r>
    </w:p>
    <w:p>
      <w:pPr>
        <w:sectPr>
          <w:pgSz w:w="12960" w:h="16560" w:orient="portrait"/>
          <w:cols w:equalWidth="0" w:num="1">
            <w:col w:w="10160"/>
          </w:cols>
          <w:pgMar w:left="1360" w:top="1420" w:right="1440" w:bottom="535"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960" w:h="16560" w:orient="portrait"/>
          <w:cols w:equalWidth="0" w:num="1">
            <w:col w:w="10160"/>
          </w:cols>
          <w:pgMar w:left="1360" w:top="1420" w:right="1440" w:bottom="535" w:gutter="0" w:footer="0" w:header="0"/>
          <w:type w:val="continuous"/>
        </w:sectPr>
      </w:pPr>
    </w:p>
    <w:bookmarkStart w:id="71" w:name="page72"/>
    <w:bookmarkEnd w:id="71"/>
    <w:p>
      <w:pPr>
        <w:ind w:right="100"/>
        <w:spacing w:after="0" w:line="258" w:lineRule="auto"/>
        <w:rPr>
          <w:sz w:val="20"/>
          <w:szCs w:val="20"/>
          <w:color w:val="auto"/>
        </w:rPr>
      </w:pPr>
      <w:r>
        <w:rPr>
          <w:rFonts w:ascii="Times New Roman" w:cs="Times New Roman" w:eastAsia="Times New Roman" w:hAnsi="Times New Roman"/>
          <w:sz w:val="20"/>
          <w:szCs w:val="20"/>
          <w:color w:val="auto"/>
        </w:rPr>
        <w:t>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188"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9" w:lineRule="exact"/>
        <w:rPr>
          <w:sz w:val="20"/>
          <w:szCs w:val="20"/>
          <w:color w:val="auto"/>
        </w:rPr>
      </w:pPr>
    </w:p>
    <w:p>
      <w:pPr>
        <w:ind w:right="120" w:firstLine="555"/>
        <w:spacing w:after="0" w:line="245"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appropriately licensed and permitted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2" w:lineRule="exact"/>
        <w:rPr>
          <w:sz w:val="20"/>
          <w:szCs w:val="20"/>
          <w:color w:val="auto"/>
        </w:rPr>
      </w:pPr>
    </w:p>
    <w:p>
      <w:pPr>
        <w:ind w:right="140" w:firstLine="555"/>
        <w:spacing w:after="0" w:line="252"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7" w:lineRule="exact"/>
        <w:rPr>
          <w:sz w:val="20"/>
          <w:szCs w:val="20"/>
          <w:color w:val="auto"/>
        </w:rPr>
      </w:pPr>
    </w:p>
    <w:p>
      <w:pPr>
        <w:ind w:right="60" w:firstLine="562"/>
        <w:spacing w:after="0" w:line="242" w:lineRule="auto"/>
        <w:rPr>
          <w:sz w:val="20"/>
          <w:szCs w:val="20"/>
          <w:color w:val="auto"/>
        </w:rPr>
      </w:pPr>
      <w:r>
        <w:rPr>
          <w:rFonts w:ascii="Times New Roman" w:cs="Times New Roman" w:eastAsia="Times New Roman" w:hAnsi="Times New Roman"/>
          <w:sz w:val="20"/>
          <w:szCs w:val="20"/>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 and GCPs for any clinical trials that we conduct post-approval and pharmacovigilance reporting obligations. Manufacturers and other entities involved in the manufacture and distribution of approved drugs,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including applicable product tracking and tracing requirements.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include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right="260" w:firstLine="8"/>
        <w:spacing w:after="0" w:line="258" w:lineRule="auto"/>
        <w:tabs>
          <w:tab w:leader="none" w:pos="192"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withdrawal of the product from the market, or voluntary or mandatory product recalls;</w:t>
      </w:r>
    </w:p>
    <w:p>
      <w:pPr>
        <w:spacing w:after="0" w:line="1" w:lineRule="exact"/>
        <w:rPr>
          <w:rFonts w:ascii="Arial" w:cs="Arial" w:eastAsia="Arial" w:hAnsi="Arial"/>
          <w:sz w:val="20"/>
          <w:szCs w:val="20"/>
          <w:color w:val="auto"/>
        </w:rPr>
      </w:pPr>
    </w:p>
    <w:p>
      <w:pPr>
        <w:ind w:firstLine="8"/>
        <w:spacing w:after="0" w:line="247" w:lineRule="auto"/>
        <w:tabs>
          <w:tab w:leader="none" w:pos="192"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delays and supply disruptions where regulatory inspections identify observations of noncompliance requiring remediation;</w:t>
      </w:r>
    </w:p>
    <w:p>
      <w:pPr>
        <w:ind w:right="160" w:firstLine="8"/>
        <w:spacing w:after="0" w:line="247" w:lineRule="auto"/>
        <w:tabs>
          <w:tab w:leader="none" w:pos="192"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revisions to the labeling, including limitation on approved uses or the addition of additional warnings, contraindications or other safety information, including boxed warnings;</w:t>
      </w:r>
    </w:p>
    <w:p>
      <w:pPr>
        <w:ind w:left="200" w:hanging="192"/>
        <w:spacing w:after="0"/>
        <w:tabs>
          <w:tab w:leader="none" w:pos="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REMS which may include distribution or use restrictions;</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additional post-market clinical trials to assess the safety of the product;</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 holds;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other regulatory enforcement action;</w:t>
      </w:r>
    </w:p>
    <w:p>
      <w:pPr>
        <w:spacing w:after="0" w:line="14" w:lineRule="exact"/>
        <w:rPr>
          <w:rFonts w:ascii="Arial" w:cs="Arial" w:eastAsia="Arial" w:hAnsi="Arial"/>
          <w:sz w:val="20"/>
          <w:szCs w:val="20"/>
          <w:color w:val="auto"/>
        </w:rPr>
      </w:pPr>
    </w:p>
    <w:p>
      <w:pPr>
        <w:ind w:right="280" w:firstLine="8"/>
        <w:spacing w:after="0" w:line="247" w:lineRule="auto"/>
        <w:tabs>
          <w:tab w:leader="none" w:pos="192"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approvals;</w:t>
      </w:r>
    </w:p>
    <w:p>
      <w:pPr>
        <w:spacing w:after="0" w:line="1" w:lineRule="exact"/>
        <w:rPr>
          <w:rFonts w:ascii="Arial" w:cs="Arial" w:eastAsia="Arial" w:hAnsi="Arial"/>
          <w:sz w:val="20"/>
          <w:szCs w:val="20"/>
          <w:color w:val="auto"/>
        </w:rPr>
      </w:pPr>
    </w:p>
    <w:p>
      <w:pPr>
        <w:ind w:left="200" w:hanging="192"/>
        <w:spacing w:after="0"/>
        <w:tabs>
          <w:tab w:leader="none" w:pos="2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and</w:t>
      </w:r>
    </w:p>
    <w:p>
      <w:pPr>
        <w:sectPr>
          <w:pgSz w:w="12960" w:h="16560" w:orient="portrait"/>
          <w:cols w:equalWidth="0" w:num="1">
            <w:col w:w="10160"/>
          </w:cols>
          <w:pgMar w:left="1360" w:top="1420" w:right="1440" w:bottom="535"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960" w:h="16560" w:orient="portrait"/>
          <w:cols w:equalWidth="0" w:num="1">
            <w:col w:w="10160"/>
          </w:cols>
          <w:pgMar w:left="1360" w:top="1420" w:right="1440" w:bottom="535" w:gutter="0" w:footer="0" w:header="0"/>
          <w:type w:val="continuous"/>
        </w:sectPr>
      </w:pPr>
    </w:p>
    <w:bookmarkStart w:id="72" w:name="page73"/>
    <w:bookmarkEnd w:id="72"/>
    <w:p>
      <w:pPr>
        <w:ind w:left="200" w:hanging="192"/>
        <w:spacing w:after="0"/>
        <w:tabs>
          <w:tab w:leader="none" w:pos="2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40" w:lineRule="exact"/>
        <w:rPr>
          <w:sz w:val="20"/>
          <w:szCs w:val="20"/>
          <w:color w:val="auto"/>
        </w:rPr>
      </w:pPr>
    </w:p>
    <w:p>
      <w:pPr>
        <w:ind w:firstLine="555"/>
        <w:spacing w:after="0" w:line="247"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governmental laws or regulations may be enacted that could prevent, limit or delay regulatory approval of our product candidates. In addition, FDA guidance and policies are often revised or reinterpreted by the agency in ways that may significantly affect the manner in which drug products are regulated and marketed.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0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European data collection is governed by restrictive regulations governing the use, processing and cross-border transfer of personal information.</w:t>
      </w:r>
    </w:p>
    <w:p>
      <w:pPr>
        <w:spacing w:after="0" w:line="49" w:lineRule="exact"/>
        <w:rPr>
          <w:sz w:val="20"/>
          <w:szCs w:val="20"/>
          <w:color w:val="auto"/>
        </w:rPr>
      </w:pPr>
    </w:p>
    <w:p>
      <w:pPr>
        <w:ind w:firstLine="555"/>
        <w:spacing w:after="0" w:line="243" w:lineRule="auto"/>
        <w:rPr>
          <w:sz w:val="20"/>
          <w:szCs w:val="20"/>
          <w:color w:val="auto"/>
        </w:rPr>
      </w:pPr>
      <w:r>
        <w:rPr>
          <w:rFonts w:ascii="Times New Roman" w:cs="Times New Roman" w:eastAsia="Times New Roman" w:hAnsi="Times New Roman"/>
          <w:sz w:val="20"/>
          <w:szCs w:val="20"/>
          <w:color w:val="auto"/>
        </w:rPr>
        <w:t>We are conducting and plan to conduct additional clinical trials and enroll subjects in our current or future clinical trials in the U.S. and Europe (and elsewhere), and therefore we will be subject to privacy restrictions. The collection, use, storage, disclosure, transfer, or other processing of personal data regarding individuals in the EEA, including personal health data, is subject to the EU GDPR and similarly, processing of personal data regarding individuals in the UK is subject to the UK General Data Protection Regulation and the UK Data Protection Act 2018, or UK GDPR (and together with the EU GDPR, the GDPR). The GDPR is wide-ranging in scope and imposes numerous requirements on companies that process personal data, including strict requirements relating to processing health and other sensitive data, ensuring that there is a legal basis or condition to justify the processing of personal data, stringent requirements relating to the consent of the individuals to whom the personal data relates (where applicable), providing information to individuals regarding data processing activities, implementing safeguards to protect the security and confidentiality of personal data, providing notification of data breaches, and taking certain measures when engaging third-party processors.</w:t>
      </w:r>
    </w:p>
    <w:p>
      <w:pPr>
        <w:spacing w:after="0" w:line="208" w:lineRule="exact"/>
        <w:rPr>
          <w:sz w:val="20"/>
          <w:szCs w:val="20"/>
          <w:color w:val="auto"/>
        </w:rPr>
      </w:pPr>
    </w:p>
    <w:p>
      <w:pPr>
        <w:ind w:right="60" w:firstLine="555"/>
        <w:spacing w:after="0" w:line="245" w:lineRule="auto"/>
        <w:rPr>
          <w:sz w:val="20"/>
          <w:szCs w:val="20"/>
          <w:color w:val="auto"/>
        </w:rPr>
      </w:pPr>
      <w:r>
        <w:rPr>
          <w:rFonts w:ascii="Times New Roman" w:cs="Times New Roman" w:eastAsia="Times New Roman" w:hAnsi="Times New Roman"/>
          <w:sz w:val="20"/>
          <w:szCs w:val="20"/>
          <w:color w:val="auto"/>
        </w:rPr>
        <w:t>The GDPR also imposes strict rules on the transfer of personal data outside of the EEA and UK to countries that do not ensure an adequate level of protection, like the United States in certain circumstances unless a valid GDPR transfer mechanism (for example, the European Commission approved Standard Contractual Clauses, or SCCs, and the UK International Data Transfer Agreement/Addendum, or UK IDTA) has been put in place). Where relying on the SCCs or UK IDTA for data transfers, we may also be required to carry out transfer impact assessments to assess whether the recipient is subject to local laws which allow public authority access to personal data. Any inability to transfer personal data from the EEA and UK to the United States in compliance with data protection laws may impede our ability to conduct trials and may adversely affect our business and financial position.</w:t>
      </w:r>
    </w:p>
    <w:p>
      <w:pPr>
        <w:spacing w:after="0" w:line="202" w:lineRule="exact"/>
        <w:rPr>
          <w:sz w:val="20"/>
          <w:szCs w:val="20"/>
          <w:color w:val="auto"/>
        </w:rPr>
      </w:pPr>
    </w:p>
    <w:p>
      <w:pPr>
        <w:ind w:firstLine="555"/>
        <w:spacing w:after="0" w:line="243" w:lineRule="auto"/>
        <w:rPr>
          <w:sz w:val="20"/>
          <w:szCs w:val="20"/>
          <w:color w:val="auto"/>
        </w:rPr>
      </w:pPr>
      <w:r>
        <w:rPr>
          <w:rFonts w:ascii="Times New Roman" w:cs="Times New Roman" w:eastAsia="Times New Roman" w:hAnsi="Times New Roman"/>
          <w:sz w:val="20"/>
          <w:szCs w:val="20"/>
          <w:color w:val="auto"/>
        </w:rPr>
        <w:t>Failure to comply with the GDPR, and any supplemental EEA Member State or UK national data protection laws which may apply by virtue of the location of the individuals whose personal data we collect, may result in substantial penalties to which we could be subject in the event of any non-compliance, including potential fines of up to the greater of €20 million (£17.5 million under the UK GDPR) or up to 4% of our total worldwide annual turnover for more serious offenses. The GDPR also confers a private right of action on data subjects and consumer associations to lodge complaints with supervisory authorities, seek judicial remedies, and obtain compensation for damages resulting from violations of the GDPR. While we have implemented procedures to comply with the GDPR, maintaining ongoing compliance with these regulations will be a rigorous and time-intensive process that we expect will increase our cost of doing business and require us to continue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EU GDPR in a different manner, making compliance in certain countries and across the EEA challenging.</w:t>
      </w:r>
    </w:p>
    <w:p>
      <w:pPr>
        <w:spacing w:after="0" w:line="206" w:lineRule="exact"/>
        <w:rPr>
          <w:sz w:val="20"/>
          <w:szCs w:val="20"/>
          <w:color w:val="auto"/>
        </w:rPr>
      </w:pPr>
    </w:p>
    <w:p>
      <w:pPr>
        <w:ind w:right="60" w:firstLine="555"/>
        <w:spacing w:after="0" w:line="243" w:lineRule="auto"/>
        <w:rPr>
          <w:sz w:val="20"/>
          <w:szCs w:val="20"/>
          <w:color w:val="auto"/>
        </w:rPr>
      </w:pPr>
      <w:r>
        <w:rPr>
          <w:rFonts w:ascii="Times New Roman" w:cs="Times New Roman" w:eastAsia="Times New Roman" w:hAnsi="Times New Roman"/>
          <w:sz w:val="20"/>
          <w:szCs w:val="20"/>
          <w:color w:val="auto"/>
        </w:rPr>
        <w:t>The UK’s data protection regime is independent from but aligned to the EU’s data protection regime. Although the UK is regarded as a third country under the EU’s GDPR, the European Commission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However, the UK government is planning to reform its data protection law with the Data (Use and Access) Bill, which it introduced to Parliament on October 24, 2024.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ectPr>
          <w:pgSz w:w="12960" w:h="16560" w:orient="portrait"/>
          <w:cols w:equalWidth="0" w:num="1">
            <w:col w:w="10160"/>
          </w:cols>
          <w:pgMar w:left="1360" w:top="1434" w:right="1440" w:bottom="535"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960" w:h="16560" w:orient="portrait"/>
          <w:cols w:equalWidth="0" w:num="1">
            <w:col w:w="10160"/>
          </w:cols>
          <w:pgMar w:left="1360" w:top="1434" w:right="1440" w:bottom="535" w:gutter="0" w:footer="0" w:header="0"/>
          <w:type w:val="continuous"/>
        </w:sectPr>
      </w:pPr>
    </w:p>
    <w:bookmarkStart w:id="73" w:name="page74"/>
    <w:bookmarkEnd w:id="73"/>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68" w:lineRule="exact"/>
        <w:rPr>
          <w:sz w:val="20"/>
          <w:szCs w:val="20"/>
          <w:color w:val="auto"/>
        </w:rPr>
      </w:pPr>
    </w:p>
    <w:p>
      <w:pPr>
        <w:ind w:firstLine="555"/>
        <w:spacing w:after="0" w:line="245" w:lineRule="auto"/>
        <w:rPr>
          <w:sz w:val="20"/>
          <w:szCs w:val="20"/>
          <w:color w:val="auto"/>
        </w:rPr>
      </w:pPr>
      <w:r>
        <w:rPr>
          <w:rFonts w:ascii="Times New Roman" w:cs="Times New Roman" w:eastAsia="Times New Roman" w:hAnsi="Times New Roman"/>
          <w:sz w:val="20"/>
          <w:szCs w:val="20"/>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2" w:lineRule="exact"/>
        <w:rPr>
          <w:sz w:val="20"/>
          <w:szCs w:val="20"/>
          <w:color w:val="auto"/>
        </w:rPr>
      </w:pPr>
    </w:p>
    <w:p>
      <w:pPr>
        <w:ind w:right="220" w:firstLine="555"/>
        <w:spacing w:after="0" w:line="249" w:lineRule="auto"/>
        <w:rPr>
          <w:sz w:val="20"/>
          <w:szCs w:val="20"/>
          <w:color w:val="auto"/>
        </w:rPr>
      </w:pPr>
      <w:r>
        <w:rPr>
          <w:rFonts w:ascii="Times New Roman" w:cs="Times New Roman" w:eastAsia="Times New Roman" w:hAnsi="Times New Roman"/>
          <w:sz w:val="20"/>
          <w:szCs w:val="20"/>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7" w:lineRule="exact"/>
        <w:rPr>
          <w:sz w:val="20"/>
          <w:szCs w:val="20"/>
          <w:color w:val="auto"/>
        </w:rPr>
      </w:pPr>
    </w:p>
    <w:p>
      <w:pPr>
        <w:ind w:right="20" w:firstLine="555"/>
        <w:spacing w:after="0" w:line="247" w:lineRule="auto"/>
        <w:rPr>
          <w:sz w:val="20"/>
          <w:szCs w:val="20"/>
          <w:color w:val="auto"/>
        </w:rPr>
      </w:pPr>
      <w:r>
        <w:rPr>
          <w:rFonts w:ascii="Times New Roman" w:cs="Times New Roman" w:eastAsia="Times New Roman" w:hAnsi="Times New Roman"/>
          <w:sz w:val="20"/>
          <w:szCs w:val="20"/>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200" w:lineRule="exact"/>
        <w:rPr>
          <w:sz w:val="20"/>
          <w:szCs w:val="20"/>
          <w:color w:val="auto"/>
        </w:rPr>
      </w:pPr>
    </w:p>
    <w:p>
      <w:pPr>
        <w:jc w:val="both"/>
        <w:ind w:right="160" w:firstLine="562"/>
        <w:spacing w:after="0" w:line="258" w:lineRule="auto"/>
        <w:rPr>
          <w:sz w:val="20"/>
          <w:szCs w:val="20"/>
          <w:color w:val="auto"/>
        </w:rPr>
      </w:pPr>
      <w:r>
        <w:rPr>
          <w:rFonts w:ascii="Times New Roman" w:cs="Times New Roman" w:eastAsia="Times New Roman" w:hAnsi="Times New Roman"/>
          <w:sz w:val="20"/>
          <w:szCs w:val="20"/>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69"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We operate globally and, if approved, we may sell our products in countries throughout the world. Significant political, trade, or regulatory developments in the jurisdictions in which we conduct clinical trials, where we may seek to obtain approval of our products or where may sell our products (if approved by regulatory authorities for sale), such as those stemming from the change in U.S. federal administration, are difficult to predict and may have a material adverse effect on us and our operations. Similarly, changes in U.S. federal policy that affect the geopolitical landscape could give rise to circumstances outside our control that could have negative impacts on our business operations. For example, on February 1, 2025, the U.S. imposed a 25% tariff on imports from Canada and Mexico, which were subsequently suspended for a period of one month, and a 10% additional tariff on imports from China (we obtain certain drug product and API from vendors in China andour sole supplier of API is located in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Anticipated Growth</w:t>
      </w:r>
    </w:p>
    <w:p>
      <w:pPr>
        <w:spacing w:after="0" w:line="244"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experienced scientists and to attract, retain and motivate qualified personnel.</w:t>
      </w:r>
    </w:p>
    <w:p>
      <w:pPr>
        <w:spacing w:after="0" w:line="49" w:lineRule="exact"/>
        <w:rPr>
          <w:sz w:val="20"/>
          <w:szCs w:val="20"/>
          <w:color w:val="auto"/>
        </w:rPr>
      </w:pPr>
    </w:p>
    <w:p>
      <w:pPr>
        <w:ind w:right="180" w:firstLine="555"/>
        <w:spacing w:after="0" w:line="247" w:lineRule="auto"/>
        <w:rPr>
          <w:sz w:val="20"/>
          <w:szCs w:val="20"/>
          <w:color w:val="auto"/>
        </w:rPr>
      </w:pPr>
      <w:r>
        <w:rPr>
          <w:rFonts w:ascii="Times New Roman" w:cs="Times New Roman" w:eastAsia="Times New Roman" w:hAnsi="Times New Roman"/>
          <w:sz w:val="20"/>
          <w:szCs w:val="20"/>
          <w:color w:val="auto"/>
        </w:rPr>
        <w:t>We are highly dependent on many of our key employees and members of our executive management team as well as the other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clinical trial and commercialization strategies. Our consultants and advisors may be employed by employers other than us and may have</w:t>
      </w:r>
    </w:p>
    <w:p>
      <w:pPr>
        <w:sectPr>
          <w:pgSz w:w="12960" w:h="16560" w:orient="portrait"/>
          <w:cols w:equalWidth="0" w:num="1">
            <w:col w:w="10160"/>
          </w:cols>
          <w:pgMar w:left="1360" w:top="1420" w:right="1440" w:bottom="535"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960" w:h="16560" w:orient="portrait"/>
          <w:cols w:equalWidth="0" w:num="1">
            <w:col w:w="10160"/>
          </w:cols>
          <w:pgMar w:left="1360" w:top="1420" w:right="1440" w:bottom="535" w:gutter="0" w:footer="0" w:header="0"/>
          <w:type w:val="continuous"/>
        </w:sectPr>
      </w:pPr>
    </w:p>
    <w:bookmarkStart w:id="74" w:name="page75"/>
    <w:bookmarkEnd w:id="74"/>
    <w:p>
      <w:pPr>
        <w:ind w:right="80"/>
        <w:spacing w:after="0" w:line="277" w:lineRule="auto"/>
        <w:rPr>
          <w:sz w:val="20"/>
          <w:szCs w:val="20"/>
          <w:color w:val="auto"/>
        </w:rPr>
      </w:pPr>
      <w:r>
        <w:rPr>
          <w:rFonts w:ascii="Times New Roman" w:cs="Times New Roman" w:eastAsia="Times New Roman" w:hAnsi="Times New Roman"/>
          <w:sz w:val="20"/>
          <w:szCs w:val="20"/>
          <w:color w:val="auto"/>
        </w:rPr>
        <w:t>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9" w:lineRule="exact"/>
        <w:rPr>
          <w:sz w:val="20"/>
          <w:szCs w:val="20"/>
          <w:color w:val="auto"/>
        </w:rPr>
      </w:pPr>
    </w:p>
    <w:p>
      <w:pPr>
        <w:ind w:right="120" w:firstLine="555"/>
        <w:spacing w:after="0" w:line="243" w:lineRule="auto"/>
        <w:rPr>
          <w:sz w:val="20"/>
          <w:szCs w:val="20"/>
          <w:color w:val="auto"/>
        </w:rPr>
      </w:pPr>
      <w:r>
        <w:rPr>
          <w:rFonts w:ascii="Times New Roman" w:cs="Times New Roman" w:eastAsia="Times New Roman" w:hAnsi="Times New Roman"/>
          <w:sz w:val="20"/>
          <w:szCs w:val="20"/>
          <w:color w:val="auto"/>
        </w:rPr>
        <w:t>Recruiting and retaining qualified scientific, clinical, medical, regulatory, manufacturing and sales and marketing personnel is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provide evidence of safety and efficacy of our product candidates in clinical trials and advance such candidates into registrational clinical trials, or delays experienced in such clinical trials, may make it more challenging to recruit and retain qualified scientific personnel.</w:t>
      </w:r>
    </w:p>
    <w:p>
      <w:pPr>
        <w:spacing w:after="0" w:line="206" w:lineRule="exact"/>
        <w:rPr>
          <w:sz w:val="20"/>
          <w:szCs w:val="20"/>
          <w:color w:val="auto"/>
        </w:rPr>
      </w:pPr>
    </w:p>
    <w:p>
      <w:pPr>
        <w:ind w:right="60" w:firstLine="555"/>
        <w:spacing w:after="0" w:line="247" w:lineRule="auto"/>
        <w:rPr>
          <w:sz w:val="20"/>
          <w:szCs w:val="20"/>
          <w:color w:val="auto"/>
        </w:rPr>
      </w:pPr>
      <w:r>
        <w:rPr>
          <w:rFonts w:ascii="Times New Roman" w:cs="Times New Roman" w:eastAsia="Times New Roman" w:hAnsi="Times New Roman"/>
          <w:sz w:val="20"/>
          <w:szCs w:val="20"/>
          <w:color w:val="auto"/>
        </w:rPr>
        <w:t>In particular, we have experienced a very competitive hiring environment in Boston and Cambridge, Massachusetts.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00"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adequately protect our information technology systems from cyberattacks, cyber intrusions or otherwise which could result in damage to our information technology system and unauthorized disclosure or use of confidential or proprietary information, including personal data.</w:t>
      </w:r>
    </w:p>
    <w:p>
      <w:pPr>
        <w:spacing w:after="0" w:line="188" w:lineRule="exact"/>
        <w:rPr>
          <w:sz w:val="20"/>
          <w:szCs w:val="20"/>
          <w:color w:val="auto"/>
        </w:rPr>
      </w:pPr>
    </w:p>
    <w:p>
      <w:pPr>
        <w:ind w:right="180" w:firstLine="555"/>
        <w:spacing w:after="0" w:line="252" w:lineRule="auto"/>
        <w:rPr>
          <w:sz w:val="20"/>
          <w:szCs w:val="20"/>
          <w:color w:val="auto"/>
        </w:rPr>
      </w:pPr>
      <w:r>
        <w:rPr>
          <w:rFonts w:ascii="Times New Roman" w:cs="Times New Roman" w:eastAsia="Times New Roman" w:hAnsi="Times New Roman"/>
          <w:sz w:val="20"/>
          <w:szCs w:val="20"/>
          <w:color w:val="auto"/>
        </w:rPr>
        <w:t>We rely on information technology systems that we or our third-party providers operate to process, transmit and store electronic health information in our day-to-day operations. In connection with our clinical trials, we (and our third party processors assisting with the clinical trials) may have access to or store clinical and health information of the patients participating in the trials and such information may be accessed as result of a cyberattack, cyber intrusion or otherwise.</w:t>
      </w:r>
    </w:p>
    <w:p>
      <w:pPr>
        <w:spacing w:after="0" w:line="194" w:lineRule="exact"/>
        <w:rPr>
          <w:sz w:val="20"/>
          <w:szCs w:val="20"/>
          <w:color w:val="auto"/>
        </w:rPr>
      </w:pPr>
    </w:p>
    <w:p>
      <w:pPr>
        <w:ind w:right="60" w:firstLine="555"/>
        <w:spacing w:after="0" w:line="242" w:lineRule="auto"/>
        <w:rPr>
          <w:sz w:val="20"/>
          <w:szCs w:val="20"/>
          <w:color w:val="auto"/>
        </w:rPr>
      </w:pPr>
      <w:r>
        <w:rPr>
          <w:rFonts w:ascii="Times New Roman" w:cs="Times New Roman" w:eastAsia="Times New Roman" w:hAnsi="Times New Roman"/>
          <w:sz w:val="20"/>
          <w:szCs w:val="20"/>
          <w:color w:val="auto"/>
        </w:rPr>
        <w:t>A security breach, incident or compromise, whether through a successful cyberattack, cyber intrusion or otherwise,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computer viruses, denial-of-service, social engineering tactics or other means to threaten the security, confidentiality, integrity and availability of our information technology systems and data. A security breach, incident or compromise, whether through a successful cyberattack or otherwise, could cause serious negative consequences for us, including, without limitation, the disruption of operations, the misappropriation of confidential business information, including the compounds we are developing, our screening platform technology, financial information, trade secrets, financial loss and the disclosure of corporate strategic plans. Although we have implemented various measures designed to protect our information technology systems, there can be no assurance that our efforts will prevent security breaches, incidents or other compromises that would result in business, legal, financial or reputational harm to us, or would have a material adverse effect on our results of operations and financial condition. Any failure to prevent or mitigate security breaches, incidents or compromises could lead to improper access to, use of, or disclosure of our proprietary or confidential information (including clinical data or patients’ personal data) and could result in significant liability under various data protection laws, including state (e.g., state breach notification laws), federal (e.g., HIPAA, as amended by HITECH), and international laws (e.g., the GDPR) and may cause a material adverse impact to our reputation, affect our ability to continue existing clinical trials and conduct new clinical trials and potentially disrupt our business.</w:t>
      </w:r>
    </w:p>
    <w:p>
      <w:pPr>
        <w:spacing w:after="0" w:line="204" w:lineRule="exact"/>
        <w:rPr>
          <w:sz w:val="20"/>
          <w:szCs w:val="20"/>
          <w:color w:val="auto"/>
        </w:rPr>
      </w:pPr>
    </w:p>
    <w:p>
      <w:pPr>
        <w:ind w:right="40" w:firstLine="555"/>
        <w:spacing w:after="0" w:line="246" w:lineRule="auto"/>
        <w:rPr>
          <w:sz w:val="20"/>
          <w:szCs w:val="20"/>
          <w:color w:val="auto"/>
        </w:rPr>
      </w:pPr>
      <w:r>
        <w:rPr>
          <w:rFonts w:ascii="Times New Roman" w:cs="Times New Roman" w:eastAsia="Times New Roman" w:hAnsi="Times New Roman"/>
          <w:sz w:val="20"/>
          <w:szCs w:val="20"/>
          <w:color w:val="auto"/>
        </w:rPr>
        <w:t>We rely on our third-party providers to implement effective security measures and identify and correct for any such failures, deficiencies or breaches of our systems.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cyber-attacks and any such attacks could result in the losses described above as well as disputes with physicians, patients and our partners and collaborators, regulatory sanctions or penalties, increases in operating and other expenses or lost revenue or other adverse consequences, any of which could have a material adverse effect on our business, results of operations, financial</w:t>
      </w:r>
    </w:p>
    <w:p>
      <w:pPr>
        <w:sectPr>
          <w:pgSz w:w="12960" w:h="16560" w:orient="portrait"/>
          <w:cols w:equalWidth="0" w:num="1">
            <w:col w:w="10160"/>
          </w:cols>
          <w:pgMar w:left="1360" w:top="1420" w:right="1440" w:bottom="535"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960" w:h="16560" w:orient="portrait"/>
          <w:cols w:equalWidth="0" w:num="1">
            <w:col w:w="10160"/>
          </w:cols>
          <w:pgMar w:left="1360" w:top="1420" w:right="1440" w:bottom="535" w:gutter="0" w:footer="0" w:header="0"/>
          <w:type w:val="continuous"/>
        </w:sectPr>
      </w:pPr>
    </w:p>
    <w:bookmarkStart w:id="75" w:name="page76"/>
    <w:bookmarkEnd w:id="75"/>
    <w:p>
      <w:pPr>
        <w:ind w:right="40"/>
        <w:spacing w:after="0" w:line="249" w:lineRule="auto"/>
        <w:rPr>
          <w:sz w:val="20"/>
          <w:szCs w:val="20"/>
          <w:color w:val="auto"/>
        </w:rPr>
      </w:pPr>
      <w:r>
        <w:rPr>
          <w:rFonts w:ascii="Times New Roman" w:cs="Times New Roman" w:eastAsia="Times New Roman" w:hAnsi="Times New Roman"/>
          <w:sz w:val="20"/>
          <w:szCs w:val="20"/>
          <w:color w:val="auto"/>
        </w:rPr>
        <w:t>condition, prospects and cash flows. Any failure by such third parties to prevent or mitigate security breaches, incidents or compromises, or any improper access to or disclosure of proprietary or confidential information, could have adverse consequences for our business and our reputation. If we are unable to prevent or mitigate the impact of such security breaches, incidents, or other compromises, we could be exposed to litigation and governmental investigations and related fines and penalties.</w:t>
      </w:r>
    </w:p>
    <w:p>
      <w:pPr>
        <w:spacing w:after="0" w:line="197" w:lineRule="exact"/>
        <w:rPr>
          <w:sz w:val="20"/>
          <w:szCs w:val="20"/>
          <w:color w:val="auto"/>
        </w:rPr>
      </w:pPr>
    </w:p>
    <w:p>
      <w:pPr>
        <w:ind w:right="80" w:firstLine="555"/>
        <w:spacing w:after="0" w:line="247" w:lineRule="auto"/>
        <w:rPr>
          <w:sz w:val="20"/>
          <w:szCs w:val="20"/>
          <w:color w:val="auto"/>
        </w:rPr>
      </w:pPr>
      <w:r>
        <w:rPr>
          <w:rFonts w:ascii="Times New Roman" w:cs="Times New Roman" w:eastAsia="Times New Roman" w:hAnsi="Times New Roman"/>
          <w:sz w:val="20"/>
          <w:szCs w:val="20"/>
          <w:color w:val="auto"/>
        </w:rPr>
        <w:t>Several U.S. states have enacted comprehensive privacy laws. In California, the California Consumer Privacy Act, or CCPA (and its amendments), requires covered businesses to comply with specific privacy and security obligations regarding their handling of personal information of California residents, such as providing the ability to opt-out of certain sales or transfers of their personal information to third parties. The CCPA provides for civil penalties for violations, as well as a private right of action for certain types of data breaches. Various other U.S. states have passed privacy laws that are similar to the CCPA, but contain several key differences in their scope, application and enforcement.</w:t>
      </w:r>
    </w:p>
    <w:p>
      <w:pPr>
        <w:spacing w:after="0" w:line="200" w:lineRule="exact"/>
        <w:rPr>
          <w:sz w:val="20"/>
          <w:szCs w:val="20"/>
          <w:color w:val="auto"/>
        </w:rPr>
      </w:pPr>
    </w:p>
    <w:p>
      <w:pPr>
        <w:ind w:right="140" w:firstLine="555"/>
        <w:spacing w:after="0" w:line="258" w:lineRule="auto"/>
        <w:rPr>
          <w:sz w:val="20"/>
          <w:szCs w:val="20"/>
          <w:color w:val="auto"/>
        </w:rPr>
      </w:pPr>
      <w:r>
        <w:rPr>
          <w:rFonts w:ascii="Times New Roman" w:cs="Times New Roman" w:eastAsia="Times New Roman" w:hAnsi="Times New Roman"/>
          <w:sz w:val="20"/>
          <w:szCs w:val="20"/>
          <w:color w:val="auto"/>
        </w:rPr>
        <w:t>Such laws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our business practices and policies.</w:t>
      </w:r>
    </w:p>
    <w:p>
      <w:pPr>
        <w:spacing w:after="0" w:line="188" w:lineRule="exact"/>
        <w:rPr>
          <w:sz w:val="20"/>
          <w:szCs w:val="20"/>
          <w:color w:val="auto"/>
        </w:rPr>
      </w:pPr>
    </w:p>
    <w:p>
      <w:pPr>
        <w:ind w:firstLine="555"/>
        <w:spacing w:after="0" w:line="246" w:lineRule="auto"/>
        <w:rPr>
          <w:sz w:val="20"/>
          <w:szCs w:val="20"/>
          <w:color w:val="auto"/>
        </w:rPr>
      </w:pPr>
      <w:r>
        <w:rPr>
          <w:rFonts w:ascii="Times New Roman" w:cs="Times New Roman" w:eastAsia="Times New Roman" w:hAnsi="Times New Roman"/>
          <w:sz w:val="20"/>
          <w:szCs w:val="20"/>
          <w:color w:val="auto"/>
        </w:rPr>
        <w:t>There are also states that are specifically regulating health information. For example, in 2023, Washington State’s My Health My Data Act, which entered into force on March 31, 2024, expands the definition of consumer health data, affords consumers with privacy rights and creates a private right of action, which could increase the risk of litigation. These various privacy and security laws may impact our business activities, including our identification of patients who meet the inclusion criteria for our clinical trials, relationships with business partners and ultimately the marketing and distribution of our products (if approved by regulatory authorities). As we expand our operations, these and similar laws may increase our compliance costs and potential liability.</w:t>
      </w:r>
    </w:p>
    <w:p>
      <w:pPr>
        <w:spacing w:after="0" w:line="200" w:lineRule="exact"/>
        <w:rPr>
          <w:sz w:val="20"/>
          <w:szCs w:val="20"/>
          <w:color w:val="auto"/>
        </w:rPr>
      </w:pPr>
    </w:p>
    <w:p>
      <w:pPr>
        <w:ind w:right="20" w:firstLine="555"/>
        <w:spacing w:after="0" w:line="246" w:lineRule="auto"/>
        <w:rPr>
          <w:sz w:val="20"/>
          <w:szCs w:val="20"/>
          <w:color w:val="auto"/>
        </w:rPr>
      </w:pPr>
      <w:r>
        <w:rPr>
          <w:rFonts w:ascii="Times New Roman" w:cs="Times New Roman" w:eastAsia="Times New Roman" w:hAnsi="Times New Roman"/>
          <w:sz w:val="20"/>
          <w:szCs w:val="20"/>
          <w:color w:val="auto"/>
        </w:rPr>
        <w:t>If we, third-party CMOs, CROs or other contractors or consultants fail to comply with U.S. and international data protection laws and regulations, we could face government enforcement actions (which could include civil or criminal penalties) or private litigation, which would require additional investment of resources, limit our ability to use personal data, and result in adverse publicity which could negatively affect our operating results and business. Claims that we or our third-party service providers have violated individuals’ privacy rights, failed to comply with data protection laws, or breached our contractual obligations, even if we are not found liable, could result in adverse publicity that could harm our business, increase our costs and negatively affect our reputation.</w:t>
      </w:r>
    </w:p>
    <w:p>
      <w:pPr>
        <w:spacing w:after="0" w:line="200" w:lineRule="exact"/>
        <w:rPr>
          <w:sz w:val="20"/>
          <w:szCs w:val="20"/>
          <w:color w:val="auto"/>
        </w:rPr>
      </w:pPr>
    </w:p>
    <w:p>
      <w:pPr>
        <w:ind w:right="40" w:firstLine="555"/>
        <w:spacing w:after="0" w:line="243" w:lineRule="auto"/>
        <w:rPr>
          <w:sz w:val="20"/>
          <w:szCs w:val="20"/>
          <w:color w:val="auto"/>
        </w:rPr>
      </w:pPr>
      <w:r>
        <w:rPr>
          <w:rFonts w:ascii="Times New Roman" w:cs="Times New Roman" w:eastAsia="Times New Roman" w:hAnsi="Times New Roman"/>
          <w:sz w:val="20"/>
          <w:szCs w:val="20"/>
          <w:color w:val="auto"/>
        </w:rPr>
        <w:t>Additionally in the EU, the NIS 2 Directive, or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spacing w:after="0" w:line="20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69" w:lineRule="exact"/>
        <w:rPr>
          <w:sz w:val="20"/>
          <w:szCs w:val="20"/>
          <w:color w:val="auto"/>
        </w:rPr>
      </w:pPr>
    </w:p>
    <w:p>
      <w:pPr>
        <w:ind w:right="80" w:firstLine="555"/>
        <w:spacing w:after="0" w:line="244" w:lineRule="auto"/>
        <w:rPr>
          <w:sz w:val="20"/>
          <w:szCs w:val="20"/>
          <w:color w:val="auto"/>
        </w:rPr>
      </w:pPr>
      <w:r>
        <w:rPr>
          <w:rFonts w:ascii="Times New Roman" w:cs="Times New Roman" w:eastAsia="Times New Roman" w:hAnsi="Times New Roman"/>
          <w:sz w:val="20"/>
          <w:szCs w:val="20"/>
          <w:color w:val="auto"/>
        </w:rPr>
        <w:t>Issues in the development and use of artificial intelligence, or AI, combined with an uncertain regulatory environment, may result in reputational harm, liability or other adverse consequences to our business operations. As with many technological innovations, artificial intelligence presents risks and challenges that could impact our business. We utilize third parties in connection with machine learning initiatives and may integrate generative artificial intelligence tools into our systems for specific use cases. In addition, our vendors may incorporate generative artificial intelligence tools into their offerings without disclosing this use to us, and the providers of these generative artificial intelligence tools, and vendors used by us in connection with machine learning initiatives,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w:t>
      </w:r>
    </w:p>
    <w:p>
      <w:pPr>
        <w:sectPr>
          <w:pgSz w:w="12960" w:h="16560" w:orient="portrait"/>
          <w:cols w:equalWidth="0" w:num="1">
            <w:col w:w="10160"/>
          </w:cols>
          <w:pgMar w:left="1360" w:top="1420" w:right="1440" w:bottom="535"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960" w:h="16560" w:orient="portrait"/>
          <w:cols w:equalWidth="0" w:num="1">
            <w:col w:w="10160"/>
          </w:cols>
          <w:pgMar w:left="1360" w:top="1420" w:right="1440" w:bottom="535" w:gutter="0" w:footer="0" w:header="0"/>
          <w:type w:val="continuous"/>
        </w:sectPr>
      </w:pPr>
    </w:p>
    <w:bookmarkStart w:id="76" w:name="page77"/>
    <w:bookmarkEnd w:id="76"/>
    <w:p>
      <w:pPr>
        <w:ind w:right="140"/>
        <w:spacing w:after="0" w:line="243" w:lineRule="auto"/>
        <w:rPr>
          <w:sz w:val="20"/>
          <w:szCs w:val="20"/>
          <w:color w:val="auto"/>
        </w:rPr>
      </w:pPr>
      <w:r>
        <w:rPr>
          <w:rFonts w:ascii="Times New Roman" w:cs="Times New Roman" w:eastAsia="Times New Roman" w:hAnsi="Times New Roman"/>
          <w:sz w:val="20"/>
          <w:szCs w:val="20"/>
          <w:color w:val="auto"/>
        </w:rPr>
        <w:t>or security incident because of the use of generative artificial intelligence, we may lose valuable intellectual property and confidential information and our reputation and the public perception of the effectiveness of our security measures could be harmed. We also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entered into force in August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Furthermore, in the U.S., a number of states have proposed and passed laws regulating various uses of AI, and federal regulators have issued guidance affecting the use of AI in regulated sectors.</w:t>
      </w:r>
    </w:p>
    <w:p>
      <w:pPr>
        <w:spacing w:after="0" w:line="206" w:lineRule="exact"/>
        <w:rPr>
          <w:sz w:val="20"/>
          <w:szCs w:val="20"/>
          <w:color w:val="auto"/>
        </w:rPr>
      </w:pPr>
    </w:p>
    <w:p>
      <w:pPr>
        <w:ind w:right="40" w:firstLine="555"/>
        <w:spacing w:after="0" w:line="249" w:lineRule="auto"/>
        <w:rPr>
          <w:sz w:val="20"/>
          <w:szCs w:val="20"/>
          <w:color w:val="auto"/>
        </w:rPr>
      </w:pPr>
      <w:r>
        <w:rPr>
          <w:rFonts w:ascii="Times New Roman" w:cs="Times New Roman" w:eastAsia="Times New Roman" w:hAnsi="Times New Roman"/>
          <w:sz w:val="20"/>
          <w:szCs w:val="20"/>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w:t>
      </w:r>
    </w:p>
    <w:p>
      <w:pPr>
        <w:spacing w:after="0" w:line="197" w:lineRule="exact"/>
        <w:rPr>
          <w:sz w:val="20"/>
          <w:szCs w:val="20"/>
          <w:color w:val="auto"/>
        </w:rPr>
      </w:pPr>
    </w:p>
    <w:p>
      <w:pPr>
        <w:ind w:right="320" w:firstLine="555"/>
        <w:spacing w:after="0" w:line="252" w:lineRule="auto"/>
        <w:rPr>
          <w:sz w:val="20"/>
          <w:szCs w:val="20"/>
          <w:color w:val="auto"/>
        </w:rPr>
      </w:pPr>
      <w:r>
        <w:rPr>
          <w:rFonts w:ascii="Times New Roman" w:cs="Times New Roman" w:eastAsia="Times New Roman" w:hAnsi="Times New Roman"/>
          <w:sz w:val="20"/>
          <w:szCs w:val="20"/>
          <w:color w:val="auto"/>
        </w:rPr>
        <w:t>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8" w:lineRule="exact"/>
        <w:rPr>
          <w:sz w:val="20"/>
          <w:szCs w:val="20"/>
          <w:color w:val="auto"/>
        </w:rPr>
      </w:pPr>
    </w:p>
    <w:p>
      <w:pPr>
        <w:ind w:right="120" w:firstLine="555"/>
        <w:spacing w:after="0" w:line="244" w:lineRule="auto"/>
        <w:rPr>
          <w:sz w:val="20"/>
          <w:szCs w:val="20"/>
          <w:color w:val="auto"/>
        </w:rPr>
      </w:pPr>
      <w:r>
        <w:rPr>
          <w:rFonts w:ascii="Times New Roman" w:cs="Times New Roman" w:eastAsia="Times New Roman" w:hAnsi="Times New Roman"/>
          <w:sz w:val="20"/>
          <w:szCs w:val="20"/>
          <w:color w:val="auto"/>
        </w:rPr>
        <w:t>As of December 31, 2024, we had 155 full-time employees. We expect to experience significant growth in the number of our employees and the scope of our operations, particularly in the areas of product development and strategy, clinical trial operations,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6" w:lineRule="exact"/>
        <w:rPr>
          <w:sz w:val="20"/>
          <w:szCs w:val="20"/>
          <w:color w:val="auto"/>
        </w:rPr>
      </w:pPr>
    </w:p>
    <w:p>
      <w:pPr>
        <w:ind w:right="80" w:firstLine="555"/>
        <w:spacing w:after="0" w:line="246" w:lineRule="auto"/>
        <w:rPr>
          <w:sz w:val="20"/>
          <w:szCs w:val="20"/>
          <w:color w:val="auto"/>
        </w:rPr>
      </w:pPr>
      <w:r>
        <w:rPr>
          <w:rFonts w:ascii="Times New Roman" w:cs="Times New Roman" w:eastAsia="Times New Roman" w:hAnsi="Times New Roman"/>
          <w:sz w:val="20"/>
          <w:szCs w:val="20"/>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24"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principal stockholders own a significant percentage of our stock and will be able to exert significant control over matters subject to stockholder approval.</w:t>
      </w:r>
    </w:p>
    <w:p>
      <w:pPr>
        <w:spacing w:after="0" w:line="49" w:lineRule="exact"/>
        <w:rPr>
          <w:sz w:val="20"/>
          <w:szCs w:val="20"/>
          <w:color w:val="auto"/>
        </w:rPr>
      </w:pPr>
    </w:p>
    <w:p>
      <w:pPr>
        <w:ind w:right="140" w:firstLine="555"/>
        <w:spacing w:after="0" w:line="260" w:lineRule="auto"/>
        <w:rPr>
          <w:sz w:val="20"/>
          <w:szCs w:val="20"/>
          <w:color w:val="auto"/>
        </w:rPr>
      </w:pPr>
      <w:r>
        <w:rPr>
          <w:rFonts w:ascii="Times New Roman" w:cs="Times New Roman" w:eastAsia="Times New Roman" w:hAnsi="Times New Roman"/>
          <w:sz w:val="19"/>
          <w:szCs w:val="19"/>
          <w:color w:val="auto"/>
        </w:rPr>
        <w:t>Based on our common stock outstanding as of December 31, 2024, a limited number of shareholders hold greater than a majority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960" w:h="16560" w:orient="portrait"/>
          <w:cols w:equalWidth="0" w:num="1">
            <w:col w:w="10160"/>
          </w:cols>
          <w:pgMar w:left="1360" w:top="1420" w:right="1440" w:bottom="535" w:gutter="0" w:footer="0" w:header="0"/>
          <w:type w:val="continuous"/>
        </w:sectPr>
      </w:pPr>
    </w:p>
    <w:bookmarkStart w:id="77" w:name="page78"/>
    <w:bookmarkEnd w:id="77"/>
    <w:p>
      <w:pPr>
        <w:ind w:right="300"/>
        <w:spacing w:after="0" w:line="277" w:lineRule="auto"/>
        <w:rPr>
          <w:sz w:val="20"/>
          <w:szCs w:val="20"/>
          <w:color w:val="auto"/>
        </w:rPr>
      </w:pPr>
      <w:r>
        <w:rPr>
          <w:rFonts w:ascii="Times New Roman" w:cs="Times New Roman" w:eastAsia="Times New Roman" w:hAnsi="Times New Roman"/>
          <w:sz w:val="20"/>
          <w:szCs w:val="20"/>
          <w:color w:val="auto"/>
        </w:rPr>
        <w:t>combination involving us or discouraging a potential acquirer from making a tender offer or otherwise attempting to obtain control of 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may be limited.</w:t>
      </w:r>
    </w:p>
    <w:p>
      <w:pPr>
        <w:spacing w:after="0" w:line="120" w:lineRule="exact"/>
        <w:rPr>
          <w:sz w:val="20"/>
          <w:szCs w:val="20"/>
          <w:color w:val="auto"/>
        </w:rPr>
      </w:pPr>
    </w:p>
    <w:p>
      <w:pPr>
        <w:ind w:right="60" w:firstLine="555"/>
        <w:spacing w:after="0" w:line="243" w:lineRule="auto"/>
        <w:rPr>
          <w:sz w:val="20"/>
          <w:szCs w:val="20"/>
          <w:color w:val="auto"/>
        </w:rPr>
      </w:pPr>
      <w:r>
        <w:rPr>
          <w:rFonts w:ascii="Times New Roman" w:cs="Times New Roman" w:eastAsia="Times New Roman" w:hAnsi="Times New Roman"/>
          <w:sz w:val="20"/>
          <w:szCs w:val="20"/>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previously adjusted its deferred tax assets and valuation allowance balance for the affected tax attribute carryforwards to reflect the expiration of the attributes. There have been no changes to the limitations as of December 31, 2024.</w:t>
      </w:r>
    </w:p>
    <w:p>
      <w:pPr>
        <w:spacing w:after="0" w:line="206" w:lineRule="exact"/>
        <w:rPr>
          <w:sz w:val="20"/>
          <w:szCs w:val="20"/>
          <w:color w:val="auto"/>
        </w:rPr>
      </w:pPr>
    </w:p>
    <w:p>
      <w:pPr>
        <w:ind w:right="60" w:firstLine="555"/>
        <w:spacing w:after="0" w:line="244" w:lineRule="auto"/>
        <w:rPr>
          <w:sz w:val="20"/>
          <w:szCs w:val="20"/>
          <w:color w:val="auto"/>
        </w:rPr>
      </w:pPr>
      <w:r>
        <w:rPr>
          <w:rFonts w:ascii="Times New Roman" w:cs="Times New Roman" w:eastAsia="Times New Roman" w:hAnsi="Times New Roman"/>
          <w:sz w:val="20"/>
          <w:szCs w:val="20"/>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8" w:lineRule="exact"/>
        <w:rPr>
          <w:sz w:val="20"/>
          <w:szCs w:val="20"/>
          <w:color w:val="auto"/>
        </w:rPr>
      </w:pPr>
    </w:p>
    <w:p>
      <w:pPr>
        <w:ind w:right="300" w:firstLine="562"/>
        <w:spacing w:after="0" w:line="258" w:lineRule="auto"/>
        <w:rPr>
          <w:sz w:val="20"/>
          <w:szCs w:val="20"/>
          <w:color w:val="auto"/>
        </w:rPr>
      </w:pPr>
      <w:r>
        <w:rPr>
          <w:rFonts w:ascii="Times New Roman" w:cs="Times New Roman" w:eastAsia="Times New Roman" w:hAnsi="Times New Roman"/>
          <w:sz w:val="20"/>
          <w:szCs w:val="20"/>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83" w:lineRule="exact"/>
        <w:rPr>
          <w:sz w:val="20"/>
          <w:szCs w:val="20"/>
          <w:color w:val="auto"/>
        </w:rPr>
      </w:pPr>
    </w:p>
    <w:p>
      <w:pPr>
        <w:ind w:right="360" w:firstLine="8"/>
        <w:spacing w:after="0" w:line="258" w:lineRule="auto"/>
        <w:tabs>
          <w:tab w:leader="none" w:pos="192"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 board of directors divided into three classes serving staggered three-year terms, such that not all members of the board will be elected at one time;</w:t>
      </w:r>
    </w:p>
    <w:p>
      <w:pPr>
        <w:spacing w:after="0" w:line="1" w:lineRule="exact"/>
        <w:rPr>
          <w:rFonts w:ascii="Arial" w:cs="Arial" w:eastAsia="Arial" w:hAnsi="Arial"/>
          <w:sz w:val="20"/>
          <w:szCs w:val="20"/>
          <w:color w:val="auto"/>
        </w:rPr>
      </w:pPr>
    </w:p>
    <w:p>
      <w:pPr>
        <w:ind w:right="680" w:firstLine="8"/>
        <w:spacing w:after="0" w:line="247" w:lineRule="auto"/>
        <w:tabs>
          <w:tab w:leader="none" w:pos="192"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 prohibition on stockholder action through written consent, which requires that all stockholder actions be taken at a meeting of our stockholders;</w:t>
      </w:r>
    </w:p>
    <w:p>
      <w:pPr>
        <w:ind w:right="180" w:firstLine="8"/>
        <w:spacing w:after="0" w:line="244" w:lineRule="auto"/>
        <w:tabs>
          <w:tab w:leader="none" w:pos="192"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2" w:lineRule="exact"/>
        <w:rPr>
          <w:rFonts w:ascii="Arial" w:cs="Arial" w:eastAsia="Arial" w:hAnsi="Arial"/>
          <w:sz w:val="20"/>
          <w:szCs w:val="20"/>
          <w:color w:val="auto"/>
        </w:rPr>
      </w:pPr>
    </w:p>
    <w:p>
      <w:pPr>
        <w:ind w:left="200" w:hanging="192"/>
        <w:spacing w:after="0"/>
        <w:tabs>
          <w:tab w:leader="none" w:pos="2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requirements for stockholder proposals and nominations for election to our board of directors;</w:t>
      </w:r>
    </w:p>
    <w:p>
      <w:pPr>
        <w:spacing w:after="0" w:line="13" w:lineRule="exact"/>
        <w:rPr>
          <w:rFonts w:ascii="Arial" w:cs="Arial" w:eastAsia="Arial" w:hAnsi="Arial"/>
          <w:sz w:val="20"/>
          <w:szCs w:val="20"/>
          <w:color w:val="auto"/>
        </w:rPr>
      </w:pPr>
    </w:p>
    <w:p>
      <w:pPr>
        <w:ind w:right="240" w:firstLine="8"/>
        <w:spacing w:after="0" w:line="245" w:lineRule="auto"/>
        <w:tabs>
          <w:tab w:leader="none" w:pos="192"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ind w:right="520" w:firstLine="8"/>
        <w:spacing w:after="0" w:line="247" w:lineRule="auto"/>
        <w:tabs>
          <w:tab w:leader="none" w:pos="192"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supermajority voting requirements to amend our bylaws by stockholder action (unless our board recommends that our stockholders approve such amendment(s)) and to amend specific provisions of our certificate of incorporation; and</w:t>
      </w:r>
    </w:p>
    <w:p>
      <w:pPr>
        <w:jc w:val="both"/>
        <w:ind w:right="680" w:firstLine="8"/>
        <w:spacing w:after="0" w:line="254" w:lineRule="auto"/>
        <w:tabs>
          <w:tab w:leader="none" w:pos="192"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91" w:lineRule="exact"/>
        <w:rPr>
          <w:sz w:val="20"/>
          <w:szCs w:val="20"/>
          <w:color w:val="auto"/>
        </w:rPr>
      </w:pPr>
    </w:p>
    <w:p>
      <w:pPr>
        <w:ind w:right="100" w:firstLine="555"/>
        <w:spacing w:after="0" w:line="247" w:lineRule="auto"/>
        <w:rPr>
          <w:sz w:val="20"/>
          <w:szCs w:val="20"/>
          <w:color w:val="auto"/>
        </w:rPr>
      </w:pPr>
      <w:r>
        <w:rPr>
          <w:rFonts w:ascii="Times New Roman" w:cs="Times New Roman" w:eastAsia="Times New Roman" w:hAnsi="Times New Roman"/>
          <w:sz w:val="20"/>
          <w:szCs w:val="20"/>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ectPr>
          <w:pgSz w:w="12960" w:h="16560" w:orient="portrait"/>
          <w:cols w:equalWidth="0" w:num="1">
            <w:col w:w="10160"/>
          </w:cols>
          <w:pgMar w:left="1360" w:top="1420" w:right="1440" w:bottom="535"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960" w:h="16560" w:orient="portrait"/>
          <w:cols w:equalWidth="0" w:num="1">
            <w:col w:w="10160"/>
          </w:cols>
          <w:pgMar w:left="1360" w:top="1420" w:right="1440" w:bottom="535" w:gutter="0" w:footer="0" w:header="0"/>
          <w:type w:val="continuous"/>
        </w:sectPr>
      </w:pPr>
    </w:p>
    <w:bookmarkStart w:id="78" w:name="page79"/>
    <w:bookmarkEnd w:id="78"/>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49" w:lineRule="exact"/>
        <w:rPr>
          <w:sz w:val="20"/>
          <w:szCs w:val="20"/>
          <w:color w:val="auto"/>
        </w:rPr>
      </w:pPr>
    </w:p>
    <w:p>
      <w:pPr>
        <w:ind w:right="40" w:firstLine="555"/>
        <w:spacing w:after="0" w:line="242" w:lineRule="auto"/>
        <w:rPr>
          <w:sz w:val="20"/>
          <w:szCs w:val="20"/>
          <w:color w:val="auto"/>
        </w:rPr>
      </w:pPr>
      <w:r>
        <w:rPr>
          <w:rFonts w:ascii="Times New Roman" w:cs="Times New Roman" w:eastAsia="Times New Roman" w:hAnsi="Times New Roman"/>
          <w:sz w:val="20"/>
          <w:szCs w:val="20"/>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13" w:lineRule="exact"/>
        <w:rPr>
          <w:sz w:val="20"/>
          <w:szCs w:val="20"/>
          <w:color w:val="auto"/>
        </w:rPr>
      </w:pPr>
    </w:p>
    <w:p>
      <w:pPr>
        <w:ind w:right="20" w:firstLine="555"/>
        <w:spacing w:after="0" w:line="243" w:lineRule="auto"/>
        <w:rPr>
          <w:sz w:val="20"/>
          <w:szCs w:val="20"/>
          <w:color w:val="auto"/>
        </w:rPr>
      </w:pPr>
      <w:r>
        <w:rPr>
          <w:rFonts w:ascii="Times New Roman" w:cs="Times New Roman" w:eastAsia="Times New Roman" w:hAnsi="Times New Roman"/>
          <w:sz w:val="20"/>
          <w:szCs w:val="20"/>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6"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9" w:lineRule="exact"/>
        <w:rPr>
          <w:sz w:val="20"/>
          <w:szCs w:val="20"/>
          <w:color w:val="auto"/>
        </w:rPr>
      </w:pPr>
    </w:p>
    <w:p>
      <w:pPr>
        <w:ind w:firstLine="555"/>
        <w:spacing w:after="0" w:line="243" w:lineRule="auto"/>
        <w:rPr>
          <w:sz w:val="20"/>
          <w:szCs w:val="20"/>
          <w:color w:val="auto"/>
        </w:rPr>
      </w:pPr>
      <w:r>
        <w:rPr>
          <w:rFonts w:ascii="Times New Roman" w:cs="Times New Roman" w:eastAsia="Times New Roman" w:hAnsi="Times New Roman"/>
          <w:sz w:val="20"/>
          <w:szCs w:val="20"/>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further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206"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49" w:lineRule="exact"/>
        <w:rPr>
          <w:sz w:val="20"/>
          <w:szCs w:val="20"/>
          <w:color w:val="auto"/>
        </w:rPr>
      </w:pPr>
    </w:p>
    <w:p>
      <w:pPr>
        <w:ind w:right="40" w:firstLine="555"/>
        <w:spacing w:after="0" w:line="244" w:lineRule="auto"/>
        <w:rPr>
          <w:sz w:val="20"/>
          <w:szCs w:val="20"/>
          <w:color w:val="auto"/>
        </w:rPr>
      </w:pPr>
      <w:r>
        <w:rPr>
          <w:rFonts w:ascii="Times New Roman" w:cs="Times New Roman" w:eastAsia="Times New Roman" w:hAnsi="Times New Roman"/>
          <w:sz w:val="20"/>
          <w:szCs w:val="20"/>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w:t>
      </w:r>
    </w:p>
    <w:p>
      <w:pPr>
        <w:sectPr>
          <w:pgSz w:w="12960" w:h="16560" w:orient="portrait"/>
          <w:cols w:equalWidth="0" w:num="1">
            <w:col w:w="10160"/>
          </w:cols>
          <w:pgMar w:left="1360" w:top="1420" w:right="1440" w:bottom="535" w:gutter="0" w:footer="0" w:header="0"/>
        </w:sect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960" w:h="16560" w:orient="portrait"/>
          <w:cols w:equalWidth="0" w:num="1">
            <w:col w:w="10160"/>
          </w:cols>
          <w:pgMar w:left="1360" w:top="1420" w:right="1440" w:bottom="535" w:gutter="0" w:footer="0" w:header="0"/>
          <w:type w:val="continuous"/>
        </w:sectPr>
      </w:pPr>
    </w:p>
    <w:bookmarkStart w:id="79" w:name="page80"/>
    <w:bookmarkEnd w:id="79"/>
    <w:p>
      <w:pPr>
        <w:ind w:right="100"/>
        <w:spacing w:after="0" w:line="243" w:lineRule="auto"/>
        <w:rPr>
          <w:sz w:val="20"/>
          <w:szCs w:val="20"/>
          <w:color w:val="auto"/>
        </w:rPr>
      </w:pPr>
      <w:r>
        <w:rPr>
          <w:rFonts w:ascii="Times New Roman" w:cs="Times New Roman" w:eastAsia="Times New Roman" w:hAnsi="Times New Roman"/>
          <w:sz w:val="20"/>
          <w:szCs w:val="20"/>
          <w:color w:val="auto"/>
        </w:rPr>
        <w:t>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capital stock in the foreseeable future, capital appreciation, if any, will be your sole source of gain.</w:t>
      </w:r>
    </w:p>
    <w:p>
      <w:pPr>
        <w:spacing w:after="0" w:line="49" w:lineRule="exact"/>
        <w:rPr>
          <w:sz w:val="20"/>
          <w:szCs w:val="20"/>
          <w:color w:val="auto"/>
        </w:rPr>
      </w:pPr>
    </w:p>
    <w:p>
      <w:pPr>
        <w:ind w:right="20" w:firstLine="555"/>
        <w:spacing w:after="0" w:line="252"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94"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 and fluctuate substantially, which could result in substantial losses for purchasers of our common stock.</w:t>
      </w:r>
    </w:p>
    <w:p>
      <w:pPr>
        <w:spacing w:after="0" w:line="49" w:lineRule="exact"/>
        <w:rPr>
          <w:sz w:val="20"/>
          <w:szCs w:val="20"/>
          <w:color w:val="auto"/>
        </w:rPr>
      </w:pPr>
    </w:p>
    <w:p>
      <w:pPr>
        <w:ind w:right="20" w:firstLine="562"/>
        <w:spacing w:after="0" w:line="252" w:lineRule="auto"/>
        <w:rPr>
          <w:sz w:val="20"/>
          <w:szCs w:val="20"/>
          <w:color w:val="auto"/>
        </w:rPr>
      </w:pPr>
      <w:r>
        <w:rPr>
          <w:rFonts w:ascii="Times New Roman" w:cs="Times New Roman" w:eastAsia="Times New Roman" w:hAnsi="Times New Roman"/>
          <w:sz w:val="20"/>
          <w:szCs w:val="20"/>
          <w:color w:val="auto"/>
        </w:rPr>
        <w:t>Our stock price has been and is likely to continue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88"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or failure of competitive products or technologies;</w:t>
      </w:r>
    </w:p>
    <w:p>
      <w:pPr>
        <w:spacing w:after="0" w:line="35"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advancement of our preclinical programs into clinical testing;</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release of our initial, interim, or final results of clinical trials of our product candidates or those of our competitors;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14" w:lineRule="exact"/>
        <w:rPr>
          <w:rFonts w:ascii="Arial" w:cs="Arial" w:eastAsia="Arial" w:hAnsi="Arial"/>
          <w:sz w:val="20"/>
          <w:szCs w:val="20"/>
          <w:color w:val="auto"/>
        </w:rPr>
      </w:pPr>
    </w:p>
    <w:p>
      <w:pPr>
        <w:ind w:right="740" w:firstLine="8"/>
        <w:spacing w:after="0" w:line="247" w:lineRule="auto"/>
        <w:tabs>
          <w:tab w:leader="none" w:pos="192"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expenses related to any of our programs and product candidates or preclinical and clinical development programs;</w:t>
      </w:r>
    </w:p>
    <w:p>
      <w:pPr>
        <w:spacing w:after="0" w:line="1"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efforts to discover, develop, acquire or in-license additional product candidates or products;</w:t>
      </w:r>
    </w:p>
    <w:p>
      <w:pPr>
        <w:spacing w:after="0" w:line="13" w:lineRule="exact"/>
        <w:rPr>
          <w:rFonts w:ascii="Arial" w:cs="Arial" w:eastAsia="Arial" w:hAnsi="Arial"/>
          <w:sz w:val="20"/>
          <w:szCs w:val="20"/>
          <w:color w:val="auto"/>
        </w:rPr>
      </w:pPr>
    </w:p>
    <w:p>
      <w:pPr>
        <w:ind w:right="180" w:firstLine="8"/>
        <w:spacing w:after="0" w:line="247" w:lineRule="auto"/>
        <w:tabs>
          <w:tab w:leader="none" w:pos="192"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changes in estimates as to financial results, development timelines, data releases or recommendations by securities analysts;</w:t>
      </w:r>
    </w:p>
    <w:p>
      <w:pPr>
        <w:spacing w:after="0" w:line="1"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13"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healthcare payment systems and third-party reimbursement decisions;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purchases or sales of our securities by our officers, directors or significant shareholders;</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limited trading volume;</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industry and market conditions; and</w:t>
      </w:r>
    </w:p>
    <w:p>
      <w:pPr>
        <w:spacing w:after="0" w:line="14" w:lineRule="exact"/>
        <w:rPr>
          <w:rFonts w:ascii="Arial" w:cs="Arial" w:eastAsia="Arial" w:hAnsi="Arial"/>
          <w:sz w:val="20"/>
          <w:szCs w:val="20"/>
          <w:color w:val="auto"/>
        </w:rPr>
      </w:pPr>
    </w:p>
    <w:p>
      <w:pPr>
        <w:ind w:left="200" w:hanging="192"/>
        <w:spacing w:after="0"/>
        <w:tabs>
          <w:tab w:leader="none" w:pos="2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the other factors described in this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section.</w:t>
      </w:r>
    </w:p>
    <w:p>
      <w:pPr>
        <w:spacing w:after="0" w:line="21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will incur increased costs as a result of operating as a public company, and our management will be required to devote substantial time to compliance initiatives.</w:t>
      </w:r>
    </w:p>
    <w:p>
      <w:pPr>
        <w:spacing w:after="0" w:line="49" w:lineRule="exact"/>
        <w:rPr>
          <w:sz w:val="20"/>
          <w:szCs w:val="20"/>
          <w:color w:val="auto"/>
        </w:rPr>
      </w:pPr>
    </w:p>
    <w:p>
      <w:pPr>
        <w:ind w:right="40" w:firstLine="555"/>
        <w:spacing w:after="0" w:line="245" w:lineRule="auto"/>
        <w:rPr>
          <w:sz w:val="20"/>
          <w:szCs w:val="20"/>
          <w:color w:val="auto"/>
        </w:rPr>
      </w:pPr>
      <w:r>
        <w:rPr>
          <w:rFonts w:ascii="Times New Roman" w:cs="Times New Roman" w:eastAsia="Times New Roman" w:hAnsi="Times New Roman"/>
          <w:sz w:val="20"/>
          <w:szCs w:val="20"/>
          <w:color w:val="auto"/>
        </w:rPr>
        <w:t>As a public company, and particularly now that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960" w:h="16560" w:orient="portrait"/>
          <w:cols w:equalWidth="0" w:num="1">
            <w:col w:w="10160"/>
          </w:cols>
          <w:pgMar w:left="1360" w:top="1420" w:right="1440" w:bottom="535" w:gutter="0" w:footer="0" w:header="0"/>
          <w:type w:val="continuous"/>
        </w:sectPr>
      </w:pPr>
    </w:p>
    <w:bookmarkStart w:id="80" w:name="page81"/>
    <w:bookmarkEnd w:id="80"/>
    <w:p>
      <w:pPr>
        <w:ind w:right="20" w:firstLine="555"/>
        <w:spacing w:after="0" w:line="243" w:lineRule="auto"/>
        <w:rPr>
          <w:sz w:val="20"/>
          <w:szCs w:val="20"/>
          <w:color w:val="auto"/>
        </w:rPr>
      </w:pPr>
      <w:r>
        <w:rPr>
          <w:rFonts w:ascii="Times New Roman" w:cs="Times New Roman" w:eastAsia="Times New Roman" w:hAnsi="Times New Roman"/>
          <w:sz w:val="20"/>
          <w:szCs w:val="20"/>
          <w:color w:val="auto"/>
        </w:rPr>
        <w:t>Pursuant to Section 404 of the Sarbanes-Oxley Act, we are required to furnish a report by our management on our internal control over financial reporting. Further, as we are no longer an emerging growth company, we are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120" w:lineRule="exact"/>
        <w:rPr>
          <w:sz w:val="20"/>
          <w:szCs w:val="20"/>
          <w:color w:val="auto"/>
        </w:rPr>
      </w:pPr>
    </w:p>
    <w:p>
      <w:pPr>
        <w:ind w:right="20" w:firstLine="555"/>
        <w:spacing w:after="0" w:line="244"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32" w:lineRule="exact"/>
        <w:rPr>
          <w:sz w:val="20"/>
          <w:szCs w:val="20"/>
          <w:color w:val="auto"/>
        </w:rPr>
      </w:pPr>
    </w:p>
    <w:p>
      <w:pPr>
        <w:ind w:right="220" w:firstLine="5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if they publish negative evaluations of our stock, the price of our stock could decline.</w:t>
      </w:r>
    </w:p>
    <w:p>
      <w:pPr>
        <w:spacing w:after="0" w:line="49" w:lineRule="exact"/>
        <w:rPr>
          <w:sz w:val="20"/>
          <w:szCs w:val="20"/>
          <w:color w:val="auto"/>
        </w:rPr>
      </w:pPr>
    </w:p>
    <w:p>
      <w:pPr>
        <w:ind w:right="40" w:firstLine="555"/>
        <w:spacing w:after="0" w:line="246" w:lineRule="auto"/>
        <w:rPr>
          <w:sz w:val="20"/>
          <w:szCs w:val="20"/>
          <w:color w:val="auto"/>
        </w:rPr>
      </w:pPr>
      <w:r>
        <w:rPr>
          <w:rFonts w:ascii="Times New Roman" w:cs="Times New Roman" w:eastAsia="Times New Roman" w:hAnsi="Times New Roman"/>
          <w:sz w:val="20"/>
          <w:szCs w:val="20"/>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securities litigation, which is expensive and could divert management attention.</w:t>
      </w:r>
    </w:p>
    <w:p>
      <w:pPr>
        <w:spacing w:after="0" w:line="120" w:lineRule="exact"/>
        <w:rPr>
          <w:sz w:val="20"/>
          <w:szCs w:val="20"/>
          <w:color w:val="auto"/>
        </w:rPr>
      </w:pPr>
    </w:p>
    <w:p>
      <w:pPr>
        <w:ind w:right="220" w:firstLine="555"/>
        <w:spacing w:after="0" w:line="247" w:lineRule="auto"/>
        <w:rPr>
          <w:sz w:val="20"/>
          <w:szCs w:val="20"/>
          <w:color w:val="auto"/>
        </w:rPr>
      </w:pPr>
      <w:r>
        <w:rPr>
          <w:rFonts w:ascii="Times New Roman" w:cs="Times New Roman" w:eastAsia="Times New Roman" w:hAnsi="Times New Roman"/>
          <w:sz w:val="20"/>
          <w:szCs w:val="20"/>
          <w:color w:val="auto"/>
        </w:rPr>
        <w:t>The market price of our common stock has been and may continue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such as actual events or concerns involving liquidity, could adversely affect our business operations, financial condition and results of operations.</w:t>
      </w:r>
    </w:p>
    <w:p>
      <w:pPr>
        <w:spacing w:after="0" w:line="49" w:lineRule="exact"/>
        <w:rPr>
          <w:sz w:val="20"/>
          <w:szCs w:val="20"/>
          <w:color w:val="auto"/>
        </w:rPr>
      </w:pPr>
    </w:p>
    <w:p>
      <w:pPr>
        <w:ind w:right="20" w:firstLine="555"/>
        <w:spacing w:after="0" w:line="246" w:lineRule="auto"/>
        <w:rPr>
          <w:sz w:val="20"/>
          <w:szCs w:val="20"/>
          <w:color w:val="auto"/>
        </w:rPr>
      </w:pPr>
      <w:r>
        <w:rPr>
          <w:rFonts w:ascii="Times New Roman" w:cs="Times New Roman" w:eastAsia="Times New Roman" w:hAnsi="Times New Roman"/>
          <w:sz w:val="20"/>
          <w:szCs w:val="20"/>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or SVB, was closed by the California Department of Financial Protection and Innovation, and Signature Bank and Silvergate Capital Corp. were each swept into receivership. We held certain funds in a deposit account with SVB, and while we were ultimately able to access those funds, we did not have access for a short time leading up to the events in March 2023.</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960" w:h="16560" w:orient="portrait"/>
          <w:cols w:equalWidth="0" w:num="1">
            <w:col w:w="10160"/>
          </w:cols>
          <w:pgMar w:left="1360" w:top="1420" w:right="1440" w:bottom="535" w:gutter="0" w:footer="0" w:header="0"/>
          <w:type w:val="continuous"/>
        </w:sectPr>
      </w:pPr>
    </w:p>
    <w:bookmarkStart w:id="81" w:name="page82"/>
    <w:bookmarkEnd w:id="81"/>
    <w:p>
      <w:pPr>
        <w:ind w:right="80" w:firstLine="550"/>
        <w:spacing w:after="0" w:line="247" w:lineRule="auto"/>
        <w:rPr>
          <w:sz w:val="20"/>
          <w:szCs w:val="20"/>
          <w:color w:val="auto"/>
        </w:rPr>
      </w:pPr>
      <w:r>
        <w:rPr>
          <w:rFonts w:ascii="Times New Roman" w:cs="Times New Roman" w:eastAsia="Times New Roman" w:hAnsi="Times New Roman"/>
          <w:sz w:val="20"/>
          <w:szCs w:val="20"/>
          <w:color w:val="auto"/>
        </w:rPr>
        <w:t>Although we assess our banking relationships as we believe necessary or appropriate, our access to funding sources in amounts adequate to finance or capitalize our current and projected future business operations could be significantly impaired by factors caused by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200" w:lineRule="exact"/>
        <w:rPr>
          <w:sz w:val="20"/>
          <w:szCs w:val="20"/>
          <w:color w:val="auto"/>
        </w:rPr>
      </w:pPr>
    </w:p>
    <w:p>
      <w:pPr>
        <w:ind w:right="80" w:firstLine="555"/>
        <w:spacing w:after="0" w:line="258" w:lineRule="auto"/>
        <w:rPr>
          <w:sz w:val="20"/>
          <w:szCs w:val="20"/>
          <w:color w:val="auto"/>
        </w:rPr>
      </w:pPr>
      <w:r>
        <w:rPr>
          <w:rFonts w:ascii="Times New Roman" w:cs="Times New Roman" w:eastAsia="Times New Roman" w:hAnsi="Times New Roman"/>
          <w:sz w:val="20"/>
          <w:szCs w:val="20"/>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tax reform legislation could adversely affect our business and financial condition.</w:t>
      </w:r>
    </w:p>
    <w:p>
      <w:pPr>
        <w:spacing w:after="0" w:line="120" w:lineRule="exact"/>
        <w:rPr>
          <w:sz w:val="20"/>
          <w:szCs w:val="20"/>
          <w:color w:val="auto"/>
        </w:rPr>
      </w:pPr>
    </w:p>
    <w:p>
      <w:pPr>
        <w:ind w:right="140" w:firstLine="555"/>
        <w:spacing w:after="0" w:line="244" w:lineRule="auto"/>
        <w:rPr>
          <w:sz w:val="20"/>
          <w:szCs w:val="20"/>
          <w:color w:val="auto"/>
        </w:rPr>
      </w:pPr>
      <w:r>
        <w:rPr>
          <w:rFonts w:ascii="Times New Roman" w:cs="Times New Roman" w:eastAsia="Times New Roman" w:hAnsi="Times New Roman"/>
          <w:sz w:val="20"/>
          <w:szCs w:val="20"/>
          <w:color w:val="auto"/>
        </w:rPr>
        <w:t>The tax regimes we are subject to or operate under are unsettled and may be subject to significant change. Changes in tax laws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cash and financial position and results of operations. Additionally, new, changed, modified, or newly interpreted or applied tax laws could increase our potential future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Complying with these tax laws is complex and the statutes and regulations can be subject to varying interpretation which can make compliance challenging.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Unfavorable global economic conditions could adversely affect our business, financial condition or results of operations.</w:t>
      </w:r>
    </w:p>
    <w:p>
      <w:pPr>
        <w:spacing w:after="0" w:line="120" w:lineRule="exact"/>
        <w:rPr>
          <w:sz w:val="20"/>
          <w:szCs w:val="20"/>
          <w:color w:val="auto"/>
        </w:rPr>
      </w:pPr>
    </w:p>
    <w:p>
      <w:pPr>
        <w:ind w:right="20" w:firstLine="555"/>
        <w:spacing w:after="0" w:line="241"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in the global financial markets. For example, the United States and other countries recently experienced increased inflation and interest rates increased in response to this inflation. These conditions in the U.S. and global economy have caused significant volatility and uncertainty in U.S. and international markets. A severe or prolonged economic downturn, a marked increase in interest rates and inflation could result in a variety of risks to our business, including, weakened demand for our product candidates (if and when approved by regulatory authorities) and our inability to raise additional capital when needed on acceptable terms, if at all. 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our operations, cause disruptions to our supply chain, and, ultimately, could adversely affect our business. In addition, our business may be generally exposed to the impact of political or civil unrest or military action, including the current conflict between Russia and Ukraine (where a vendor that performs chemistry related work on our pre-clinical product candidates is located). Other global conflicts, including conflicts in the Middle East, and heightened tensions in the Pacific region, have significantly elevated global geopolitical tensions and security concerns. While we do not otherwise have direct exposure to Ukraine, our business and results of operations may be impacted based upon the events taking place there and economic sanctions, export controls, and other trade restrictions, for instance those that the U.S. Government and other nations implemented against Russia in light of its invasion of Ukraine or those relating to the conflict in the Middle East, could directly and indirectly result in the disruption of our business and supply chain. A weak or declining economy could also strain our suppliers and the global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22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not be sustained, and you may not be able to resell your shares at the price you paid.</w:t>
      </w:r>
    </w:p>
    <w:p>
      <w:pPr>
        <w:spacing w:after="0" w:line="49" w:lineRule="exact"/>
        <w:rPr>
          <w:sz w:val="20"/>
          <w:szCs w:val="20"/>
          <w:color w:val="auto"/>
        </w:rPr>
      </w:pPr>
    </w:p>
    <w:p>
      <w:pPr>
        <w:ind w:right="20" w:firstLine="555"/>
        <w:spacing w:after="0" w:line="277" w:lineRule="auto"/>
        <w:rPr>
          <w:sz w:val="20"/>
          <w:szCs w:val="20"/>
          <w:color w:val="auto"/>
        </w:rPr>
      </w:pPr>
      <w:r>
        <w:rPr>
          <w:rFonts w:ascii="Times New Roman" w:cs="Times New Roman" w:eastAsia="Times New Roman" w:hAnsi="Times New Roman"/>
          <w:sz w:val="20"/>
          <w:szCs w:val="20"/>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ectPr>
          <w:pgSz w:w="12960" w:h="16560" w:orient="portrait"/>
          <w:cols w:equalWidth="0" w:num="1">
            <w:col w:w="10160"/>
          </w:cols>
          <w:pgMar w:left="1360" w:top="1420" w:right="1440" w:bottom="535" w:gutter="0" w:footer="0" w:header="0"/>
        </w:sect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960" w:h="16560" w:orient="portrait"/>
          <w:cols w:equalWidth="0" w:num="1">
            <w:col w:w="10160"/>
          </w:cols>
          <w:pgMar w:left="1360" w:top="1420" w:right="1440" w:bottom="535" w:gutter="0" w:footer="0" w:header="0"/>
          <w:type w:val="continuous"/>
        </w:sectPr>
      </w:pPr>
    </w:p>
    <w:bookmarkStart w:id="82" w:name="page83"/>
    <w:bookmarkEnd w:id="82"/>
    <w:p>
      <w:pPr>
        <w:ind w:right="40" w:firstLine="555"/>
        <w:spacing w:after="0" w:line="249" w:lineRule="auto"/>
        <w:rPr>
          <w:sz w:val="20"/>
          <w:szCs w:val="20"/>
          <w:color w:val="auto"/>
        </w:rPr>
      </w:pPr>
      <w:r>
        <w:rPr>
          <w:rFonts w:ascii="Times New Roman" w:cs="Times New Roman" w:eastAsia="Times New Roman" w:hAnsi="Times New Roman"/>
          <w:sz w:val="20"/>
          <w:szCs w:val="20"/>
          <w:color w:val="auto"/>
        </w:rPr>
        <w:t>In an effort to protect our business from cybersecurity threats, we maintain and utilize various tools and processes that are designed to identify, assess, and manage cybersecurity risks. Our cybersecurity risk management program, which has been integrated into our enterprise risk management program, is based on the National Institute of Standards and Technology (NIST) Cybersecurity Framework. Our cybersecurity risk management program focuses on monitoring the prevention, detection, mitigation, and remediation of cybersecurity risks and incidents.</w:t>
      </w:r>
    </w:p>
    <w:p>
      <w:pPr>
        <w:spacing w:after="0" w:line="77" w:lineRule="exact"/>
        <w:rPr>
          <w:sz w:val="20"/>
          <w:szCs w:val="20"/>
          <w:color w:val="auto"/>
        </w:rPr>
      </w:pPr>
    </w:p>
    <w:p>
      <w:pPr>
        <w:ind w:right="40" w:firstLine="555"/>
        <w:spacing w:after="0" w:line="243" w:lineRule="auto"/>
        <w:rPr>
          <w:sz w:val="20"/>
          <w:szCs w:val="20"/>
          <w:color w:val="auto"/>
        </w:rPr>
      </w:pPr>
      <w:r>
        <w:rPr>
          <w:rFonts w:ascii="Times New Roman" w:cs="Times New Roman" w:eastAsia="Times New Roman" w:hAnsi="Times New Roman"/>
          <w:sz w:val="20"/>
          <w:szCs w:val="20"/>
          <w:color w:val="auto"/>
        </w:rPr>
        <w:t>There are a number of components of our risk management program. We leverage external third parties for security testing on an annual basis, including penetration testing. We consistently monitor critical risks from cybersecurity threats using automated tools and have a process to implement mitigation plans. Our Security Committee, headed by the Vice President of IT and the Chief Legal Counsel, assesses and monitors any identified security incidents that impact us or our external partners. Furthermore, we assess and review the cybersecurity practices of third parties who have access to our systems and/or process our sensitive information. This assessment may involve requesting Systems and Organization Controls Type 2 reports (SOC2 reports), conversations with our Vice President of IT, and the inclusion of contractual requirements to maintain data protection safeguards and timely notification if the third party experiences a security incident which may have a critical impact on our business or our data. Additionally, we conduct cybersecurity awareness training for employees during onboarding and throughout the year, and we conduct regular phishing simulations in an effort to raise awareness of spoofed or manipulated electronic communications and other cybersecurity threats.</w:t>
      </w:r>
    </w:p>
    <w:p>
      <w:pPr>
        <w:spacing w:after="0" w:line="88" w:lineRule="exact"/>
        <w:rPr>
          <w:sz w:val="20"/>
          <w:szCs w:val="20"/>
          <w:color w:val="auto"/>
        </w:rPr>
      </w:pPr>
    </w:p>
    <w:p>
      <w:pPr>
        <w:ind w:right="20" w:firstLine="555"/>
        <w:spacing w:after="0" w:line="246" w:lineRule="auto"/>
        <w:rPr>
          <w:sz w:val="20"/>
          <w:szCs w:val="20"/>
          <w:color w:val="auto"/>
        </w:rPr>
      </w:pPr>
      <w:r>
        <w:rPr>
          <w:rFonts w:ascii="Times New Roman" w:cs="Times New Roman" w:eastAsia="Times New Roman" w:hAnsi="Times New Roman"/>
          <w:sz w:val="20"/>
          <w:szCs w:val="20"/>
          <w:color w:val="auto"/>
        </w:rPr>
        <w:t>We face a number of cybersecurity risks in connection with our business. Although such risks have not materially affected us, and we do not believe they are reasonably likely to materially affect us, our business strategy, results of operations or financial condition, we could from time to time, experience threats to and security incidents related to our third-party vendors’ information systems. For more information about the cybersecurity risks we face, see the risk factor entitled “We may be unable to adequately protect our information technology systems from cyberattacks, cyber intrusions or otherwise which could result in damage to our information technology systems and unauthorized disclosure or use of confidential or proprietary information, including personal data” in Item 1A- Risk Factors.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124" w:lineRule="exact"/>
        <w:rPr>
          <w:sz w:val="20"/>
          <w:szCs w:val="20"/>
          <w:color w:val="auto"/>
        </w:rPr>
      </w:pPr>
    </w:p>
    <w:p>
      <w:pPr>
        <w:ind w:right="80" w:firstLine="555"/>
        <w:spacing w:after="0" w:line="245" w:lineRule="auto"/>
        <w:rPr>
          <w:sz w:val="20"/>
          <w:szCs w:val="20"/>
          <w:color w:val="auto"/>
        </w:rPr>
      </w:pPr>
      <w:r>
        <w:rPr>
          <w:rFonts w:ascii="Times New Roman" w:cs="Times New Roman" w:eastAsia="Times New Roman" w:hAnsi="Times New Roman"/>
          <w:sz w:val="20"/>
          <w:szCs w:val="20"/>
          <w:color w:val="auto"/>
        </w:rPr>
        <w:t>Our Board of Directors has delegated responsibility for overseeing our policies, practices and assessments with respect to cybersecurity and other information technology risks to the Audit Committee. Our Vice President of IT, under the supervision of our Chief Financial Officer, is responsible for the establishment and maintenance of our cybersecurity risk management program, including the day-to-day oversight of the assessment and management of cybersecurity risks. The Vice President of IT will regularly consult with outside security experts and management to evaluate certain aspects of the cybersecurity risk management program. The Vice President of IT has approximately 15 years of experience in information security and cybersecurity risk management. The IT team also institutes and maintains controls for our systems, applications, and databases.</w:t>
      </w:r>
    </w:p>
    <w:p>
      <w:pPr>
        <w:spacing w:after="0" w:line="82" w:lineRule="exact"/>
        <w:rPr>
          <w:sz w:val="20"/>
          <w:szCs w:val="20"/>
          <w:color w:val="auto"/>
        </w:rPr>
      </w:pPr>
    </w:p>
    <w:p>
      <w:pPr>
        <w:ind w:firstLine="555"/>
        <w:spacing w:after="0" w:line="258" w:lineRule="auto"/>
        <w:rPr>
          <w:sz w:val="20"/>
          <w:szCs w:val="20"/>
          <w:color w:val="auto"/>
        </w:rPr>
      </w:pPr>
      <w:r>
        <w:rPr>
          <w:rFonts w:ascii="Times New Roman" w:cs="Times New Roman" w:eastAsia="Times New Roman" w:hAnsi="Times New Roman"/>
          <w:sz w:val="20"/>
          <w:szCs w:val="20"/>
          <w:color w:val="auto"/>
        </w:rPr>
        <w:t>The Vice President of IT reports on the status of our cybersecurity risk management program to management and our Audit Committee on a periodic basis, which may include a discussion of the results of our annual third party cybersecurity risk assessments and critical updates to our mitigation and remediation efforts.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Our corporate headquarters is located at 201 Brookline Avenue, Boston, Massachusetts, where we lease approximately</w:t>
      </w:r>
    </w:p>
    <w:p>
      <w:pPr>
        <w:spacing w:after="0" w:line="28" w:lineRule="exact"/>
        <w:rPr>
          <w:sz w:val="20"/>
          <w:szCs w:val="20"/>
          <w:color w:val="auto"/>
        </w:rPr>
      </w:pPr>
    </w:p>
    <w:p>
      <w:pPr>
        <w:ind w:right="600"/>
        <w:spacing w:after="0" w:line="248" w:lineRule="auto"/>
        <w:rPr>
          <w:sz w:val="20"/>
          <w:szCs w:val="20"/>
          <w:color w:val="auto"/>
        </w:rPr>
      </w:pPr>
      <w:r>
        <w:rPr>
          <w:rFonts w:ascii="Times New Roman" w:cs="Times New Roman" w:eastAsia="Times New Roman" w:hAnsi="Times New Roman"/>
          <w:sz w:val="20"/>
          <w:szCs w:val="20"/>
          <w:color w:val="auto"/>
        </w:rPr>
        <w:t>64,805 square feet of office and laboratory space. The term of our amended lease with respect to this facility expires on January 31, 2033, however, under certain circumstances, this lease may terminate on an earlier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right="140" w:firstLine="555"/>
        <w:spacing w:after="0" w:line="258" w:lineRule="auto"/>
        <w:rPr>
          <w:sz w:val="20"/>
          <w:szCs w:val="20"/>
          <w:color w:val="auto"/>
        </w:rPr>
      </w:pPr>
      <w:r>
        <w:rPr>
          <w:rFonts w:ascii="Times New Roman" w:cs="Times New Roman" w:eastAsia="Times New Roman" w:hAnsi="Times New Roman"/>
          <w:sz w:val="20"/>
          <w:szCs w:val="20"/>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68" w:lineRule="exact"/>
        <w:rPr>
          <w:sz w:val="20"/>
          <w:szCs w:val="20"/>
          <w:color w:val="auto"/>
        </w:rPr>
      </w:pPr>
    </w:p>
    <w:p>
      <w:pPr>
        <w:ind w:right="100" w:firstLine="555"/>
        <w:spacing w:after="0" w:line="277" w:lineRule="auto"/>
        <w:rPr>
          <w:sz w:val="20"/>
          <w:szCs w:val="20"/>
          <w:color w:val="auto"/>
        </w:rPr>
      </w:pPr>
      <w:r>
        <w:rPr>
          <w:rFonts w:ascii="Times New Roman" w:cs="Times New Roman" w:eastAsia="Times New Roman" w:hAnsi="Times New Roman"/>
          <w:sz w:val="20"/>
          <w:szCs w:val="20"/>
          <w:color w:val="auto"/>
        </w:rPr>
        <w:t>We are not currently a party to any litigation or legal proceedings that, in the opinion of our management, are probable to have a material adverse effect on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Not applicable.</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960" w:h="16560" w:orient="portrait"/>
          <w:cols w:equalWidth="0" w:num="1">
            <w:col w:w="10160"/>
          </w:cols>
          <w:pgMar w:left="1360" w:top="1420" w:right="1440" w:bottom="535"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6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Our common stock currently trades on The Nasdaq Global Market under the symbol "TNGX".</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Common Stock</w:t>
      </w:r>
    </w:p>
    <w:p>
      <w:pPr>
        <w:spacing w:after="0" w:line="124" w:lineRule="exact"/>
        <w:rPr>
          <w:sz w:val="20"/>
          <w:szCs w:val="20"/>
          <w:color w:val="auto"/>
        </w:rPr>
      </w:pPr>
    </w:p>
    <w:p>
      <w:pPr>
        <w:ind w:right="120" w:firstLine="555"/>
        <w:spacing w:after="0" w:line="258" w:lineRule="auto"/>
        <w:rPr>
          <w:sz w:val="20"/>
          <w:szCs w:val="20"/>
          <w:color w:val="auto"/>
        </w:rPr>
      </w:pPr>
      <w:r>
        <w:rPr>
          <w:rFonts w:ascii="Times New Roman" w:cs="Times New Roman" w:eastAsia="Times New Roman" w:hAnsi="Times New Roman"/>
          <w:sz w:val="20"/>
          <w:szCs w:val="20"/>
          <w:color w:val="auto"/>
        </w:rPr>
        <w:t>As of February 19, 2025, there were approximately 17 stockholders of record of our common stock. Certain shares are held in “street” name and accordingly, the number of beneficial owners of such shares is not known or included in the foregoing number of stockholders of record.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4" w:lineRule="exact"/>
        <w:rPr>
          <w:sz w:val="20"/>
          <w:szCs w:val="20"/>
          <w:color w:val="auto"/>
        </w:rPr>
      </w:pPr>
    </w:p>
    <w:p>
      <w:pPr>
        <w:ind w:right="40" w:firstLine="555"/>
        <w:spacing w:after="0" w:line="249" w:lineRule="auto"/>
        <w:rPr>
          <w:sz w:val="20"/>
          <w:szCs w:val="20"/>
          <w:color w:val="auto"/>
        </w:rPr>
      </w:pPr>
      <w:r>
        <w:rPr>
          <w:rFonts w:ascii="Times New Roman" w:cs="Times New Roman" w:eastAsia="Times New Roman" w:hAnsi="Times New Roman"/>
          <w:sz w:val="20"/>
          <w:szCs w:val="20"/>
          <w:color w:val="auto"/>
        </w:rPr>
        <w:t>We currently intend to retain all available funds and future earnings, if any, to fund the development and expansion of our business. We have never declared or paid cash dividends on our common stock, and we do not expect to pay any cash dividends on our common stock in the foreseeable future. Payment of future dividends, if any, on our common stock will be at the discretion of our board of directors after taking into account various factors, including our financial condition, operating results, anticipated cash needs, and other factors that the board of directors may deem relevant.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24" w:lineRule="exact"/>
        <w:rPr>
          <w:sz w:val="20"/>
          <w:szCs w:val="20"/>
          <w:color w:val="auto"/>
        </w:rPr>
      </w:pPr>
    </w:p>
    <w:p>
      <w:pPr>
        <w:ind w:right="100" w:firstLine="555"/>
        <w:spacing w:after="0" w:line="252" w:lineRule="auto"/>
        <w:rPr>
          <w:sz w:val="20"/>
          <w:szCs w:val="20"/>
          <w:color w:val="auto"/>
        </w:rPr>
      </w:pPr>
      <w:r>
        <w:rPr>
          <w:rFonts w:ascii="Times New Roman" w:cs="Times New Roman" w:eastAsia="Times New Roman" w:hAnsi="Times New Roman"/>
          <w:sz w:val="20"/>
          <w:szCs w:val="20"/>
          <w:color w:val="auto"/>
        </w:rPr>
        <w:t>The following performance graph and related information shall not be deemed to be “soliciting material” or to be “filed” with the SEC for purposes of Section 18 of the Exchange Act, nor shall such information be incorporated by reference into any future filing under the Exchange Act or the Securities Act, except to the extent that we specifically incorporate it by reference into such filing.</w:t>
      </w:r>
    </w:p>
    <w:p>
      <w:pPr>
        <w:spacing w:after="0" w:line="114" w:lineRule="exact"/>
        <w:rPr>
          <w:sz w:val="20"/>
          <w:szCs w:val="20"/>
          <w:color w:val="auto"/>
        </w:rPr>
      </w:pPr>
    </w:p>
    <w:p>
      <w:pPr>
        <w:ind w:right="60" w:firstLine="555"/>
        <w:spacing w:after="0" w:line="246" w:lineRule="auto"/>
        <w:rPr>
          <w:sz w:val="20"/>
          <w:szCs w:val="20"/>
          <w:color w:val="auto"/>
        </w:rPr>
      </w:pPr>
      <w:r>
        <w:rPr>
          <w:rFonts w:ascii="Times New Roman" w:cs="Times New Roman" w:eastAsia="Times New Roman" w:hAnsi="Times New Roman"/>
          <w:sz w:val="20"/>
          <w:szCs w:val="20"/>
          <w:color w:val="auto"/>
        </w:rPr>
        <w:t>The following performance graph compares the performance of our common stock to the Nasdaq Composite Index and to the Nasdaq Biotechnology Index from September 3, 2020, the date on which our common stock first began trading on the Nasdaq Global Market, through December 31, 2024. The comparison assumes $100 was invested in our common stock and in each of the foregoing indices after the market closed on September 3, 2020. We have not paid any dividends on our common stock, and no dividends are included in the representation of the performance of our common stock. The stock price performances included in this graph are based on historical results and are not necessarily indicative of, nor intended to, forecast future stock price performance.</w:t>
      </w:r>
    </w:p>
    <w:p>
      <w:pPr>
        <w:spacing w:after="0" w:line="200" w:lineRule="exact"/>
        <w:rPr>
          <w:sz w:val="20"/>
          <w:szCs w:val="20"/>
          <w:color w:val="auto"/>
        </w:rPr>
      </w:pPr>
    </w:p>
    <w:p>
      <w:pPr>
        <w:ind w:right="60" w:firstLine="562"/>
        <w:spacing w:after="0" w:line="247" w:lineRule="auto"/>
        <w:rPr>
          <w:sz w:val="20"/>
          <w:szCs w:val="20"/>
          <w:color w:val="auto"/>
        </w:rPr>
      </w:pPr>
      <w:r>
        <w:rPr>
          <w:rFonts w:ascii="Times New Roman" w:cs="Times New Roman" w:eastAsia="Times New Roman" w:hAnsi="Times New Roman"/>
          <w:sz w:val="20"/>
          <w:szCs w:val="20"/>
          <w:color w:val="auto"/>
        </w:rPr>
        <w:t>We were formerly known as BCTG Acquisition Corp., or BCTG, and were incorporated in Delaware in May 2020 as a special purpose acquisition company, formed for the purpose of effecting a merger, capital stock exchange, asset acquisition, stock purchase, reorganization or other similar business combination. BCTG closed its initial public offering on September 3, 2020 and began trading on the Nasdaq Market on such date. On August 10, 2021, we consummated a merger, pursuant to the Agreement and Plan of Merger, dated as of April 13, 2021, by and among BCTG, BCTG Merger Sub Inc. and Tango Therapeutics Sub, Inc. Upon the consummation of the merger, we changed our name to Tango Therapeutics, Inc.</w:t>
      </w:r>
    </w:p>
    <w:p>
      <w:pPr>
        <w:sectPr>
          <w:pgSz w:w="12960" w:h="16560" w:orient="portrait"/>
          <w:cols w:equalWidth="0" w:num="1">
            <w:col w:w="10160"/>
          </w:cols>
          <w:pgMar w:left="1360" w:top="141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960" w:h="16560" w:orient="portrait"/>
          <w:cols w:equalWidth="0" w:num="1">
            <w:col w:w="10160"/>
          </w:cols>
          <w:pgMar w:left="1360" w:top="1416" w:right="1440" w:bottom="535" w:gutter="0" w:footer="0" w:header="0"/>
          <w:type w:val="continuous"/>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1221105</wp:posOffset>
            </wp:positionH>
            <wp:positionV relativeFrom="page">
              <wp:posOffset>914400</wp:posOffset>
            </wp:positionV>
            <wp:extent cx="5444490" cy="4652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444490" cy="465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24" w:lineRule="exact"/>
        <w:rPr>
          <w:sz w:val="20"/>
          <w:szCs w:val="20"/>
          <w:color w:val="auto"/>
        </w:rPr>
      </w:pPr>
    </w:p>
    <w:p>
      <w:pPr>
        <w:ind w:right="560" w:firstLine="555"/>
        <w:spacing w:after="0" w:line="277" w:lineRule="auto"/>
        <w:rPr>
          <w:sz w:val="20"/>
          <w:szCs w:val="20"/>
          <w:color w:val="auto"/>
        </w:rPr>
      </w:pPr>
      <w:r>
        <w:rPr>
          <w:rFonts w:ascii="Times New Roman" w:cs="Times New Roman" w:eastAsia="Times New Roman" w:hAnsi="Times New Roman"/>
          <w:sz w:val="20"/>
          <w:szCs w:val="20"/>
          <w:color w:val="auto"/>
        </w:rPr>
        <w:t>The information required by Item 5 of Form 10-K regarding equity compensation plans is incorporated herein by reference to Item 12 of Part III of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124" w:lineRule="exact"/>
        <w:rPr>
          <w:sz w:val="20"/>
          <w:szCs w:val="20"/>
          <w:color w:val="auto"/>
        </w:rPr>
      </w:pPr>
    </w:p>
    <w:p>
      <w:pPr>
        <w:ind w:right="80" w:firstLine="555"/>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2024, we did not issue or sell any unregistered securities not previously disclosed in an Annual Report on Form 10-K or in a Current Report on Form 8-K.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Not applicable.</w:t>
      </w:r>
    </w:p>
    <w:p>
      <w:pPr>
        <w:sectPr>
          <w:pgSz w:w="12960" w:h="16560" w:orient="portrait"/>
          <w:cols w:equalWidth="0" w:num="1">
            <w:col w:w="10160"/>
          </w:cols>
          <w:pgMar w:left="1360" w:top="144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960" w:h="16560" w:orient="portrait"/>
          <w:cols w:equalWidth="0" w:num="1">
            <w:col w:w="10160"/>
          </w:cols>
          <w:pgMar w:left="1360" w:top="1440" w:right="1440" w:bottom="535" w:gutter="0" w:footer="0" w:header="0"/>
          <w:type w:val="continuous"/>
        </w:sectPr>
      </w:pPr>
    </w:p>
    <w:bookmarkStart w:id="85" w:name="page86"/>
    <w:bookmarkEnd w:id="85"/>
    <w:p>
      <w:pPr>
        <w:ind w:left="720"/>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6"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together with our consolidated financial statements and related notes appearing elsewhere in this Annual Report on Form 10-K for the year ended December 31, 2024.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06"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i w:val="1"/>
          <w:iCs w:val="1"/>
          <w:color w:val="auto"/>
        </w:rPr>
        <w:t>Information pertaining to fiscal year 2022 was included in the Company’s Annual Report on Form 10-K for the year ended December 31, 2022 under Part II, Item 7, “Management’s Discussion and Analysis of Financial Position and Results of Operations,” which was filed with the SEC on March 27, 2023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Tango Therapeutics was founded with a clear mission: to discover the next wave of targeted therapies in oncology by addressing the specific genetic alterations that drive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genetic alterations, killing those cancer cells while sparing normal cells. We also are extending this target space beyond the classic, cell-autonomous effects of tumor suppressor gene loss to include the discovery of novel targets that reverse tumor suppressor gene mediated immune evasion which prevents the immune system from recognizing and killing cancer cells. We believe our approach will provide the ability to deliver deep, durable target inhibition with favorable tolerability and safety profiles, thus potentially maximizing clinical benefit.</w:t>
      </w:r>
    </w:p>
    <w:p>
      <w:pPr>
        <w:spacing w:after="0" w:line="192"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We are currently developing two MTA-cooperative PRMT5 inhibitors: TNG462 for non-CNS cancers, including pancreatic and lung cancer, and TNG456, our next-generation, brain-penetrant PRMT5 inhibitor, for CNS cancers, including GBM.</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November 2024, we reported positive early data from the ongoing Phase 1/2 clinical trial of</w:t>
      </w:r>
    </w:p>
    <w:p>
      <w:pPr>
        <w:spacing w:after="0" w:line="2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TNG462, demonstrating durable clinical activity across multiple cancer types with a good safety and tolerability profile. We are currently enrolling patients in the ongoing TNG462 Phase 1/2 monotherapy clinical trial and plan to provide a clinical data update on TNG462 in 2025. Additionally, we plan to begin enrollment in multiple combinations involving TNG462 in 2025. We have initiated a robust clinical development program for TNG462, and plan to pursue monotherapy registrational clinical trials in 2026.</w:t>
      </w:r>
    </w:p>
    <w:p>
      <w:pPr>
        <w:spacing w:after="0" w:line="192"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In November 2024, we also announced data from the Phase 1/2 clinical trial of TNG908, our first brain-penetrant PMRT5 inhibitor. The data demonstrated durable clinical activity, including RECIST partial responses across multiple tumor types (including pancreatic and lung cancer) and a good safety and tolerability profile. However, we did not observe any responses by RANO criteria in GBM, a development focus of the TNG908 program. Given that TNG462 has more favorable pharmacokinetic, pharmacodynamic and safety characteristics than TNG908, we stopped enrollment of the TNG908 clinical trial and discontinued further development in order to fully resource TNG462 and TNG456 development.</w:t>
      </w:r>
    </w:p>
    <w:p>
      <w:pPr>
        <w:spacing w:after="0" w:line="190" w:lineRule="exact"/>
        <w:rPr>
          <w:sz w:val="20"/>
          <w:szCs w:val="20"/>
          <w:color w:val="auto"/>
        </w:rPr>
      </w:pPr>
    </w:p>
    <w:p>
      <w:pPr>
        <w:ind w:right="420" w:firstLine="720"/>
        <w:spacing w:after="0" w:line="258" w:lineRule="auto"/>
        <w:rPr>
          <w:sz w:val="20"/>
          <w:szCs w:val="20"/>
          <w:color w:val="auto"/>
        </w:rPr>
      </w:pPr>
      <w:r>
        <w:rPr>
          <w:rFonts w:ascii="Times New Roman" w:cs="Times New Roman" w:eastAsia="Times New Roman" w:hAnsi="Times New Roman"/>
          <w:sz w:val="20"/>
          <w:szCs w:val="20"/>
          <w:color w:val="auto"/>
        </w:rPr>
        <w:t>Based on preclinical TNG456 data showing enhanced potency and MTAP selectivity compared to TNG908 and sufficient brain penetrance, TNG456 will move into clinical development and focus on GBM. The FDA cleared the TNG456 IND in January 2025 and we plan to begin enrolling patients in a Phase 1/2 clinical trial in the first half of 2025.</w:t>
      </w:r>
    </w:p>
    <w:p>
      <w:pPr>
        <w:spacing w:after="0" w:line="17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TNG260 is a first-in-class CoREST inhibitor, which in preclinical studies reversed the immune evasion effect of STK11 loss-of-function mutations. TNG260 has a favorable safety, tolerability and pharmacokinetic profile in dose escalation and clinical proof-of-mechanism now has been established based on pharmacodynamic data from on-treatment patient biopsies. We are enrolling patients in the dose expansion portion of the Phase 1/2 trial and we plan to provide clinical data for TNG260 in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244"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auto"/>
        </w:rPr>
        <w:t>Since the Company's inception, we have focused primarily on organizing and staffing our company, business planning, raising capital, discovering product candidates, securing related intellectual property, and conducting research and</w:t>
      </w:r>
    </w:p>
    <w:p>
      <w:pPr>
        <w:sectPr>
          <w:pgSz w:w="12960" w:h="16560" w:orient="portrait"/>
          <w:cols w:equalWidth="0" w:num="1">
            <w:col w:w="10160"/>
          </w:cols>
          <w:pgMar w:left="1360" w:top="1416" w:right="1440" w:bottom="535"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960" w:h="16560" w:orient="portrait"/>
          <w:cols w:equalWidth="0" w:num="1">
            <w:col w:w="10160"/>
          </w:cols>
          <w:pgMar w:left="1360" w:top="1416" w:right="1440" w:bottom="535"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development activities for our programs. To date, we have funded our operations primarily through equity financings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the proceeds received from our collaboration agreement with Gilead. Since inception, we have raised an aggregate of</w:t>
      </w:r>
    </w:p>
    <w:p>
      <w:pPr>
        <w:spacing w:after="0"/>
        <w:rPr>
          <w:sz w:val="20"/>
          <w:szCs w:val="20"/>
          <w:color w:val="auto"/>
        </w:rPr>
      </w:pPr>
      <w:r>
        <w:rPr>
          <w:rFonts w:ascii="Times New Roman" w:cs="Times New Roman" w:eastAsia="Times New Roman" w:hAnsi="Times New Roman"/>
          <w:sz w:val="20"/>
          <w:szCs w:val="20"/>
          <w:color w:val="auto"/>
        </w:rPr>
        <w:t>$166.9 million of gross proceeds from the sale of our preferred shares, $342.1 million in gross proceeds through the closing of</w:t>
      </w:r>
    </w:p>
    <w:p>
      <w:pPr>
        <w:spacing w:after="0"/>
        <w:rPr>
          <w:sz w:val="20"/>
          <w:szCs w:val="20"/>
          <w:color w:val="auto"/>
        </w:rPr>
      </w:pPr>
      <w:r>
        <w:rPr>
          <w:rFonts w:ascii="Times New Roman" w:cs="Times New Roman" w:eastAsia="Times New Roman" w:hAnsi="Times New Roman"/>
          <w:sz w:val="20"/>
          <w:szCs w:val="20"/>
          <w:color w:val="auto"/>
        </w:rPr>
        <w:t>the Business Combination and simultaneous financing transactions, $237.1 million through our collaboration with Gilead and</w:t>
      </w:r>
    </w:p>
    <w:p>
      <w:pPr>
        <w:spacing w:after="0"/>
        <w:rPr>
          <w:sz w:val="20"/>
          <w:szCs w:val="20"/>
          <w:color w:val="auto"/>
        </w:rPr>
      </w:pPr>
      <w:r>
        <w:rPr>
          <w:rFonts w:ascii="Times New Roman" w:cs="Times New Roman" w:eastAsia="Times New Roman" w:hAnsi="Times New Roman"/>
          <w:sz w:val="20"/>
          <w:szCs w:val="20"/>
          <w:color w:val="auto"/>
        </w:rPr>
        <w:t>$123.0 million of gross proceeds through (i) $80.0 million from the private placement of common shares and pre-funded</w:t>
      </w:r>
    </w:p>
    <w:p>
      <w:pPr>
        <w:spacing w:after="0"/>
        <w:rPr>
          <w:sz w:val="20"/>
          <w:szCs w:val="20"/>
          <w:color w:val="auto"/>
        </w:rPr>
      </w:pPr>
      <w:r>
        <w:rPr>
          <w:rFonts w:ascii="Times New Roman" w:cs="Times New Roman" w:eastAsia="Times New Roman" w:hAnsi="Times New Roman"/>
          <w:sz w:val="20"/>
          <w:szCs w:val="20"/>
          <w:color w:val="auto"/>
        </w:rPr>
        <w:t>warrants to purchase common shares in August 2023 and (ii) $43.0 million from our "at-the-market" stock offering program.</w:t>
      </w:r>
    </w:p>
    <w:p>
      <w:pPr>
        <w:spacing w:after="0" w:line="21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We expect that our existing cash, cash equivalents and marketable securities on hand as of December 31, 2024 of $257.9 million will enable us to fund our operating expenses and capital expenditure requirements at least into the third quarter of 2026. Since inception, we have incurred significant operating losses. For the years ended December 31, 2024, 2023, and 2022 our net losses were $130.3 million, $101.7 million, and $108.2 million, respectively. We had an accumulated deficit of $501.6 million as of December 31, 2024.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20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08" w:lineRule="exact"/>
        <w:rPr>
          <w:sz w:val="20"/>
          <w:szCs w:val="20"/>
          <w:color w:val="auto"/>
        </w:rPr>
      </w:pPr>
    </w:p>
    <w:p>
      <w:pPr>
        <w:jc w:val="both"/>
        <w:ind w:right="140" w:firstLine="490"/>
        <w:spacing w:after="0" w:line="24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At-the-Market Stock Offering</w:t>
      </w:r>
    </w:p>
    <w:p>
      <w:pPr>
        <w:spacing w:after="0" w:line="24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In September 2022, we entered into a sales agreement (the Sales Agreement) with Jefferies LLC (Jefferies) which permits us to sell from time to time, at our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us or Jefferies. As of December 31, 2024, we had sold 4,001,200 shares of common stock under this program for gross proceeds of $43.0 million.</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4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Collaboration Agreements with Gilead Sciences</w:t>
      </w:r>
    </w:p>
    <w:p>
      <w:pPr>
        <w:spacing w:after="0" w:line="238"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In October 2018, we entered into a collaboration agreement (the 2018 Gilead Agreement) with Gilead Sciences, Inc. (Gilead). Pursuant to the terms of the 2018 Gilead Agreement, we received an initial upfront payment of $50.0 million. The</w:t>
      </w:r>
    </w:p>
    <w:p>
      <w:pPr>
        <w:sectPr>
          <w:pgSz w:w="12960" w:h="16560" w:orient="portrait"/>
          <w:cols w:equalWidth="0" w:num="1">
            <w:col w:w="10160"/>
          </w:cols>
          <w:pgMar w:left="1360" w:top="1420" w:right="1440" w:bottom="535"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960" w:h="16560" w:orient="portrait"/>
          <w:cols w:equalWidth="0" w:num="1">
            <w:col w:w="10160"/>
          </w:cols>
          <w:pgMar w:left="1360" w:top="1420" w:right="1440" w:bottom="535" w:gutter="0" w:footer="0" w:header="0"/>
          <w:type w:val="continuous"/>
        </w:sectPr>
      </w:pPr>
    </w:p>
    <w:bookmarkStart w:id="87" w:name="page88"/>
    <w:bookmarkEnd w:id="87"/>
    <w:p>
      <w:pPr>
        <w:ind w:right="180"/>
        <w:spacing w:after="0" w:line="277" w:lineRule="auto"/>
        <w:rPr>
          <w:sz w:val="20"/>
          <w:szCs w:val="20"/>
          <w:color w:val="auto"/>
        </w:rPr>
      </w:pPr>
      <w:r>
        <w:rPr>
          <w:rFonts w:ascii="Times New Roman" w:cs="Times New Roman" w:eastAsia="Times New Roman" w:hAnsi="Times New Roman"/>
          <w:sz w:val="20"/>
          <w:szCs w:val="20"/>
          <w:color w:val="auto"/>
        </w:rPr>
        <w:t>upfront payment was initially recorded as deferred revenue on our balance sheet and is recognized as revenue as or when the performance obligation under the contract is satisfied.</w:t>
      </w:r>
    </w:p>
    <w:p>
      <w:pPr>
        <w:spacing w:after="0" w:line="169"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In August 2020, the 2018 Gilead Agreement was expanded into a broader collaboration via an amended and restated research collaboration and license agreement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2024, Gilead licensed a program for a $12.0 million fee, which was recognized as license revenue in the second quarter of 2024.</w:t>
      </w:r>
    </w:p>
    <w:p>
      <w:pPr>
        <w:spacing w:after="0" w:line="202"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2024, $136.6 million has been recognized as collaboration revenue related to the upfront and research option-extension payments from the Gilead agreements.</w:t>
      </w:r>
    </w:p>
    <w:p>
      <w:pPr>
        <w:spacing w:after="0" w:line="169"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During the years ended December 31, 2024, 2023, and 2022, we recognized $30.0 million, $31.5 million, and $24.9 million, respectively, of collaboration revenue associated with the Gilead agreements based on performance completed during each period.</w:t>
      </w:r>
    </w:p>
    <w:p>
      <w:pPr>
        <w:spacing w:after="0" w:line="18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Refer to Note 2 and Note 3 to our audited consolidated financial statements included elsewhere in this Annual Report on Form 10-K for additional information regarding our revenue recognition accounting policy and our collaboration agreement with Gilead.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8" w:lineRule="exact"/>
        <w:rPr>
          <w:sz w:val="20"/>
          <w:szCs w:val="20"/>
          <w:color w:val="auto"/>
        </w:rPr>
      </w:pPr>
    </w:p>
    <w:p>
      <w:pPr>
        <w:ind w:right="900" w:firstLine="490"/>
        <w:spacing w:after="0" w:line="277"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our drug discovery efforts and the development of our product candidates. We expense research and development costs as incurred, which include:</w:t>
      </w:r>
    </w:p>
    <w:p>
      <w:pPr>
        <w:spacing w:after="0" w:line="63" w:lineRule="exact"/>
        <w:rPr>
          <w:sz w:val="20"/>
          <w:szCs w:val="20"/>
          <w:color w:val="auto"/>
        </w:rPr>
      </w:pPr>
    </w:p>
    <w:p>
      <w:pPr>
        <w:ind w:left="1080" w:right="16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employee-related expenses, including salaries, bonuses, benefits, stock-based compensation, other related costs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for those employees involved in research and development efforts;</w:t>
      </w:r>
    </w:p>
    <w:p>
      <w:pPr>
        <w:spacing w:after="0" w:line="65" w:lineRule="exact"/>
        <w:rPr>
          <w:sz w:val="20"/>
          <w:szCs w:val="20"/>
          <w:color w:val="auto"/>
        </w:rPr>
      </w:pPr>
    </w:p>
    <w:p>
      <w:pPr>
        <w:ind w:left="1080" w:right="12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external research and development expenses incurred under agreements with contract research organizations, or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CROs, as well as consultants that conduct our preclinical studies and development services;</w:t>
      </w:r>
    </w:p>
    <w:p>
      <w:pPr>
        <w:spacing w:after="0" w:line="65" w:lineRule="exact"/>
        <w:rPr>
          <w:sz w:val="20"/>
          <w:szCs w:val="20"/>
          <w:color w:val="auto"/>
        </w:rPr>
      </w:pPr>
    </w:p>
    <w:p>
      <w:pPr>
        <w:ind w:left="720" w:right="2820"/>
        <w:spacing w:after="0" w:line="378"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costs related to manufacturing material for our preclinical and clinical studies;</w:t>
      </w:r>
      <w:r>
        <w:rPr>
          <w:rFonts w:ascii="Arial" w:cs="Arial" w:eastAsia="Arial" w:hAnsi="Arial"/>
          <w:sz w:val="20"/>
          <w:szCs w:val="20"/>
          <w:color w:val="auto"/>
        </w:rPr>
        <w:t xml:space="preserve"> \ </w:t>
      </w:r>
      <w:r>
        <w:rPr>
          <w:rFonts w:ascii="Times New Roman" w:cs="Times New Roman" w:eastAsia="Times New Roman" w:hAnsi="Times New Roman"/>
          <w:sz w:val="20"/>
          <w:szCs w:val="20"/>
          <w:color w:val="auto"/>
        </w:rPr>
        <w:t>laboratory supplies and research materials;</w:t>
      </w:r>
    </w:p>
    <w:p>
      <w:pPr>
        <w:spacing w:after="0" w:line="1" w:lineRule="exact"/>
        <w:rPr>
          <w:sz w:val="20"/>
          <w:szCs w:val="20"/>
          <w:color w:val="auto"/>
        </w:rPr>
      </w:pPr>
    </w:p>
    <w:p>
      <w:pPr>
        <w:ind w:left="720" w:right="3760"/>
        <w:spacing w:after="0" w:line="378"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costs to fulfill our obligations under the collaboration with Gilead;</w:t>
      </w:r>
      <w:r>
        <w:rPr>
          <w:rFonts w:ascii="Arial" w:cs="Arial" w:eastAsia="Arial" w:hAnsi="Arial"/>
          <w:sz w:val="20"/>
          <w:szCs w:val="20"/>
          <w:color w:val="auto"/>
        </w:rPr>
        <w:t xml:space="preserve"> \ </w:t>
      </w:r>
      <w:r>
        <w:rPr>
          <w:rFonts w:ascii="Times New Roman" w:cs="Times New Roman" w:eastAsia="Times New Roman" w:hAnsi="Times New Roman"/>
          <w:sz w:val="20"/>
          <w:szCs w:val="20"/>
          <w:color w:val="auto"/>
        </w:rPr>
        <w:t>costs related to compliance with regulatory requirements; and</w:t>
      </w:r>
    </w:p>
    <w:p>
      <w:pPr>
        <w:spacing w:after="0" w:line="1" w:lineRule="exact"/>
        <w:rPr>
          <w:sz w:val="20"/>
          <w:szCs w:val="20"/>
          <w:color w:val="auto"/>
        </w:rPr>
      </w:pPr>
    </w:p>
    <w:p>
      <w:pPr>
        <w:ind w:left="1080" w:right="22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facilities, information technology systems, depreciation and other allocated expenses, which include direct and</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allocated expenses for rent, utilities and insurance.</w:t>
      </w:r>
    </w:p>
    <w:p>
      <w:pPr>
        <w:spacing w:after="0" w:line="171"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9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94" w:lineRule="exact"/>
        <w:rPr>
          <w:sz w:val="20"/>
          <w:szCs w:val="20"/>
          <w:color w:val="auto"/>
        </w:rPr>
      </w:pPr>
    </w:p>
    <w:p>
      <w:pPr>
        <w:ind w:right="120" w:firstLine="490"/>
        <w:spacing w:after="0" w:line="278" w:lineRule="auto"/>
        <w:rPr>
          <w:sz w:val="20"/>
          <w:szCs w:val="20"/>
          <w:color w:val="auto"/>
        </w:rPr>
      </w:pPr>
      <w:r>
        <w:rPr>
          <w:rFonts w:ascii="Times New Roman" w:cs="Times New Roman" w:eastAsia="Times New Roman" w:hAnsi="Times New Roman"/>
          <w:sz w:val="19"/>
          <w:szCs w:val="19"/>
          <w:color w:val="auto"/>
        </w:rPr>
        <w:t>We do not allocate employee costs or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960" w:h="16560" w:orient="portrait"/>
          <w:cols w:equalWidth="0" w:num="1">
            <w:col w:w="10160"/>
          </w:cols>
          <w:pgMar w:left="1360" w:top="1420" w:right="1440" w:bottom="535" w:gutter="0" w:footer="0" w:header="0"/>
          <w:type w:val="continuous"/>
        </w:sectPr>
      </w:pPr>
    </w:p>
    <w:bookmarkStart w:id="88" w:name="page89"/>
    <w:bookmarkEnd w:id="88"/>
    <w:p>
      <w:pPr>
        <w:ind w:right="540"/>
        <w:spacing w:after="0" w:line="277" w:lineRule="auto"/>
        <w:rPr>
          <w:sz w:val="20"/>
          <w:szCs w:val="20"/>
          <w:color w:val="auto"/>
        </w:rPr>
      </w:pPr>
      <w:r>
        <w:rPr>
          <w:rFonts w:ascii="Times New Roman" w:cs="Times New Roman" w:eastAsia="Times New Roman" w:hAnsi="Times New Roman"/>
          <w:sz w:val="20"/>
          <w:szCs w:val="20"/>
          <w:color w:val="auto"/>
        </w:rPr>
        <w:t>identification of a product candidate as discovery costs. We use internal resources primarily to conduct our research and discovery activities as well as for managing our preclinical, development and manufacturing activities.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6471920" cy="196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6471920" cy="1964690"/>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8"/>
        </w:trPr>
        <w:tc>
          <w:tcPr>
            <w:tcW w:w="6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3"/>
        </w:trPr>
        <w:tc>
          <w:tcPr>
            <w:tcW w:w="6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85"/>
              <w:spacing w:after="0" w:line="173" w:lineRule="exact"/>
              <w:rPr>
                <w:sz w:val="20"/>
                <w:szCs w:val="20"/>
                <w:color w:val="auto"/>
              </w:rPr>
            </w:pPr>
            <w:r>
              <w:rPr>
                <w:rFonts w:ascii="Times New Roman" w:cs="Times New Roman" w:eastAsia="Times New Roman" w:hAnsi="Times New Roman"/>
                <w:sz w:val="16"/>
                <w:szCs w:val="16"/>
                <w:b w:val="1"/>
                <w:bCs w:val="1"/>
                <w:color w:val="auto"/>
              </w:rPr>
              <w:t>(in</w:t>
            </w:r>
          </w:p>
        </w:tc>
        <w:tc>
          <w:tcPr>
            <w:tcW w:w="74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6"/>
                <w:szCs w:val="16"/>
                <w:b w:val="1"/>
                <w:bCs w:val="1"/>
                <w:color w:val="auto"/>
                <w:w w:val="80"/>
              </w:rPr>
              <w:t>thousands)</w:t>
            </w:r>
          </w:p>
        </w:tc>
        <w:tc>
          <w:tcPr>
            <w:tcW w:w="1080" w:type="dxa"/>
            <w:vAlign w:val="bottom"/>
          </w:tcPr>
          <w:p>
            <w:pPr>
              <w:spacing w:after="0"/>
              <w:rPr>
                <w:sz w:val="15"/>
                <w:szCs w:val="15"/>
                <w:color w:val="auto"/>
              </w:rPr>
            </w:pP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TNG462 direct program expenses</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16,161</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10,158</w:t>
            </w: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TNG456 direct program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4,531</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TNG908 direct program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13,587</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10,851</w:t>
            </w: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TNG260 direct program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9,382</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8,171</w:t>
            </w: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TNG348 direct program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5,476</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6,564</w:t>
            </w: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Discovery direct program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24,440</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23,426</w:t>
            </w: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Unallocated research and development expenses: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4"/>
        </w:trPr>
        <w:tc>
          <w:tcPr>
            <w:tcW w:w="6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Personnel-related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51,457</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38,469</w:t>
            </w:r>
          </w:p>
        </w:tc>
      </w:tr>
      <w:tr>
        <w:trPr>
          <w:trHeight w:val="249"/>
        </w:trPr>
        <w:tc>
          <w:tcPr>
            <w:tcW w:w="6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Facilities and other related expenses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18,884</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17,559</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143,918</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115,198</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November 2024, we announced we stopped enrollment in the TNG908 Phase 1/2 trial due to insufficient brain exposure for GBM clinical activity and portfolio prioritization. Expenses beyond November 2024 related to previously enrolled patients and close-out clinical trial costs.</w:t>
      </w:r>
    </w:p>
    <w:p>
      <w:pPr>
        <w:spacing w:after="0" w:line="68"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169"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current and planned clinical trials, including our planned combination clinical trials. We anticipate that our expenses will increase substantially, particularly due to the numerous risks and uncertainties associated with developing product candidates, including the uncertainty of:</w:t>
      </w:r>
    </w:p>
    <w:p>
      <w:pPr>
        <w:spacing w:after="0" w:line="108" w:lineRule="exact"/>
        <w:rPr>
          <w:sz w:val="20"/>
          <w:szCs w:val="20"/>
          <w:color w:val="auto"/>
        </w:rPr>
      </w:pPr>
    </w:p>
    <w:p>
      <w:pPr>
        <w:ind w:left="1080" w:right="38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scope, rate of progress, and expenses of our ongoing research activities as well as any preclinical studies,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clinical trials and other research and development activities;</w:t>
      </w:r>
    </w:p>
    <w:p>
      <w:pPr>
        <w:spacing w:after="0" w:line="6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establishing an appropriate safety profile with IND-enabling studies;</w:t>
      </w:r>
    </w:p>
    <w:p>
      <w:pPr>
        <w:spacing w:after="0" w:line="133" w:lineRule="exact"/>
        <w:rPr>
          <w:sz w:val="20"/>
          <w:szCs w:val="20"/>
          <w:color w:val="auto"/>
        </w:rPr>
      </w:pPr>
    </w:p>
    <w:p>
      <w:pPr>
        <w:ind w:left="720" w:right="860"/>
        <w:spacing w:after="0" w:line="378"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successful enrollment in and completion of our clinical trials, including our combination clinical trials;</w:t>
      </w:r>
      <w:r>
        <w:rPr>
          <w:rFonts w:ascii="Arial" w:cs="Arial" w:eastAsia="Arial" w:hAnsi="Arial"/>
          <w:sz w:val="20"/>
          <w:szCs w:val="20"/>
          <w:color w:val="auto"/>
        </w:rPr>
        <w:t xml:space="preserve"> \ </w:t>
      </w:r>
      <w:r>
        <w:rPr>
          <w:rFonts w:ascii="Times New Roman" w:cs="Times New Roman" w:eastAsia="Times New Roman" w:hAnsi="Times New Roman"/>
          <w:sz w:val="20"/>
          <w:szCs w:val="20"/>
          <w:color w:val="auto"/>
        </w:rPr>
        <w:t>whether our product candidates show safety and efficacy in our clinical trials;</w:t>
      </w:r>
    </w:p>
    <w:p>
      <w:pPr>
        <w:spacing w:after="0" w:line="1" w:lineRule="exact"/>
        <w:rPr>
          <w:sz w:val="20"/>
          <w:szCs w:val="20"/>
          <w:color w:val="auto"/>
        </w:rPr>
      </w:pPr>
    </w:p>
    <w:p>
      <w:pPr>
        <w:ind w:left="720" w:right="3200"/>
        <w:spacing w:after="0" w:line="378"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receipt of marketing approvals from applicable regulatory authorities;</w:t>
      </w:r>
      <w:r>
        <w:rPr>
          <w:rFonts w:ascii="Arial" w:cs="Arial" w:eastAsia="Arial" w:hAnsi="Arial"/>
          <w:sz w:val="20"/>
          <w:szCs w:val="20"/>
          <w:color w:val="auto"/>
        </w:rPr>
        <w:t xml:space="preserve"> \ </w:t>
      </w:r>
      <w:r>
        <w:rPr>
          <w:rFonts w:ascii="Times New Roman" w:cs="Times New Roman" w:eastAsia="Times New Roman" w:hAnsi="Times New Roman"/>
          <w:sz w:val="20"/>
          <w:szCs w:val="20"/>
          <w:color w:val="auto"/>
        </w:rPr>
        <w:t>the progress of our collaboration with Gilead;</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establishing commercial manufacturing capabilities or making arrangements with third-party manufacturers;</w:t>
      </w:r>
    </w:p>
    <w:p>
      <w:pPr>
        <w:spacing w:after="0" w:line="133" w:lineRule="exact"/>
        <w:rPr>
          <w:sz w:val="20"/>
          <w:szCs w:val="20"/>
          <w:color w:val="auto"/>
        </w:rPr>
      </w:pPr>
    </w:p>
    <w:p>
      <w:pPr>
        <w:ind w:left="1080" w:right="86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obtaining and maintaining patent and trade secret protection and regulatory exclusivity for our product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candidates;</w:t>
      </w:r>
    </w:p>
    <w:p>
      <w:pPr>
        <w:spacing w:after="0" w:line="65" w:lineRule="exact"/>
        <w:rPr>
          <w:sz w:val="20"/>
          <w:szCs w:val="20"/>
          <w:color w:val="auto"/>
        </w:rPr>
      </w:pPr>
    </w:p>
    <w:p>
      <w:pPr>
        <w:ind w:left="720" w:right="240"/>
        <w:spacing w:after="0" w:line="41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commercializing product candidates, if and when approved, whether alone or in collaboration with others; and</w:t>
      </w:r>
      <w:r>
        <w:rPr>
          <w:rFonts w:ascii="Arial" w:cs="Arial" w:eastAsia="Arial" w:hAnsi="Arial"/>
          <w:sz w:val="20"/>
          <w:szCs w:val="20"/>
          <w:color w:val="auto"/>
        </w:rPr>
        <w:t xml:space="preserve"> \ </w:t>
      </w:r>
      <w:r>
        <w:rPr>
          <w:rFonts w:ascii="Times New Roman" w:cs="Times New Roman" w:eastAsia="Times New Roman" w:hAnsi="Times New Roman"/>
          <w:sz w:val="20"/>
          <w:szCs w:val="20"/>
          <w:color w:val="auto"/>
        </w:rPr>
        <w:t>continued acceptable safety profile of products following any regulatory approval.</w:t>
      </w:r>
    </w:p>
    <w:p>
      <w:pPr>
        <w:sectPr>
          <w:pgSz w:w="12960" w:h="16560" w:orient="portrait"/>
          <w:cols w:equalWidth="0" w:num="1">
            <w:col w:w="10160"/>
          </w:cols>
          <w:pgMar w:left="1360" w:top="1420" w:right="1440" w:bottom="535"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960" w:h="16560" w:orient="portrait"/>
          <w:cols w:equalWidth="0" w:num="1">
            <w:col w:w="10160"/>
          </w:cols>
          <w:pgMar w:left="1360" w:top="1420" w:right="1440" w:bottom="535" w:gutter="0" w:footer="0" w:header="0"/>
          <w:type w:val="continuous"/>
        </w:sectPr>
      </w:pPr>
    </w:p>
    <w:bookmarkStart w:id="89" w:name="page90"/>
    <w:bookmarkEnd w:id="89"/>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8"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9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238"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auto"/>
        </w:rPr>
        <w:t>Interest income consists of income earned and losses incurred in connection with our investments in money market funds, U.S. Treasury bills and U.S. government agency bonds.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Other Income, Net</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Other income, net consists of miscellaneous income and expense unrelated to our core operations.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24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years ended December 31, 2024 and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2024 and 2023</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6471920" cy="2617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6471920" cy="2617470"/>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gridSpan w:val="5"/>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17"/>
                <w:szCs w:val="17"/>
                <w:color w:val="auto"/>
              </w:rPr>
            </w:pPr>
          </w:p>
        </w:tc>
        <w:tc>
          <w:tcPr>
            <w:tcW w:w="12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03"/>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503"/>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9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83"/>
              <w:spacing w:after="0" w:line="15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Collaboration revenue</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29,969</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31,527</w:t>
            </w:r>
          </w:p>
        </w:tc>
        <w:tc>
          <w:tcPr>
            <w:tcW w:w="280" w:type="dxa"/>
            <w:vAlign w:val="bottom"/>
          </w:tcPr>
          <w:p>
            <w:pPr>
              <w:spacing w:after="0"/>
              <w:rPr>
                <w:sz w:val="19"/>
                <w:szCs w:val="19"/>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(1,558)</w:t>
            </w:r>
          </w:p>
        </w:tc>
        <w:tc>
          <w:tcPr>
            <w:tcW w:w="0" w:type="dxa"/>
            <w:vAlign w:val="bottom"/>
          </w:tcPr>
          <w:p>
            <w:pPr>
              <w:spacing w:after="0"/>
              <w:rPr>
                <w:sz w:val="1"/>
                <w:szCs w:val="1"/>
                <w:color w:val="auto"/>
              </w:rPr>
            </w:pPr>
          </w:p>
        </w:tc>
      </w:tr>
      <w:tr>
        <w:trPr>
          <w:trHeight w:val="249"/>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License revenue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12,100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940" w:type="dxa"/>
            <w:vAlign w:val="bottom"/>
          </w:tcPr>
          <w:p>
            <w:pPr>
              <w:ind w:left="200"/>
              <w:spacing w:after="0" w:line="201" w:lineRule="exact"/>
              <w:rPr>
                <w:sz w:val="20"/>
                <w:szCs w:val="20"/>
                <w:color w:val="auto"/>
              </w:rPr>
            </w:pPr>
            <w:r>
              <w:rPr>
                <w:rFonts w:ascii="Times New Roman" w:cs="Times New Roman" w:eastAsia="Times New Roman" w:hAnsi="Times New Roman"/>
                <w:sz w:val="20"/>
                <w:szCs w:val="20"/>
                <w:color w:val="auto"/>
              </w:rPr>
              <w:t>Total revenue</w:t>
            </w: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42,069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36,527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143,918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43,746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35,502</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187,664</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150,700</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9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Loss from operations</w:t>
            </w: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(145,595)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(114,173)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(31,422)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income, net</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other income,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15,501</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12,563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9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Loss before income taxes</w:t>
            </w: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(130,094)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(101,610)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(28,484)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(208)</w:t>
            </w: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(134)</w:t>
            </w:r>
          </w:p>
        </w:tc>
        <w:tc>
          <w:tcPr>
            <w:tcW w:w="3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20"/>
        </w:trPr>
        <w:tc>
          <w:tcPr>
            <w:tcW w:w="4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340" w:type="dxa"/>
            <w:vAlign w:val="bottom"/>
            <w:tcBorders>
              <w:top w:val="single" w:sz="8" w:color="auto"/>
              <w:bottom w:val="single" w:sz="8" w:color="auto"/>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(130,302)</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(101,744)</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2960" w:h="16560" w:orient="portrait"/>
          <w:cols w:equalWidth="0" w:num="1">
            <w:col w:w="10160"/>
          </w:cols>
          <w:pgMar w:left="1360" w:top="1420" w:right="1440" w:bottom="535" w:gutter="0" w:footer="0" w:header="0"/>
        </w:sect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960" w:h="16560" w:orient="portrait"/>
          <w:cols w:equalWidth="0" w:num="1">
            <w:col w:w="10160"/>
          </w:cols>
          <w:pgMar w:left="1360" w:top="1420" w:right="1440" w:bottom="535" w:gutter="0" w:footer="0" w:header="0"/>
          <w:type w:val="continuous"/>
        </w:sectPr>
      </w:pPr>
    </w:p>
    <w:bookmarkStart w:id="90" w:name="page91"/>
    <w:bookmarkEnd w:id="90"/>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Collaboration Revenue</w:t>
      </w:r>
    </w:p>
    <w:p>
      <w:pPr>
        <w:spacing w:after="0" w:line="238"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Collaboration revenue of $30.0 million and $31.5 million for the years ended December 31, 2024 and 2023, respectively, was derived from the Gilead collaboration. The decrease of $1.6 million is primarily due to lower research costs incurred under the collaboration during the year ended December 31, 2024 resulting in lower collaboration revenue recognized.</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License Revenue</w:t>
      </w:r>
    </w:p>
    <w:p>
      <w:pPr>
        <w:spacing w:after="0" w:line="238"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License revenue of $12.1 million for the year ended December 31, 2024 was primarily derived from the Gilead collaboration. The increase of $7.1 million is primarily due to Gilead licensing a program for $12.0 million during the second quarter of 2024 as compared to licensing an earlier stage program for $5.0 million during the year ended December 31, 2023.</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8"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auto"/>
        </w:rPr>
        <w:t>Research and development expense was $143.9 million for the year ended December 31, 2024 compared to $115.2 million for the year ended December 31, 2023. The increase of $28.7 million was due to a $14.4 million increase primarily relating to the advancement of TNG462 and TNG456. Additionally, the increase was also due to a $13.0 million increase in personnel-related costs due to an increase in share-based compensation expense and additional headcount.</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8"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 was $43.7 million for the year ended December 31, 2024 compared to $35.5 million for the year ended December 31, 2023. The increase of $8.2 million was primarily due to a $6.6 million increase in personnel-related costs due to an increase in share-based compensation expense and additional headcount.</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23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Interest income was $7.9 million for the year ended December 31, 2024 compared to $6.6 million for the year ended December 31, 2023. The increase of $1.3 million was primarily due to a higher average portfolio balance in 2024 compared to 2023, partially offset by declining rates throughout 2024.</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Other Income, Net</w:t>
      </w:r>
    </w:p>
    <w:p>
      <w:pPr>
        <w:spacing w:after="0" w:line="23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Other income, net was $7.6 million for the year ended December 31, 2024 compared to $5.9 million for the year ended December 31, 2023, with the increase being attributed to accretion on investments purchased at a discount.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38" w:lineRule="exact"/>
        <w:rPr>
          <w:sz w:val="20"/>
          <w:szCs w:val="20"/>
          <w:color w:val="auto"/>
        </w:rPr>
      </w:pPr>
    </w:p>
    <w:p>
      <w:pPr>
        <w:jc w:val="both"/>
        <w:ind w:right="260" w:firstLine="490"/>
        <w:spacing w:after="0" w:line="258" w:lineRule="auto"/>
        <w:rPr>
          <w:sz w:val="20"/>
          <w:szCs w:val="20"/>
          <w:color w:val="auto"/>
        </w:rPr>
      </w:pPr>
      <w:r>
        <w:rPr>
          <w:rFonts w:ascii="Times New Roman" w:cs="Times New Roman" w:eastAsia="Times New Roman" w:hAnsi="Times New Roman"/>
          <w:sz w:val="20"/>
          <w:szCs w:val="20"/>
          <w:color w:val="auto"/>
        </w:rPr>
        <w:t>Provision for income taxes was $0.2 million for the year ended December 31, 2024 compared to $0.1 million for the year ended December 31, 2023. The income tax provision amount for both periods is primarily attributable to state taxes on interest income earned on marketable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4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Since our inception, we have generated recurring net losses. We have not yet commercialized any products and we do not expect to generate revenue from sales of any products for several years, if at all.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from the Business Combination and simultaneous financing transactions, $123.0 million of gross proceeds through (i) the $80.0 million private placement of common shares and pre-funded warrants to purchase common shares in August 2023, and (ii) the $43.0 million from our "at-the-market" stock offering program, and another $237.1 million through our collaboration with Gilead. As of December 31, 2024, we had cash and cash equivalents and marketable securities of $257.9 million.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960" w:h="16560" w:orient="portrait"/>
          <w:cols w:equalWidth="0" w:num="1">
            <w:col w:w="10160"/>
          </w:cols>
          <w:pgMar w:left="1360" w:top="1440" w:right="1440" w:bottom="535" w:gutter="0" w:footer="0" w:header="0"/>
        </w:sectPr>
      </w:pPr>
    </w:p>
    <w:bookmarkStart w:id="91" w:name="page92"/>
    <w:bookmarkEnd w:id="91"/>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240"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auto"/>
        </w:rPr>
        <w:t>We expect that our existing cash, cash equivalents and marketable securities on hand as of December 31, 2024 of $257.9 million will enable us to fund our operating expenses and capital expenditure requirements at least into the third quarter of 2026. We have based this estimate on assumptions that may prove to be wrong, and we could expend our capital resources sooner than we expect.</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2024 and 2023</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cash flows for each of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471920" cy="979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6471920" cy="97917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7"/>
                <w:szCs w:val="17"/>
                <w:color w:val="auto"/>
              </w:rPr>
            </w:pPr>
          </w:p>
        </w:tc>
        <w:tc>
          <w:tcPr>
            <w:tcW w:w="980" w:type="dxa"/>
            <w:vAlign w:val="bottom"/>
            <w:vMerge w:val="restart"/>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9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9"/>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4"/>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89"/>
              <w:spacing w:after="0" w:line="155" w:lineRule="exact"/>
              <w:rPr>
                <w:sz w:val="20"/>
                <w:szCs w:val="20"/>
                <w:color w:val="auto"/>
              </w:rPr>
            </w:pPr>
            <w:r>
              <w:rPr>
                <w:rFonts w:ascii="Times New Roman" w:cs="Times New Roman" w:eastAsia="Times New Roman" w:hAnsi="Times New Roman"/>
                <w:sz w:val="16"/>
                <w:szCs w:val="16"/>
                <w:b w:val="1"/>
                <w:bCs w:val="1"/>
                <w:color w:val="auto"/>
              </w:rPr>
              <w:t>(in</w:t>
            </w:r>
          </w:p>
        </w:tc>
        <w:tc>
          <w:tcPr>
            <w:tcW w:w="6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82"/>
              </w:rPr>
              <w:t>thousands)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(131,501)</w:t>
            </w:r>
          </w:p>
        </w:tc>
        <w:tc>
          <w:tcPr>
            <w:tcW w:w="40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(117,982)</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(13,519)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86,126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47,664</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82,406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(34,742)</w:t>
            </w:r>
          </w:p>
        </w:tc>
        <w:tc>
          <w:tcPr>
            <w:tcW w:w="0" w:type="dxa"/>
            <w:vAlign w:val="bottom"/>
          </w:tcPr>
          <w:p>
            <w:pPr>
              <w:spacing w:after="0"/>
              <w:rPr>
                <w:sz w:val="1"/>
                <w:szCs w:val="1"/>
                <w:color w:val="auto"/>
              </w:rPr>
            </w:pPr>
          </w:p>
        </w:tc>
      </w:tr>
      <w:tr>
        <w:trPr>
          <w:trHeight w:val="220"/>
        </w:trPr>
        <w:tc>
          <w:tcPr>
            <w:tcW w:w="59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260" w:type="dxa"/>
            <w:vAlign w:val="bottom"/>
            <w:tcBorders>
              <w:top w:val="single" w:sz="8" w:color="auto"/>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2,289</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ind w:right="20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5,850</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Net cash used in operating activities was $131.5 million for the year ended December 31, 2024 compared to net cash used in operating activities of $118.0 million for the year ended December 31, 2023. The increase in net cash used in operating activities for the twelve months ended December 31, 2024 was primarily due to an increase to the net loss as a result of higher operating expenses related to the advancement of our programs and personnel-related costs. The increase was partially offset by changes in operating assets and liabilities and higher non-cash expenses, including stock-based compensation.</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Net cash provided by investing activities was $86.1 million for the year ended December 31, 2024 compared to net cash provided by investing activities of $41.4 million for the year ended December 31, 2023. The change was primarily due to a decrease in purchases of marketable securities as compared to the year ended December 31, 2023, which was partially offset by a decrease in sales and maturities of marketable securities as compared to the year ended December 31, 2023.</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Net cash provided by financing activities was $47.7 million for the year ended December 31, 2024 compared to net cash provided by financing activities of $82.4 million for the year ended December 31, 2023. The cash provided by financing activities for the twelve months ended December 31, 2024 consisted of the $41.7 million in net proceeds received from our "at-the-market" stock offering program in January 2024, as well as the cash provided from the exercises of stock options and ESPP purchases. The cash provided by financing activities for the twelve months ended December 31, 2023 consisted of the net proceeds received from our private placement financing transaction in August 2023 of $79.8 million, as well as the cash provided from the exercises of stock options and ESPP purchases.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4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summarizes our contractual obligations at December 31, 2024 and the effects that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6471920" cy="80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6471920" cy="80391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w w:val="99"/>
              </w:rPr>
              <w:t>Payments Due by Period</w:t>
            </w: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55"/>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2"/>
              <w:spacing w:after="0" w:line="155" w:lineRule="exact"/>
              <w:rPr>
                <w:sz w:val="20"/>
                <w:szCs w:val="20"/>
                <w:color w:val="auto"/>
              </w:rPr>
            </w:pPr>
            <w:r>
              <w:rPr>
                <w:rFonts w:ascii="Times New Roman" w:cs="Times New Roman" w:eastAsia="Times New Roman" w:hAnsi="Times New Roman"/>
                <w:sz w:val="16"/>
                <w:szCs w:val="16"/>
                <w:b w:val="1"/>
                <w:bCs w:val="1"/>
                <w:color w:val="auto"/>
                <w:w w:val="97"/>
              </w:rPr>
              <w:t>Less than</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0"/>
              <w:spacing w:after="0" w:line="155" w:lineRule="exact"/>
              <w:rPr>
                <w:sz w:val="20"/>
                <w:szCs w:val="20"/>
                <w:color w:val="auto"/>
              </w:rPr>
            </w:pPr>
            <w:r>
              <w:rPr>
                <w:rFonts w:ascii="Times New Roman" w:cs="Times New Roman" w:eastAsia="Times New Roman" w:hAnsi="Times New Roman"/>
                <w:sz w:val="16"/>
                <w:szCs w:val="16"/>
                <w:b w:val="1"/>
                <w:bCs w:val="1"/>
                <w:color w:val="auto"/>
                <w:w w:val="96"/>
              </w:rPr>
              <w:t>More than</w:t>
            </w:r>
          </w:p>
        </w:tc>
      </w:t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0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1 – 3 Years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154"/>
        </w:trPr>
        <w:tc>
          <w:tcPr>
            <w:tcW w:w="46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2"/>
              </w:rPr>
              <w:t>(in thousands)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4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50,100</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5,265</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11,725</w:t>
            </w:r>
          </w:p>
        </w:tc>
        <w:tc>
          <w:tcPr>
            <w:tcW w:w="220" w:type="dxa"/>
            <w:vAlign w:val="bottom"/>
          </w:tcPr>
          <w:p>
            <w:pPr>
              <w:spacing w:after="0"/>
              <w:rPr>
                <w:sz w:val="21"/>
                <w:szCs w:val="21"/>
                <w:color w:val="auto"/>
              </w:rPr>
            </w:pPr>
          </w:p>
        </w:tc>
        <w:tc>
          <w:tcPr>
            <w:tcW w:w="260" w:type="dxa"/>
            <w:vAlign w:val="bottom"/>
          </w:tcPr>
          <w:p>
            <w:pPr>
              <w:jc w:val="right"/>
              <w:ind w:right="67"/>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20,670</w:t>
            </w:r>
          </w:p>
        </w:tc>
      </w:tr>
      <w:tr>
        <w:trPr>
          <w:trHeight w:val="220"/>
        </w:trPr>
        <w:tc>
          <w:tcPr>
            <w:tcW w:w="46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50,100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5,265</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11,725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12,440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20,670</w:t>
            </w:r>
          </w:p>
        </w:tc>
      </w:tr>
    </w:tbl>
    <w:p>
      <w:pPr>
        <w:spacing w:after="0" w:line="200" w:lineRule="exact"/>
        <w:rPr>
          <w:sz w:val="20"/>
          <w:szCs w:val="20"/>
          <w:color w:val="auto"/>
        </w:rPr>
      </w:pPr>
    </w:p>
    <w:p>
      <w:pPr>
        <w:sectPr>
          <w:pgSz w:w="12960" w:h="16560" w:orient="portrait"/>
          <w:cols w:equalWidth="0" w:num="1">
            <w:col w:w="10160"/>
          </w:cols>
          <w:pgMar w:left="1360" w:top="1420" w:right="1440" w:bottom="535"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960" w:h="16560" w:orient="portrait"/>
          <w:cols w:equalWidth="0" w:num="1">
            <w:col w:w="10160"/>
          </w:cols>
          <w:pgMar w:left="1360" w:top="1420" w:right="1440" w:bottom="535" w:gutter="0" w:footer="0" w:header="0"/>
          <w:type w:val="continuous"/>
        </w:sectPr>
      </w:pPr>
    </w:p>
    <w:bookmarkStart w:id="92" w:name="page93"/>
    <w:bookmarkEnd w:id="92"/>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December 31, 2024. Refer to Note 7 to our audited consolidated financial statements and related notes included in this Annual Report on Form 10-K for additional discussion of the lease.</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Purchase Obligations</w:t>
      </w:r>
    </w:p>
    <w:p>
      <w:pPr>
        <w:spacing w:after="0" w:line="23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December 31, 2024.</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License Agreement Obligations</w:t>
      </w:r>
    </w:p>
    <w:p>
      <w:pPr>
        <w:spacing w:after="0" w:line="238"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December 31, 2024 and December 31, 2023, we were unable to estimate the timing or likelihood of achieving these milestones or generating future product sales. Refer to Note 8 of our audited consolidated financial statements and related notes for the year ended December 31, 2024 included in this Annual Report on Form 10-K for a description of our license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4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202"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Note 2 to our audited consolidated financial statements and related notes included in this Annual Report on Form 10-K for the year ended December 31, 2024, we believe that the following accounting policies are those most critical to the judgments and estimates used in the preparation of our financial statements.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4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 xml:space="preserve">We recognize revenue under ASC Topic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w:t>
      </w:r>
    </w:p>
    <w:p>
      <w:pPr>
        <w:sectPr>
          <w:pgSz w:w="12960" w:h="16560" w:orient="portrait"/>
          <w:cols w:equalWidth="0" w:num="1">
            <w:col w:w="10160"/>
          </w:cols>
          <w:pgMar w:left="1360" w:top="1420" w:right="1440" w:bottom="535"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960" w:h="16560" w:orient="portrait"/>
          <w:cols w:equalWidth="0" w:num="1">
            <w:col w:w="10160"/>
          </w:cols>
          <w:pgMar w:left="1360" w:top="1420" w:right="1440" w:bottom="535" w:gutter="0" w:footer="0" w:header="0"/>
          <w:type w:val="continuous"/>
        </w:sectPr>
      </w:pPr>
    </w:p>
    <w:bookmarkStart w:id="93" w:name="page94"/>
    <w:bookmarkEnd w:id="93"/>
    <w:p>
      <w:pPr>
        <w:ind w:right="100"/>
        <w:spacing w:after="0" w:line="249" w:lineRule="auto"/>
        <w:rPr>
          <w:sz w:val="20"/>
          <w:szCs w:val="20"/>
          <w:color w:val="auto"/>
        </w:rPr>
      </w:pPr>
      <w:r>
        <w:rPr>
          <w:rFonts w:ascii="Times New Roman" w:cs="Times New Roman" w:eastAsia="Times New Roman" w:hAnsi="Times New Roman"/>
          <w:sz w:val="20"/>
          <w:szCs w:val="20"/>
          <w:color w:val="auto"/>
        </w:rPr>
        <w:t>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20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203"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20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9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97"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9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w:t>
      </w:r>
    </w:p>
    <w:p>
      <w:pPr>
        <w:sectPr>
          <w:pgSz w:w="12960" w:h="16560" w:orient="portrait"/>
          <w:cols w:equalWidth="0" w:num="1">
            <w:col w:w="10160"/>
          </w:cols>
          <w:pgMar w:left="1360" w:top="1420" w:right="1440" w:bottom="535"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960" w:h="16560" w:orient="portrait"/>
          <w:cols w:equalWidth="0" w:num="1">
            <w:col w:w="10160"/>
          </w:cols>
          <w:pgMar w:left="1360" w:top="1420" w:right="1440" w:bottom="535" w:gutter="0" w:footer="0" w:header="0"/>
          <w:type w:val="continuous"/>
        </w:sectPr>
      </w:pPr>
    </w:p>
    <w:bookmarkStart w:id="94" w:name="page95"/>
    <w:bookmarkEnd w:id="94"/>
    <w:p>
      <w:pPr>
        <w:ind w:right="240"/>
        <w:spacing w:after="0" w:line="249" w:lineRule="auto"/>
        <w:rPr>
          <w:sz w:val="20"/>
          <w:szCs w:val="20"/>
          <w:color w:val="auto"/>
        </w:rPr>
      </w:pPr>
      <w:r>
        <w:rPr>
          <w:rFonts w:ascii="Times New Roman" w:cs="Times New Roman" w:eastAsia="Times New Roman" w:hAnsi="Times New Roman"/>
          <w:sz w:val="20"/>
          <w:szCs w:val="20"/>
          <w:color w:val="auto"/>
        </w:rPr>
        <w:t>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24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20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24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A description of recently issued and adopted accounting pronouncements that may potentially impact our financial position, results of operations or cash flows is disclosed in Note 2 to our audited consolidated financial statements and related notes in this Annual Report on Form 10-K for the year ended December 31, 2024.</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Interest Rate Risk</w:t>
      </w:r>
    </w:p>
    <w:p>
      <w:pPr>
        <w:spacing w:after="0" w:line="23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We had cash, cash equivalents and marketable securities of $257.9 million and $336.9 million as of December 31, 2024 and December 31, 2023,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Foreign Currency Exchange Risk</w:t>
      </w:r>
    </w:p>
    <w:p>
      <w:pPr>
        <w:spacing w:after="0" w:line="23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960" w:h="16560" w:orient="portrait"/>
          <w:cols w:equalWidth="0" w:num="1">
            <w:col w:w="10160"/>
          </w:cols>
          <w:pgMar w:left="1360" w:top="1420" w:right="1440" w:bottom="535" w:gutter="0" w:footer="0" w:header="0"/>
          <w:type w:val="continuous"/>
        </w:sectPr>
      </w:pPr>
    </w:p>
    <w:bookmarkStart w:id="95" w:name="page96"/>
    <w:bookmarkEnd w:id="95"/>
    <w:p>
      <w:pPr>
        <w:ind w:left="500"/>
        <w:spacing w:after="0"/>
        <w:rPr>
          <w:sz w:val="20"/>
          <w:szCs w:val="20"/>
          <w:color w:val="auto"/>
        </w:rPr>
      </w:pPr>
      <w:r>
        <w:rPr>
          <w:rFonts w:ascii="Times New Roman" w:cs="Times New Roman" w:eastAsia="Times New Roman" w:hAnsi="Times New Roman"/>
          <w:sz w:val="20"/>
          <w:szCs w:val="20"/>
          <w:i w:val="1"/>
          <w:iCs w:val="1"/>
          <w:color w:val="auto"/>
        </w:rPr>
        <w:t>Effects of Inflation</w:t>
      </w:r>
    </w:p>
    <w:p>
      <w:pPr>
        <w:spacing w:after="0" w:line="23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We have not seen a significant impact from inflation on our business, financial condition or results of operations during the twelve months ended December 31, 2024. However, if inflation were to increase, or remain at an elevated level for an extended period of time, our costs are likely to increase, which may negatively impact our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4"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auto"/>
        </w:rPr>
        <w:t>Our consolidated financial statements, together with the report of the independent registered public accounting firm, are appended to this Annual Report on Form 10-K and an index of those consolidated financial statements can be found beginning on page F-1.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4"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There were no changes in the Company’s internal control over financial reporting identified in connection with the evaluation required by paragraph (d) of Rules 13a-15 and 15d-15(d) under the Exchange Act that occurred during the quarter ended December 31, 2024 that materially affected, or were reasonably likely to materially affect, the Company’s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 xml:space="preserve">Management is responsible for establishing and maintaining adequate internal control over financial reporting, as such term is defined in Rules 13a-15(f) and 1t5d-15(f) under the Exchange Act. Our management, including our Chief Executive Officer and Chief Financial Officer, conducted an assessment of the effectiveness of the Company's internal control over financial reporting based on the criteria set forth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(2013) issued by the Committee of Sponsoring Organization of the Treadway Commission. Based on this assessment, management concluded that, as of December 31, 2024, our internal control over financial reporting was effective.</w:t>
      </w:r>
    </w:p>
    <w:p>
      <w:pPr>
        <w:sectPr>
          <w:pgSz w:w="12960" w:h="16560" w:orient="portrait"/>
          <w:cols w:equalWidth="0" w:num="1">
            <w:col w:w="10160"/>
          </w:cols>
          <w:pgMar w:left="1360" w:top="1422"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960" w:h="16560" w:orient="portrait"/>
          <w:cols w:equalWidth="0" w:num="1">
            <w:col w:w="10160"/>
          </w:cols>
          <w:pgMar w:left="1360" w:top="1422" w:right="1440" w:bottom="535" w:gutter="0" w:footer="0" w:header="0"/>
          <w:type w:val="continuous"/>
        </w:sectPr>
      </w:pPr>
    </w:p>
    <w:bookmarkStart w:id="96" w:name="page97"/>
    <w:bookmarkEnd w:id="96"/>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31, 2024 has been audited by PricewaterhouseCoopers LLP, an independent registered public accounting firm, as stated in their report which appears beginning on page F-2 of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Insider Adoption or Termination of Trading Arrangements</w:t>
      </w:r>
    </w:p>
    <w:p>
      <w:pPr>
        <w:spacing w:after="0" w:line="238"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During the fiscal quarter ended December 31, 2024, none of our directors or officers informed us of the adoption or termination of a “Rule 10b5-1 trading arrangement” or “non-Rule 10b5-1 trading arrangement,” as those terms are defined in Item 408 under Regulation 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960" w:h="16560" w:orient="portrait"/>
          <w:cols w:equalWidth="0" w:num="1">
            <w:col w:w="10160"/>
          </w:cols>
          <w:pgMar w:left="136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960" w:h="16560" w:orient="portrait"/>
          <w:cols w:equalWidth="0" w:num="1">
            <w:col w:w="10160"/>
          </w:cols>
          <w:pgMar w:left="1360" w:top="1420" w:right="1440" w:bottom="535" w:gutter="0" w:footer="0" w:header="0"/>
          <w:type w:val="continuous"/>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Except as set forth below, the information required by this Item 10 will be included in our definitive proxy statement to be filed with the Securities and Exchange Commission, or SEC, within 120 days after the end of the fiscal year ended December 31, 2024, with respect to our 2025 Annual Meeting of Stockholders and is incorporated herein by reference.</w:t>
      </w:r>
    </w:p>
    <w:p>
      <w:pPr>
        <w:spacing w:after="0" w:line="18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have adopted a Code of Conduct that applies to all of our directors, officers and employees, including our principal executive officer and principal financial officer. The Code of Conduct is posted on our website at https://ir.tangotx.com/corporate-governance/governance-overview. We intend to satisfy the disclosure requirement under Item 5.05 of Form 8-K regarding an amendment to, or waiver from, a provision of this Code of Conduct by posting such information on our website, at the address and location specified above and, to the extent required by the listing standards of The Nasdaq Global Stock Market, by filing a Current Report on Form 8-K with the SEC, disclosing such information.</w:t>
      </w:r>
    </w:p>
    <w:p>
      <w:pPr>
        <w:spacing w:after="0" w:line="20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Information concerning our policies and procedures governing the purchase and sale or other disposition of Company securities by directors, officers and employees, as required by this Item, is set forth under the caption “Policy on Trading, Pledging and Hedging of Company Stock” in the definitive proxy materials that we will file with respect to our 2025 Annual Meeting of Shareholders and is incorporated herein by reference. Our Insider Trading Policy is filed as Exhibit 19 to this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11 will be included in our definitive proxy statement to be filed with the SEC, within 120 days after the end of the fiscal year ended December 31, 2024, with respect to our 2025 Annual Meeting of Stockholders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4"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12 will be included in our definitive proxy statement to be filed with the SEC, within 120 days after the end of the fiscal year ended December 31, 2024, with respect to our 2025 Annual Meeting of Stockholders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4"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13 will be included in our definitive proxy statement to be filed with the SEC, within 120 days after the end of the fiscal year ended December 31, 2024, with respect to our 2025 Annual Meeting of Stockholders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independent public accounting firm is PricewaterhouseCoopers LLP, Boston, Massachusetts, PCAOB Auditor 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238.</w:t>
      </w:r>
    </w:p>
    <w:p>
      <w:pPr>
        <w:spacing w:after="0" w:line="212"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14 will be included in our definitive proxy statement to be filed with the SEC, within 120 days after the end of the fiscal year ended December 31, 2024, with respect to our 2025 Annual Meeting of Stockholders and is incorporated herein by reference.</w:t>
      </w:r>
    </w:p>
    <w:p>
      <w:pPr>
        <w:sectPr>
          <w:pgSz w:w="12960" w:h="16560" w:orient="portrait"/>
          <w:cols w:equalWidth="0" w:num="1">
            <w:col w:w="10160"/>
          </w:cols>
          <w:pgMar w:left="1360" w:top="141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960" w:h="16560" w:orient="portrait"/>
          <w:cols w:equalWidth="0" w:num="1">
            <w:col w:w="10160"/>
          </w:cols>
          <w:pgMar w:left="1360" w:top="1416" w:right="1440" w:bottom="535"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Financial Statements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See the Index to the Consolidated Financial Statements section beginning on page F-1 of this Annual Report on 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40"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All financial statement schedules have been omitted as they are not required, not applicable, or the required information is included in the financial statements or notes to the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Exhibits</w:t>
      </w:r>
    </w:p>
    <w:p>
      <w:pPr>
        <w:spacing w:after="0" w:line="24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The exhibits required by Item 601 of Regulation S-K and Item 15(b) of this Annual Report on Form 10-K are listed in the Exhibit Index below.</w:t>
      </w:r>
    </w:p>
    <w:p>
      <w:pPr>
        <w:sectPr>
          <w:pgSz w:w="12960" w:h="16560" w:orient="portrait"/>
          <w:cols w:equalWidth="0" w:num="1">
            <w:col w:w="10160"/>
          </w:cols>
          <w:pgMar w:left="1360" w:top="141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960" w:h="16560" w:orient="portrait"/>
          <w:cols w:equalWidth="0" w:num="1">
            <w:col w:w="10160"/>
          </w:cols>
          <w:pgMar w:left="1360" w:top="1416" w:right="1440" w:bottom="535"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74"/>
        </w:trPr>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20" w:type="dxa"/>
            <w:vAlign w:val="bottom"/>
          </w:tcPr>
          <w:p>
            <w:pPr>
              <w:ind w:left="316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35"/>
        </w:trPr>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20" w:type="dxa"/>
            <w:vAlign w:val="bottom"/>
          </w:tcPr>
          <w:p>
            <w:pPr>
              <w:spacing w:after="0"/>
              <w:rPr>
                <w:sz w:val="24"/>
                <w:szCs w:val="24"/>
                <w:color w:val="auto"/>
              </w:rPr>
            </w:pPr>
          </w:p>
        </w:tc>
        <w:tc>
          <w:tcPr>
            <w:tcW w:w="8820" w:type="dxa"/>
            <w:vAlign w:val="bottom"/>
          </w:tcPr>
          <w:p>
            <w:pPr>
              <w:spacing w:after="0"/>
              <w:rPr>
                <w:sz w:val="24"/>
                <w:szCs w:val="24"/>
                <w:color w:val="auto"/>
              </w:rPr>
            </w:pPr>
          </w:p>
        </w:tc>
      </w:tr>
      <w:tr>
        <w:trPr>
          <w:trHeight w:val="203"/>
        </w:trPr>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Borders>
              <w:bottom w:val="single" w:sz="8" w:color="FEFEFE"/>
            </w:tcBorders>
          </w:tcPr>
          <w:p>
            <w:pPr>
              <w:spacing w:after="0"/>
              <w:rPr>
                <w:sz w:val="17"/>
                <w:szCs w:val="17"/>
                <w:color w:val="auto"/>
              </w:rPr>
            </w:pPr>
          </w:p>
        </w:tc>
        <w:tc>
          <w:tcPr>
            <w:tcW w:w="882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5"/>
        </w:trPr>
        <w:tc>
          <w:tcPr>
            <w:tcW w:w="11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spacing w:after="0"/>
              <w:rPr>
                <w:sz w:val="17"/>
                <w:szCs w:val="17"/>
                <w:color w:val="auto"/>
              </w:rPr>
            </w:pPr>
          </w:p>
        </w:tc>
        <w:tc>
          <w:tcPr>
            <w:tcW w:w="88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Second Amended and Restated Certificate of Incorporation of Tango Therapeutics, Inc. (incorporated by</w:t>
            </w:r>
          </w:p>
        </w:tc>
      </w:tr>
      <w:tr>
        <w:trPr>
          <w:trHeight w:val="230"/>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3.1 to the Registrant’s Quarterly Report on Form 10-Q filed with the SEC on August 7,</w:t>
            </w:r>
          </w:p>
        </w:tc>
      </w:tr>
      <w:tr>
        <w:trPr>
          <w:trHeight w:val="245"/>
        </w:trPr>
        <w:tc>
          <w:tcPr>
            <w:tcW w:w="1120" w:type="dxa"/>
            <w:vAlign w:val="bottom"/>
          </w:tcPr>
          <w:p>
            <w:pPr>
              <w:spacing w:after="0"/>
              <w:rPr>
                <w:sz w:val="21"/>
                <w:szCs w:val="21"/>
                <w:color w:val="auto"/>
              </w:rPr>
            </w:pPr>
          </w:p>
        </w:tc>
        <w:tc>
          <w:tcPr>
            <w:tcW w:w="9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2024).</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Tango Therapeutics, Inc. (incorporated by reference to Exhibit 4.2 to the</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registration statement on Form S-8 filed with the SEC on October 14,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Specimen Common Stock Certificate of the Registrant (incorporated by reference to Exhibit 4.5 to the</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S-4/A filed by the Registrant on July 15,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 (incorporated by reference to Exhibit 4.2 to the Annual Report on Form 10-K filed</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by the Registrant on March 27, 2023).</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Tango Therapeutics, Inc. Form of Pre-Funded Warrant to Purchase Common Stock (incorporated by</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4.1 to the Current Report on Form 8-K filed by the Registrant on August 10, 2023).</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Registration and Stockholder Rights Agreement, dated August 10, 2021, by and</w:t>
            </w:r>
          </w:p>
        </w:tc>
      </w:tr>
      <w:tr>
        <w:trPr>
          <w:trHeight w:val="230"/>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among Tango Therapeutics, Inc. and the stockholders party thereto (incorporated by reference to Exhibit 10.2</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to the Current Report on Form 8-K filed by the Registrant on August 13,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Tango Therapeutics, Inc. 2021 Stock Option and Incentive Plan (incorporated by reference to Exhibit 10.4 to</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the Current Report on Form 8-K filed by the Registrant on August 13,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Tango Therapeutics, Inc. 2017 Stock Option and Grant Plan, as amended, and forms of award agreements</w:t>
            </w:r>
          </w:p>
        </w:tc>
      </w:tr>
      <w:tr>
        <w:trPr>
          <w:trHeight w:val="230"/>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thereunder (incorporated by reference to Exhibit 99.4 to Form S-8 filed by the Registrant on October 14,</w:t>
            </w:r>
          </w:p>
        </w:tc>
      </w:tr>
      <w:tr>
        <w:trPr>
          <w:trHeight w:val="245"/>
        </w:trPr>
        <w:tc>
          <w:tcPr>
            <w:tcW w:w="1120" w:type="dxa"/>
            <w:vAlign w:val="bottom"/>
          </w:tcPr>
          <w:p>
            <w:pPr>
              <w:spacing w:after="0"/>
              <w:rPr>
                <w:sz w:val="21"/>
                <w:szCs w:val="21"/>
                <w:color w:val="auto"/>
              </w:rPr>
            </w:pPr>
          </w:p>
        </w:tc>
        <w:tc>
          <w:tcPr>
            <w:tcW w:w="9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Forms of Award Agreements under the Tango Therapeutics, Inc. 2021 Stock Option and Incentive Plan</w:t>
            </w:r>
          </w:p>
        </w:tc>
      </w:tr>
      <w:tr>
        <w:trPr>
          <w:trHeight w:val="230"/>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10.5 to the Current Report on Form 8-K filed by the Registrant on</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August 13,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Tango Therapeutics, Inc. 2021 Employee Stock Purchase Plan (incorporated by reference to Exhibit 10.6 to</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the Current Report on Form 8-K filed by the Registrant on August 13,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10.6</w:t>
            </w:r>
            <w:r>
              <w:rPr>
                <w:rFonts w:ascii="Times New Roman" w:cs="Times New Roman" w:eastAsia="Times New Roman" w:hAnsi="Times New Roman"/>
                <w:sz w:val="19"/>
                <w:szCs w:val="19"/>
                <w:color w:val="auto"/>
              </w:rPr>
              <w:t>†</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Research Collaboration and License Agreement between Tango Therapeutics, Inc.</w:t>
            </w:r>
          </w:p>
        </w:tc>
      </w:tr>
      <w:tr>
        <w:trPr>
          <w:trHeight w:val="230"/>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and Gilead Sciences, Inc., dated August 17, 2020 (incorporated by reference to Exhibit 10.19 to the</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S-4/A filed by the Registrant on June 17,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Form of Executive Employment Agreement (incorporated by reference to Exhibit 10.7 to the Current Report</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on Form 8-K filed by the Registrant on August 13,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(Directors) (incorporated by reference to Exhibit 10.9 to the Current</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8-K filed by the Registrant on August 13,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(Officers) (incorporated by reference to Exhibit 10.10 to the Current</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8-K filed by the Registrant on August 13,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Senior Executive Cash Annual Incentive Plan (incorporated by reference to Exhibit 10.11 to the Current</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8-K filed by the Registrant on August 13, 2021).</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10.12</w:t>
            </w:r>
            <w:r>
              <w:rPr>
                <w:rFonts w:ascii="Times New Roman" w:cs="Times New Roman" w:eastAsia="Times New Roman" w:hAnsi="Times New Roman"/>
                <w:sz w:val="19"/>
                <w:szCs w:val="19"/>
                <w:color w:val="auto"/>
              </w:rPr>
              <w:t>+</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Lease Agreement between the Company and ARE-MA Region No. 87 Tenant, LLC dated as of November 4,</w:t>
            </w:r>
          </w:p>
        </w:tc>
      </w:tr>
      <w:tr>
        <w:trPr>
          <w:trHeight w:val="230"/>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2021 (incorporated by reference to Exhibit 10.14 to the Annual Report on Form 10-K filed by the Registrant</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on March 28, 2022).</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Tango Therapeutics, Inc. 2023 Inducement Plan and forms of award agreements thereunder (incorporated by</w:t>
            </w:r>
          </w:p>
        </w:tc>
      </w:tr>
      <w:tr>
        <w:trPr>
          <w:trHeight w:val="230"/>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99.1 to the Registration Statement on Form S-8 filed by the Registrant on February 7,</w:t>
            </w:r>
          </w:p>
        </w:tc>
      </w:tr>
      <w:tr>
        <w:trPr>
          <w:trHeight w:val="245"/>
        </w:trPr>
        <w:tc>
          <w:tcPr>
            <w:tcW w:w="1120" w:type="dxa"/>
            <w:vAlign w:val="bottom"/>
          </w:tcPr>
          <w:p>
            <w:pPr>
              <w:spacing w:after="0"/>
              <w:rPr>
                <w:sz w:val="21"/>
                <w:szCs w:val="21"/>
                <w:color w:val="auto"/>
              </w:rPr>
            </w:pPr>
          </w:p>
        </w:tc>
        <w:tc>
          <w:tcPr>
            <w:tcW w:w="9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2023).</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Non-Employee Director Compensation Policy (incorporated by reference to Exhibit</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10.1 to the Quarterly Report on Form 10-Q filed by the Registrant on August 7, 2024).</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Securities Purchase Agreement between Tango Therapeutics, Inc. and the parties thereto (incorporated by</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10.1 to the Current Report on Form 8-K filed by the Registrant on August 10, 2023).</w:t>
            </w: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Insider Trading Policy of Tango Therapeutics, Inc.</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List of subsidiaries of Tango Therapeutics, Inc. (incorporated by reference to Exhibit 21.1 to the Annual</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10-K filed by the Registrant on March 18, 2024)</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Consent of PricewaterhouseCoopers LLP, independent registered public accounting firm of Tango</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under the Securities</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2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under the Securities</w:t>
            </w:r>
          </w:p>
        </w:tc>
      </w:tr>
      <w:tr>
        <w:trPr>
          <w:trHeight w:val="266"/>
        </w:trPr>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-8380730</wp:posOffset>
            </wp:positionV>
            <wp:extent cx="6471920" cy="8383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6471920" cy="8383270"/>
                    </a:xfrm>
                    <a:prstGeom prst="rect">
                      <a:avLst/>
                    </a:prstGeom>
                    <a:noFill/>
                  </pic:spPr>
                </pic:pic>
              </a:graphicData>
            </a:graphic>
          </wp:anchor>
        </w:drawing>
      </w:r>
    </w:p>
    <w:p>
      <w:pPr>
        <w:sectPr>
          <w:pgSz w:w="12960" w:h="16560" w:orient="portrait"/>
          <w:cols w:equalWidth="0" w:num="1">
            <w:col w:w="10160"/>
          </w:cols>
          <w:pgMar w:left="1360" w:top="1416" w:right="1440" w:bottom="535"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960" w:h="16560" w:orient="portrait"/>
          <w:cols w:equalWidth="0" w:num="1">
            <w:col w:w="10160"/>
          </w:cols>
          <w:pgMar w:left="1360" w:top="1416" w:right="1440" w:bottom="535"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 Section 1350, as Adopted Pursuant to</w:t>
            </w:r>
          </w:p>
        </w:tc>
      </w:tr>
      <w:tr>
        <w:trPr>
          <w:trHeight w:val="245"/>
        </w:trPr>
        <w:tc>
          <w:tcPr>
            <w:tcW w:w="1040" w:type="dxa"/>
            <w:vAlign w:val="bottom"/>
          </w:tcPr>
          <w:p>
            <w:pPr>
              <w:spacing w:after="0"/>
              <w:rPr>
                <w:sz w:val="21"/>
                <w:szCs w:val="21"/>
                <w:color w:val="auto"/>
              </w:rPr>
            </w:pP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w:t>
            </w:r>
          </w:p>
        </w:tc>
      </w:tr>
      <w:tr>
        <w:trPr>
          <w:trHeight w:val="245"/>
        </w:trPr>
        <w:tc>
          <w:tcPr>
            <w:tcW w:w="1040" w:type="dxa"/>
            <w:vAlign w:val="bottom"/>
          </w:tcPr>
          <w:p>
            <w:pPr>
              <w:spacing w:after="0"/>
              <w:rPr>
                <w:sz w:val="21"/>
                <w:szCs w:val="21"/>
                <w:color w:val="auto"/>
              </w:rPr>
            </w:pP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Tango Therapeutics, Inc. Compensation Recovery Policy (incorporated by reference to Exhibit 97.1 to the</w:t>
            </w:r>
          </w:p>
        </w:tc>
      </w:tr>
      <w:tr>
        <w:trPr>
          <w:trHeight w:val="245"/>
        </w:trPr>
        <w:tc>
          <w:tcPr>
            <w:tcW w:w="1040" w:type="dxa"/>
            <w:vAlign w:val="bottom"/>
          </w:tcPr>
          <w:p>
            <w:pPr>
              <w:spacing w:after="0"/>
              <w:rPr>
                <w:sz w:val="21"/>
                <w:szCs w:val="21"/>
                <w:color w:val="auto"/>
              </w:rPr>
            </w:pP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Annual Report on Form 10-K filed by the Registrant on March 18, 2024).</w:t>
            </w: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w:t>
            </w:r>
          </w:p>
        </w:tc>
      </w:tr>
      <w:tr>
        <w:trPr>
          <w:trHeight w:val="245"/>
        </w:trPr>
        <w:tc>
          <w:tcPr>
            <w:tcW w:w="1040" w:type="dxa"/>
            <w:vAlign w:val="bottom"/>
          </w:tcPr>
          <w:p>
            <w:pPr>
              <w:spacing w:after="0"/>
              <w:rPr>
                <w:sz w:val="21"/>
                <w:szCs w:val="21"/>
                <w:color w:val="auto"/>
              </w:rPr>
            </w:pP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because XBRL tags are embedded within the Inline XBRL document.</w:t>
            </w: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855980</wp:posOffset>
            </wp:positionH>
            <wp:positionV relativeFrom="page">
              <wp:posOffset>901700</wp:posOffset>
            </wp:positionV>
            <wp:extent cx="6471920" cy="2165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6471920" cy="21653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-12700</wp:posOffset>
                </wp:positionH>
                <wp:positionV relativeFrom="paragraph">
                  <wp:posOffset>92710</wp:posOffset>
                </wp:positionV>
                <wp:extent cx="99631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3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7.3pt" to="77.45pt,7.3pt" o:allowincell="f" strokecolor="#000000" strokeweight="0.5pt"/>
            </w:pict>
          </mc:Fallback>
        </mc:AlternateContent>
      </w:r>
    </w:p>
    <w:p>
      <w:pPr>
        <w:spacing w:after="0" w:line="171"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Filed herewith.</w:t>
      </w:r>
    </w:p>
    <w:p>
      <w:pPr>
        <w:spacing w:after="0" w:line="60"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Portions of this exhibit (indicated by asterisks) have been omitted in accordance with Item 601(b)(10) of Regulation S-K.</w:t>
      </w:r>
    </w:p>
    <w:p>
      <w:pPr>
        <w:spacing w:after="0" w:line="278"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Indicates a management contract or any compensatory plan, contract or arrangement.</w:t>
      </w:r>
    </w:p>
    <w:p>
      <w:pPr>
        <w:spacing w:after="0" w:line="60" w:lineRule="exact"/>
        <w:rPr>
          <w:sz w:val="20"/>
          <w:szCs w:val="20"/>
          <w:color w:val="auto"/>
        </w:rPr>
      </w:pPr>
    </w:p>
    <w:p>
      <w:pPr>
        <w:ind w:left="500" w:right="160" w:hanging="492"/>
        <w:spacing w:after="0" w:line="280" w:lineRule="auto"/>
        <w:tabs>
          <w:tab w:leader="none" w:pos="5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Portions of this exhibit (indicated by brackets and asterisks) have been omitted because the registrant has determined that the information is both not material and is the type that the registrant treats as private or confidential.</w:t>
      </w:r>
    </w:p>
    <w:p>
      <w:pPr>
        <w:spacing w:after="0" w:line="206" w:lineRule="exact"/>
        <w:rPr>
          <w:sz w:val="20"/>
          <w:szCs w:val="20"/>
          <w:color w:val="auto"/>
        </w:rPr>
      </w:pPr>
    </w:p>
    <w:p>
      <w:pPr>
        <w:ind w:left="500" w:right="220" w:hanging="492"/>
        <w:spacing w:after="0" w:line="260" w:lineRule="auto"/>
        <w:tabs>
          <w:tab w:leader="none" w:pos="5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certifications furnished in Exhibit 32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960" w:h="16560" w:orient="portrait"/>
          <w:cols w:equalWidth="0" w:num="1">
            <w:col w:w="10160"/>
          </w:cols>
          <w:pgMar w:left="1360" w:top="1435"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960" w:h="16560" w:orient="portrait"/>
          <w:cols w:equalWidth="0" w:num="1">
            <w:col w:w="10160"/>
          </w:cols>
          <w:pgMar w:left="1360" w:top="1435" w:right="1440" w:bottom="535" w:gutter="0" w:footer="0" w:header="0"/>
          <w:type w:val="continuous"/>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4" w:lineRule="exact"/>
        <w:rPr>
          <w:sz w:val="20"/>
          <w:szCs w:val="20"/>
          <w:color w:val="auto"/>
        </w:rPr>
      </w:pPr>
    </w:p>
    <w:p>
      <w:pPr>
        <w:ind w:left="20" w:right="100" w:firstLine="49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471920" cy="806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6471920" cy="80645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sz w:val="1"/>
          <w:szCs w:val="1"/>
          <w:color w:val="auto"/>
        </w:rPr>
        <w:drawing>
          <wp:inline distT="0" distB="0" distL="0" distR="0">
            <wp:extent cx="3125470" cy="1809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3125470" cy="180975"/>
                    </a:xfrm>
                    <a:prstGeom prst="rect">
                      <a:avLst/>
                    </a:prstGeom>
                    <a:noFill/>
                    <a:ln>
                      <a:noFill/>
                    </a:ln>
                  </pic:spPr>
                </pic:pic>
              </a:graphicData>
            </a:graphic>
          </wp:inline>
        </w:drawing>
      </w:r>
      <w:r>
        <w:rPr>
          <w:rFonts w:ascii="Times New Roman" w:cs="Times New Roman" w:eastAsia="Times New Roman" w:hAnsi="Times New Roman"/>
          <w:sz w:val="20"/>
          <w:szCs w:val="20"/>
          <w:color w:val="auto"/>
        </w:rPr>
        <w:t>Tango Therapeutics, Inc.</w:t>
      </w:r>
    </w:p>
    <w:p>
      <w:pPr>
        <w:spacing w:after="0" w:line="162" w:lineRule="exact"/>
        <w:rPr>
          <w:sz w:val="20"/>
          <w:szCs w:val="20"/>
          <w:color w:val="auto"/>
        </w:rPr>
      </w:pPr>
    </w:p>
    <w:p>
      <w:pPr>
        <w:ind w:left="20"/>
        <w:spacing w:after="0"/>
        <w:tabs>
          <w:tab w:leader="none" w:pos="7080" w:val="left"/>
        </w:tabs>
        <w:rPr>
          <w:sz w:val="20"/>
          <w:szCs w:val="20"/>
          <w:color w:val="auto"/>
        </w:rPr>
      </w:pPr>
      <w:r>
        <w:rPr>
          <w:rFonts w:ascii="Times New Roman" w:cs="Times New Roman" w:eastAsia="Times New Roman" w:hAnsi="Times New Roman"/>
          <w:sz w:val="20"/>
          <w:szCs w:val="20"/>
          <w:color w:val="auto"/>
        </w:rPr>
        <w:t xml:space="preserve">Date: February 27, 2025                          </w:t>
      </w:r>
      <w:r>
        <w:rPr>
          <w:sz w:val="1"/>
          <w:szCs w:val="1"/>
          <w:color w:val="auto"/>
        </w:rPr>
        <w:drawing>
          <wp:inline distT="0" distB="0" distL="0" distR="0">
            <wp:extent cx="199390" cy="1809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199390" cy="180975"/>
                    </a:xfrm>
                    <a:prstGeom prst="rect">
                      <a:avLst/>
                    </a:prstGeom>
                    <a:noFill/>
                    <a:ln>
                      <a:noFill/>
                    </a:ln>
                  </pic:spPr>
                </pic:pic>
              </a:graphicData>
            </a:graphic>
          </wp:inline>
        </w:drawing>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Barbara Weber</w:t>
      </w:r>
    </w:p>
    <w:p>
      <w:pPr>
        <w:jc w:val="center"/>
        <w:ind w:left="5360"/>
        <w:spacing w:after="0"/>
        <w:rPr>
          <w:sz w:val="20"/>
          <w:szCs w:val="20"/>
          <w:color w:val="auto"/>
        </w:rPr>
      </w:pPr>
      <w:r>
        <w:rPr>
          <w:rFonts w:ascii="Times New Roman" w:cs="Times New Roman" w:eastAsia="Times New Roman" w:hAnsi="Times New Roman"/>
          <w:sz w:val="20"/>
          <w:szCs w:val="20"/>
          <w:b w:val="1"/>
          <w:bCs w:val="1"/>
          <w:color w:val="auto"/>
        </w:rPr>
        <w:t>Barbara Weber, MD</w:t>
      </w:r>
    </w:p>
    <w:p>
      <w:pPr>
        <w:spacing w:after="0" w:line="21"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24" w:lineRule="exact"/>
        <w:rPr>
          <w:sz w:val="20"/>
          <w:szCs w:val="20"/>
          <w:color w:val="auto"/>
        </w:rPr>
      </w:pPr>
    </w:p>
    <w:p>
      <w:pPr>
        <w:ind w:left="20" w:right="20" w:firstLine="490"/>
        <w:spacing w:after="0" w:line="244"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authorizes and appoints Barbara Weber, Daniella Beckman and Douglas Barry,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316" w:lineRule="exact"/>
        <w:rPr>
          <w:sz w:val="20"/>
          <w:szCs w:val="20"/>
          <w:color w:val="auto"/>
        </w:rPr>
      </w:pPr>
    </w:p>
    <w:p>
      <w:pPr>
        <w:ind w:left="20" w:right="4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471920" cy="3047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6471920" cy="3047365"/>
                    </a:xfrm>
                    <a:prstGeom prst="rect">
                      <a:avLst/>
                    </a:prstGeom>
                    <a:noFill/>
                  </pic:spPr>
                </pic:pic>
              </a:graphicData>
            </a:graphic>
          </wp:anchor>
        </w:drawing>
      </w:r>
    </w:p>
    <w:p>
      <w:pPr>
        <w:spacing w:after="0" w:line="150" w:lineRule="exact"/>
        <w:rPr>
          <w:sz w:val="20"/>
          <w:szCs w:val="20"/>
          <w:color w:val="auto"/>
        </w:rPr>
      </w:pPr>
    </w:p>
    <w:p>
      <w:pPr>
        <w:ind w:left="1500"/>
        <w:spacing w:after="0"/>
        <w:tabs>
          <w:tab w:leader="none" w:pos="3335"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sz w:val="1"/>
          <w:szCs w:val="1"/>
          <w:color w:val="auto"/>
        </w:rPr>
        <w:drawing>
          <wp:inline distT="0" distB="0" distL="0" distR="0">
            <wp:extent cx="92710" cy="15176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92710" cy="15176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 xml:space="preserve">                        Title                        </w:t>
      </w:r>
      <w:r>
        <w:rPr>
          <w:sz w:val="1"/>
          <w:szCs w:val="1"/>
          <w:color w:val="auto"/>
        </w:rPr>
        <w:drawing>
          <wp:inline distT="0" distB="0" distL="0" distR="0">
            <wp:extent cx="92710" cy="15176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extLst>
                    </a:blip>
                    <a:srcRect/>
                    <a:stretch>
                      <a:fillRect/>
                    </a:stretch>
                  </pic:blipFill>
                  <pic:spPr bwMode="auto">
                    <a:xfrm>
                      <a:off x="0" y="0"/>
                      <a:ext cx="92710" cy="151765"/>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 xml:space="preserve">           Date</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3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 Barbara Weber</w:t>
            </w: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President and Chief Executive Officer, Director</w:t>
            </w:r>
          </w:p>
        </w:tc>
        <w:tc>
          <w:tcPr>
            <w:tcW w:w="1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February 27, 2025</w:t>
            </w:r>
          </w:p>
        </w:tc>
      </w:tr>
      <w:tr>
        <w:trPr>
          <w:trHeight w:val="206"/>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Barbara Weber, MD</w:t>
            </w:r>
          </w:p>
        </w:tc>
        <w:tc>
          <w:tcPr>
            <w:tcW w:w="100" w:type="dxa"/>
            <w:vAlign w:val="bottom"/>
            <w:tcBorders>
              <w:top w:val="single" w:sz="8" w:color="FEFEFE"/>
            </w:tcBorders>
          </w:tcPr>
          <w:p>
            <w:pPr>
              <w:spacing w:after="0"/>
              <w:rPr>
                <w:sz w:val="17"/>
                <w:szCs w:val="17"/>
                <w:color w:val="auto"/>
              </w:rPr>
            </w:pPr>
          </w:p>
        </w:tc>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860" w:type="dxa"/>
            <w:vAlign w:val="bottom"/>
          </w:tcPr>
          <w:p>
            <w:pPr>
              <w:spacing w:after="0"/>
              <w:rPr>
                <w:sz w:val="17"/>
                <w:szCs w:val="17"/>
                <w:color w:val="auto"/>
              </w:rPr>
            </w:pPr>
          </w:p>
        </w:tc>
      </w:tr>
      <w:tr>
        <w:trPr>
          <w:trHeight w:val="33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Daniella Beckman</w:t>
            </w:r>
          </w:p>
        </w:tc>
        <w:tc>
          <w:tcPr>
            <w:tcW w:w="100" w:type="dxa"/>
            <w:vAlign w:val="bottom"/>
            <w:tcBorders>
              <w:bottom w:val="single" w:sz="8" w:color="FEFEFE"/>
            </w:tcBorders>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c>
          <w:tcPr>
            <w:tcW w:w="186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206"/>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Daniella Beckman</w:t>
            </w:r>
          </w:p>
        </w:tc>
        <w:tc>
          <w:tcPr>
            <w:tcW w:w="100" w:type="dxa"/>
            <w:vAlign w:val="bottom"/>
          </w:tcPr>
          <w:p>
            <w:pPr>
              <w:spacing w:after="0"/>
              <w:rPr>
                <w:sz w:val="17"/>
                <w:szCs w:val="17"/>
                <w:color w:val="auto"/>
              </w:rPr>
            </w:pPr>
          </w:p>
        </w:tc>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860" w:type="dxa"/>
            <w:vAlign w:val="bottom"/>
          </w:tcPr>
          <w:p>
            <w:pPr>
              <w:spacing w:after="0"/>
              <w:rPr>
                <w:sz w:val="17"/>
                <w:szCs w:val="17"/>
                <w:color w:val="auto"/>
              </w:rPr>
            </w:pPr>
          </w:p>
        </w:tc>
      </w:tr>
      <w:tr>
        <w:trPr>
          <w:trHeight w:val="33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Alexis Borisy</w:t>
            </w:r>
          </w:p>
        </w:tc>
        <w:tc>
          <w:tcPr>
            <w:tcW w:w="100" w:type="dxa"/>
            <w:vAlign w:val="bottom"/>
            <w:tcBorders>
              <w:bottom w:val="single" w:sz="8" w:color="FEFEFE"/>
            </w:tcBorders>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186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206"/>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Alexis Borisy</w:t>
            </w: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3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Lesley Ann Calhoun</w:t>
            </w:r>
          </w:p>
        </w:tc>
        <w:tc>
          <w:tcPr>
            <w:tcW w:w="100" w:type="dxa"/>
            <w:vAlign w:val="bottom"/>
            <w:tcBorders>
              <w:bottom w:val="single" w:sz="8" w:color="FEFEFE"/>
            </w:tcBorders>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86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206"/>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Lesley Ann Calhoun</w:t>
            </w: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3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Kanishka Pothula</w:t>
            </w:r>
          </w:p>
        </w:tc>
        <w:tc>
          <w:tcPr>
            <w:tcW w:w="100" w:type="dxa"/>
            <w:vAlign w:val="bottom"/>
            <w:tcBorders>
              <w:bottom w:val="single" w:sz="8" w:color="FEFEFE"/>
            </w:tcBorders>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86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206"/>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Kanishka Pothula</w:t>
            </w: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3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John Ketchum</w:t>
            </w:r>
          </w:p>
        </w:tc>
        <w:tc>
          <w:tcPr>
            <w:tcW w:w="100" w:type="dxa"/>
            <w:vAlign w:val="bottom"/>
            <w:tcBorders>
              <w:bottom w:val="single" w:sz="8" w:color="FEFEFE"/>
            </w:tcBorders>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86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206"/>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John Ketchum</w:t>
            </w: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3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Malte Peters</w:t>
            </w:r>
          </w:p>
        </w:tc>
        <w:tc>
          <w:tcPr>
            <w:tcW w:w="100" w:type="dxa"/>
            <w:vAlign w:val="bottom"/>
            <w:tcBorders>
              <w:bottom w:val="single" w:sz="8" w:color="FEFEFE"/>
            </w:tcBorders>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86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206"/>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Malte Peters, MD</w:t>
            </w: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3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Mace Rothenberg</w:t>
            </w:r>
          </w:p>
        </w:tc>
        <w:tc>
          <w:tcPr>
            <w:tcW w:w="100" w:type="dxa"/>
            <w:vAlign w:val="bottom"/>
            <w:tcBorders>
              <w:bottom w:val="single" w:sz="8" w:color="FEFEFE"/>
            </w:tcBorders>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86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206"/>
        </w:trPr>
        <w:tc>
          <w:tcPr>
            <w:tcW w:w="3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Mace Rothenberg, MD</w:t>
            </w:r>
          </w:p>
        </w:tc>
        <w:tc>
          <w:tcPr>
            <w:tcW w:w="1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60" w:type="dxa"/>
            <w:vAlign w:val="bottom"/>
          </w:tcPr>
          <w:p>
            <w:pPr>
              <w:spacing w:after="0"/>
              <w:rPr>
                <w:sz w:val="17"/>
                <w:szCs w:val="17"/>
                <w:color w:val="auto"/>
              </w:rPr>
            </w:pPr>
          </w:p>
        </w:tc>
      </w:tr>
    </w:tbl>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w:t>
      </w:r>
    </w:p>
    <w:p>
      <w:pPr>
        <w:sectPr>
          <w:pgSz w:w="12960" w:h="16560" w:orient="portrait"/>
          <w:cols w:equalWidth="0" w:num="1">
            <w:col w:w="10180"/>
          </w:cols>
          <w:pgMar w:left="1340" w:top="141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2960" w:h="16560" w:orient="portrait"/>
          <w:cols w:equalWidth="0" w:num="1">
            <w:col w:w="10180"/>
          </w:cols>
          <w:pgMar w:left="1340" w:top="1416" w:right="1440" w:bottom="535"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tcPr>
          <w:p>
            <w:pPr>
              <w:spacing w:after="0"/>
              <w:rPr>
                <w:sz w:val="17"/>
                <w:szCs w:val="17"/>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70"/>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3"/>
              </w:rPr>
              <w:t>F-2</w:t>
            </w:r>
          </w:p>
        </w:tc>
      </w:tr>
      <w:tr>
        <w:trPr>
          <w:trHeight w:val="250"/>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3"/>
              </w:rPr>
              <w:t>F-4</w:t>
            </w:r>
          </w:p>
        </w:tc>
      </w:tr>
      <w:tr>
        <w:trPr>
          <w:trHeight w:val="250"/>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3"/>
              </w:rPr>
              <w:t>F-5</w:t>
            </w:r>
          </w:p>
        </w:tc>
      </w:tr>
      <w:tr>
        <w:trPr>
          <w:trHeight w:val="250"/>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3"/>
              </w:rPr>
              <w:t>F-6</w:t>
            </w:r>
          </w:p>
        </w:tc>
      </w:tr>
      <w:tr>
        <w:trPr>
          <w:trHeight w:val="250"/>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70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3"/>
              </w:rPr>
              <w:t>F-7</w:t>
            </w:r>
          </w:p>
        </w:tc>
      </w:tr>
      <w:tr>
        <w:trPr>
          <w:trHeight w:val="206"/>
        </w:trPr>
        <w:tc>
          <w:tcPr>
            <w:tcW w:w="938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Notes to Consolidated Financial Statements</w:t>
            </w:r>
          </w:p>
        </w:tc>
        <w:tc>
          <w:tcPr>
            <w:tcW w:w="700" w:type="dxa"/>
            <w:vAlign w:val="bottom"/>
          </w:tcPr>
          <w:p>
            <w:pPr>
              <w:ind w:left="420"/>
              <w:spacing w:after="0" w:line="207" w:lineRule="exact"/>
              <w:rPr>
                <w:sz w:val="20"/>
                <w:szCs w:val="20"/>
                <w:color w:val="auto"/>
              </w:rPr>
            </w:pPr>
            <w:r>
              <w:rPr>
                <w:rFonts w:ascii="Times New Roman" w:cs="Times New Roman" w:eastAsia="Times New Roman" w:hAnsi="Times New Roman"/>
                <w:sz w:val="20"/>
                <w:szCs w:val="20"/>
                <w:color w:val="auto"/>
                <w:w w:val="93"/>
              </w:rPr>
              <w:t>F-8</w:t>
            </w:r>
          </w:p>
        </w:tc>
      </w:tr>
      <w:tr>
        <w:trPr>
          <w:trHeight w:val="266"/>
        </w:trPr>
        <w:tc>
          <w:tcPr>
            <w:tcW w:w="9380" w:type="dxa"/>
            <w:vAlign w:val="bottom"/>
          </w:tcPr>
          <w:p>
            <w:pPr>
              <w:spacing w:after="0"/>
              <w:rPr>
                <w:sz w:val="20"/>
                <w:szCs w:val="20"/>
                <w:color w:val="auto"/>
              </w:rPr>
            </w:pPr>
            <w:r>
              <w:rPr>
                <w:rFonts w:ascii="Times New Roman" w:cs="Times New Roman" w:eastAsia="Times New Roman" w:hAnsi="Times New Roman"/>
                <w:sz w:val="20"/>
                <w:szCs w:val="20"/>
                <w:color w:val="auto"/>
              </w:rPr>
              <w:t> </w:t>
            </w:r>
          </w:p>
        </w:tc>
        <w:tc>
          <w:tcPr>
            <w:tcW w:w="700" w:type="dxa"/>
            <w:vAlign w:val="bottom"/>
          </w:tcPr>
          <w:p>
            <w:pPr>
              <w:spacing w:after="0"/>
              <w:rPr>
                <w:sz w:val="23"/>
                <w:szCs w:val="23"/>
                <w:color w:val="auto"/>
              </w:rPr>
            </w:pPr>
          </w:p>
        </w:tc>
      </w:tr>
    </w:tbl>
    <w:p>
      <w:pPr>
        <w:sectPr>
          <w:pgSz w:w="12960" w:h="16560" w:orient="portrait"/>
          <w:cols w:equalWidth="0" w:num="1">
            <w:col w:w="10080"/>
          </w:cols>
          <w:pgMar w:left="1440" w:top="1416" w:right="1440" w:bottom="1440" w:gutter="0" w:footer="0" w:header="0"/>
        </w:sectPr>
      </w:pPr>
    </w:p>
    <w:bookmarkStart w:id="103" w:name="page104"/>
    <w:bookmarkEnd w:id="103"/>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Tango Therapeutics,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0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Tango Therapeutics, Inc. and its subsidiaries (the "Company") as of December 31, 2024 and 2023, and the related consolidated statements of operations and comprehensive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20"/>
          <w:szCs w:val="20"/>
          <w:i w:val="1"/>
          <w:iCs w:val="1"/>
          <w:color w:val="auto"/>
        </w:rPr>
        <w:t>Internal Control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w:t>
      </w:r>
      <w:r>
        <w:rPr>
          <w:rFonts w:ascii="Times New Roman" w:cs="Times New Roman" w:eastAsia="Times New Roman" w:hAnsi="Times New Roman"/>
          <w:sz w:val="20"/>
          <w:szCs w:val="20"/>
          <w:color w:val="auto"/>
        </w:rPr>
        <w:t>(2013) issued by the Committee of Sponsoring Organizations of the Treadway Commission (COSO).</w:t>
      </w:r>
    </w:p>
    <w:p>
      <w:pPr>
        <w:spacing w:after="0" w:line="160"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0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Emphasis of Matter</w:t>
      </w:r>
    </w:p>
    <w:p>
      <w:pPr>
        <w:spacing w:after="0" w:line="16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since inception, the Company has incurred significant operating losses and expects to continue generating operating losses and negative cash flows from operations for the foreseeable future. Management’s evaluation of the events and conditions and management’s plans to mitigate these matters are also described in Note 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960" w:h="16560" w:orient="portrait"/>
          <w:cols w:equalWidth="0" w:num="1">
            <w:col w:w="10080"/>
          </w:cols>
          <w:pgMar w:left="1440" w:top="1440" w:right="1440" w:bottom="535" w:gutter="0" w:footer="0" w:header="0"/>
        </w:sectPr>
      </w:pPr>
    </w:p>
    <w:bookmarkStart w:id="104" w:name="page105"/>
    <w:bookmarkEnd w:id="104"/>
    <w:p>
      <w:pPr>
        <w:ind w:right="140"/>
        <w:spacing w:after="0" w:line="249" w:lineRule="auto"/>
        <w:rPr>
          <w:sz w:val="20"/>
          <w:szCs w:val="20"/>
          <w:color w:val="auto"/>
        </w:rPr>
      </w:pPr>
      <w:r>
        <w:rPr>
          <w:rFonts w:ascii="Times New Roman" w:cs="Times New Roman" w:eastAsia="Times New Roman" w:hAnsi="Times New Roman"/>
          <w:sz w:val="20"/>
          <w:szCs w:val="20"/>
          <w:color w:val="auto"/>
        </w:rPr>
        <w:t>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jc w:val="both"/>
        <w:ind w:right="360"/>
        <w:spacing w:after="0" w:line="278"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6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Certain Research and Development Expenses</w:t>
      </w:r>
    </w:p>
    <w:p>
      <w:pPr>
        <w:spacing w:after="0" w:line="22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research and development expenses consist primarily of costs incurred for the Company’s drug discovery efforts and the development of product candidates. These expenses include salaries, employee benefits, and stock-based compensation expense for the Company’s research and development personnel, materials, supplies, depreciation on and maintenance of research equipment, the cost of services provided by outside contract research organizations (CROs) and consultants to conduct research and development activities including costs of clinical trials and manufacturing, and the allocable portions of facility costs, such as rent, utilities, and general support services. All costs associated with research and development are expensed as incurred. 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The Company’s research and development expenses for the year ended December 31, 2024 were $143.9 million, a majority of which relates to certain research and development expenses.</w:t>
      </w:r>
    </w:p>
    <w:p>
      <w:pPr>
        <w:spacing w:after="0" w:line="196"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0"/>
          <w:szCs w:val="20"/>
          <w:color w:val="auto"/>
        </w:rPr>
        <w:t>The principal consideration for our determination that performing procedures relating to certain research and development expenses is a critical audit matter is a high degree of auditor effort in performing procedures related to certain research and development expenses.</w:t>
      </w:r>
    </w:p>
    <w:p>
      <w:pPr>
        <w:spacing w:after="0" w:line="17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research and development expenses, including controls over certain research and development expenses. These procedures also included, among others, testing certain research and development expenses on a sample basis by agreeing relevant information, which include overall contract value, expenses incurred to date, and percentage of completion, to the (i) underlying contracts with CROs and consultants engaged to conduct research and development activities; (ii) purchase orders; (iii) invoices received; (iv) underlying payments made for expenses incurred on the contracts; and (v) external confirmations or communications obtained by management from CROs and consultants.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2017.</w:t>
      </w:r>
    </w:p>
    <w:p>
      <w:pPr>
        <w:sectPr>
          <w:pgSz w:w="12960" w:h="16560" w:orient="portrait"/>
          <w:cols w:equalWidth="0" w:num="1">
            <w:col w:w="10160"/>
          </w:cols>
          <w:pgMar w:left="1440" w:top="1420" w:right="136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F-3</w:t>
      </w:r>
    </w:p>
    <w:p>
      <w:pPr>
        <w:sectPr>
          <w:pgSz w:w="12960" w:h="16560" w:orient="portrait"/>
          <w:cols w:equalWidth="0" w:num="1">
            <w:col w:w="10160"/>
          </w:cols>
          <w:pgMar w:left="1440" w:top="1420" w:right="1360" w:bottom="535"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TANGO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177165</wp:posOffset>
            </wp:positionV>
            <wp:extent cx="6426200" cy="5427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extLst>
                    </a:blip>
                    <a:srcRect/>
                    <a:stretch>
                      <a:fillRect/>
                    </a:stretch>
                  </pic:blipFill>
                  <pic:spPr bwMode="auto">
                    <a:xfrm>
                      <a:off x="0" y="0"/>
                      <a:ext cx="6426200" cy="542734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1"/>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6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69,530</w:t>
            </w:r>
          </w:p>
        </w:tc>
        <w:tc>
          <w:tcPr>
            <w:tcW w:w="18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188,387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620" w:type="dxa"/>
            <w:vAlign w:val="bottom"/>
          </w:tcPr>
          <w:p>
            <w:pPr>
              <w:ind w:left="400"/>
              <w:spacing w:after="0" w:line="201" w:lineRule="exact"/>
              <w:rPr>
                <w:sz w:val="20"/>
                <w:szCs w:val="20"/>
                <w:color w:val="auto"/>
              </w:rPr>
            </w:pPr>
            <w:r>
              <w:rPr>
                <w:rFonts w:ascii="Times New Roman" w:cs="Times New Roman" w:eastAsia="Times New Roman" w:hAnsi="Times New Roman"/>
                <w:sz w:val="20"/>
                <w:szCs w:val="20"/>
                <w:color w:val="auto"/>
              </w:rPr>
              <w:t>Total current assets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266,343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346,538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net of current portion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316,492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402,567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62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1,601</w:t>
            </w:r>
          </w:p>
        </w:tc>
        <w:tc>
          <w:tcPr>
            <w:tcW w:w="18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revenue</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400"/>
              <w:spacing w:after="0" w:line="201" w:lineRule="exact"/>
              <w:rPr>
                <w:sz w:val="20"/>
                <w:szCs w:val="20"/>
                <w:color w:val="auto"/>
              </w:rPr>
            </w:pPr>
            <w:r>
              <w:rPr>
                <w:rFonts w:ascii="Times New Roman" w:cs="Times New Roman" w:eastAsia="Times New Roman" w:hAnsi="Times New Roman"/>
                <w:sz w:val="20"/>
                <w:szCs w:val="20"/>
                <w:color w:val="auto"/>
              </w:rPr>
              <w:t>Total current liabilities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38,170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45,938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Deferred revenue, net of current portion</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44,766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66,683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400"/>
              <w:spacing w:after="0" w:line="201" w:lineRule="exact"/>
              <w:rPr>
                <w:sz w:val="20"/>
                <w:szCs w:val="20"/>
                <w:color w:val="auto"/>
              </w:rPr>
            </w:pPr>
            <w:r>
              <w:rPr>
                <w:rFonts w:ascii="Times New Roman" w:cs="Times New Roman" w:eastAsia="Times New Roman" w:hAnsi="Times New Roman"/>
                <w:sz w:val="20"/>
                <w:szCs w:val="20"/>
                <w:color w:val="auto"/>
              </w:rPr>
              <w:t>Total liabilities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116,975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149,459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Preferred stock, $0.001 par value; 10,000,000 shares authorized; no shares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issued and outstanding as of December 31, 2024 and 2023, respectively</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$0.001 par value; 200,000,000 shares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authorized at December 31, 2024 and December 31, 2023, respectively;</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107,729,343 and 102,202,759 shares issued and outstanding as of</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31, 2024 and 2023, respectively</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700,631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(501,558)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(371,256)</w:t>
            </w:r>
          </w:p>
        </w:tc>
        <w:tc>
          <w:tcPr>
            <w:tcW w:w="0" w:type="dxa"/>
            <w:vAlign w:val="bottom"/>
          </w:tcPr>
          <w:p>
            <w:pPr>
              <w:spacing w:after="0"/>
              <w:rPr>
                <w:sz w:val="1"/>
                <w:szCs w:val="1"/>
                <w:color w:val="auto"/>
              </w:rPr>
            </w:pPr>
          </w:p>
        </w:tc>
      </w:tr>
      <w:tr>
        <w:trPr>
          <w:trHeight w:val="220"/>
        </w:trPr>
        <w:tc>
          <w:tcPr>
            <w:tcW w:w="66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stockholders’ equity</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199,517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253,108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316,492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402,567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960" w:h="16560" w:orient="portrait"/>
          <w:cols w:equalWidth="0" w:num="1">
            <w:col w:w="10080"/>
          </w:cols>
          <w:pgMar w:left="1440" w:top="141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960" w:h="16560" w:orient="portrait"/>
          <w:cols w:equalWidth="0" w:num="1">
            <w:col w:w="10080"/>
          </w:cols>
          <w:pgMar w:left="1440" w:top="1416" w:right="1440" w:bottom="535"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TANGO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177165</wp:posOffset>
            </wp:positionV>
            <wp:extent cx="6426200" cy="382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extLst>
                    </a:blip>
                    <a:srcRect/>
                    <a:stretch>
                      <a:fillRect/>
                    </a:stretch>
                  </pic:blipFill>
                  <pic:spPr bwMode="auto">
                    <a:xfrm>
                      <a:off x="0" y="0"/>
                      <a:ext cx="6426200" cy="382714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Collaboration revenue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vMerge w:val="continue"/>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29,969</w:t>
            </w:r>
          </w:p>
        </w:tc>
        <w:tc>
          <w:tcPr>
            <w:tcW w:w="240" w:type="dxa"/>
            <w:vAlign w:val="bottom"/>
          </w:tcPr>
          <w:p>
            <w:pPr>
              <w:spacing w:after="0"/>
              <w:rPr>
                <w:sz w:val="17"/>
                <w:szCs w:val="17"/>
                <w:color w:val="auto"/>
              </w:rPr>
            </w:pPr>
          </w:p>
        </w:tc>
        <w:tc>
          <w:tcPr>
            <w:tcW w:w="240" w:type="dxa"/>
            <w:vAlign w:val="bottom"/>
          </w:tcPr>
          <w:p>
            <w:pPr>
              <w:jc w:val="right"/>
              <w:ind w:right="4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31,527</w:t>
            </w:r>
          </w:p>
        </w:tc>
        <w:tc>
          <w:tcPr>
            <w:tcW w:w="260" w:type="dxa"/>
            <w:vAlign w:val="bottom"/>
          </w:tcPr>
          <w:p>
            <w:pPr>
              <w:spacing w:after="0"/>
              <w:rPr>
                <w:sz w:val="17"/>
                <w:szCs w:val="17"/>
                <w:color w:val="auto"/>
              </w:rPr>
            </w:pPr>
          </w:p>
        </w:tc>
        <w:tc>
          <w:tcPr>
            <w:tcW w:w="240" w:type="dxa"/>
            <w:vAlign w:val="bottom"/>
          </w:tcPr>
          <w:p>
            <w:pPr>
              <w:jc w:val="right"/>
              <w:ind w:right="4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24,860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License revenue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56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42,069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36,527</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Operating expenses: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115,198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43,746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35,502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6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187,664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150,700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135,931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6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Loss from operations</w:t>
            </w:r>
          </w:p>
        </w:tc>
        <w:tc>
          <w:tcPr>
            <w:tcW w:w="18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(145,595)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(114,173)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(111,071)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income, net</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6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other income, net</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15,501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12,563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6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Loss before income taxes</w:t>
            </w:r>
          </w:p>
        </w:tc>
        <w:tc>
          <w:tcPr>
            <w:tcW w:w="18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(130,094)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(101,610)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(108,122)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(208)</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(134)</w:t>
            </w: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0"/>
        </w:trPr>
        <w:tc>
          <w:tcPr>
            <w:tcW w:w="56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(130,302)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(101,744)</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(108,176)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common share –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(1.19)</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(1.08)</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common shares outstanding – basic</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and diluted</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109,226,731</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94,572,448</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87,820,037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(130,302)</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(101,744)</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(108,176)</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Unrealized gain (loss) on marketable securities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(2,940)</w:t>
            </w:r>
          </w:p>
        </w:tc>
        <w:tc>
          <w:tcPr>
            <w:tcW w:w="0" w:type="dxa"/>
            <w:vAlign w:val="bottom"/>
          </w:tcPr>
          <w:p>
            <w:pPr>
              <w:spacing w:after="0"/>
              <w:rPr>
                <w:sz w:val="1"/>
                <w:szCs w:val="1"/>
                <w:color w:val="auto"/>
              </w:rPr>
            </w:pPr>
          </w:p>
        </w:tc>
      </w:tr>
      <w:tr>
        <w:trPr>
          <w:trHeight w:val="220"/>
        </w:trPr>
        <w:tc>
          <w:tcPr>
            <w:tcW w:w="56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Comprehensive loss</w:t>
            </w: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(130,152)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(97,853)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(111,116)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960" w:h="16560" w:orient="portrait"/>
          <w:cols w:equalWidth="0" w:num="1">
            <w:col w:w="10080"/>
          </w:cols>
          <w:pgMar w:left="1440" w:top="141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960" w:h="16560" w:orient="portrait"/>
          <w:cols w:equalWidth="0" w:num="1">
            <w:col w:w="10080"/>
          </w:cols>
          <w:pgMar w:left="1440" w:top="1416" w:right="1440" w:bottom="535"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TANGO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177165</wp:posOffset>
            </wp:positionV>
            <wp:extent cx="8712200" cy="3401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extLst>
                    </a:blip>
                    <a:srcRect/>
                    <a:stretch>
                      <a:fillRect/>
                    </a:stretch>
                  </pic:blipFill>
                  <pic:spPr bwMode="auto">
                    <a:xfrm>
                      <a:off x="0" y="0"/>
                      <a:ext cx="8712200" cy="340169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Common Stock Outstanding</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right"/>
              <w:ind w:right="840"/>
              <w:spacing w:after="0" w:line="13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2"/>
                <w:szCs w:val="12"/>
                <w:color w:val="auto"/>
              </w:rPr>
            </w:pPr>
          </w:p>
        </w:tc>
        <w:tc>
          <w:tcPr>
            <w:tcW w:w="1520" w:type="dxa"/>
            <w:vAlign w:val="bottom"/>
            <w:gridSpan w:val="2"/>
          </w:tcPr>
          <w:p>
            <w:pPr>
              <w:jc w:val="center"/>
              <w:ind w:right="480"/>
              <w:spacing w:after="0" w:line="13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2"/>
                <w:szCs w:val="12"/>
                <w:color w:val="auto"/>
              </w:rPr>
            </w:pPr>
          </w:p>
        </w:tc>
        <w:tc>
          <w:tcPr>
            <w:tcW w:w="1500" w:type="dxa"/>
            <w:vAlign w:val="bottom"/>
            <w:gridSpan w:val="2"/>
          </w:tcPr>
          <w:p>
            <w:pPr>
              <w:jc w:val="right"/>
              <w:ind w:right="640"/>
              <w:spacing w:after="0" w:line="13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64"/>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4"/>
                <w:szCs w:val="14"/>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4"/>
                <w:szCs w:val="14"/>
                <w:color w:val="auto"/>
              </w:rPr>
            </w:pP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3"/>
        </w:trPr>
        <w:tc>
          <w:tcPr>
            <w:tcW w:w="3600" w:type="dxa"/>
            <w:vAlign w:val="bottom"/>
            <w:vMerge w:val="continue"/>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87,598,184</w:t>
            </w:r>
          </w:p>
        </w:tc>
        <w:tc>
          <w:tcPr>
            <w:tcW w:w="2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506,760</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(765)</w:t>
            </w: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(161,336)</w:t>
            </w: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344,747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from exercise of options and</w:t>
            </w: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581,190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Stock 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Business combination and PIPE financing, issuance costs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(2,940)</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(108,176)</w:t>
            </w:r>
          </w:p>
        </w:tc>
        <w:tc>
          <w:tcPr>
            <w:tcW w:w="1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(108,176)</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88,179,374</w:t>
            </w:r>
          </w:p>
        </w:tc>
        <w:tc>
          <w:tcPr>
            <w:tcW w:w="2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522,605</w:t>
            </w: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(3,705)</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(269,512)</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249,476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Issuance of common stock from exercise of options and</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826,714</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Stock 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19,079</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Common shares issued in offering, net of issuance costs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13,196,671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67,708</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Pre-funded warrants issued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Return of capital from a stockholder - related party</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(101,744)</w:t>
            </w:r>
          </w:p>
        </w:tc>
        <w:tc>
          <w:tcPr>
            <w:tcW w:w="1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(101,744)</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102,202,759</w:t>
            </w:r>
          </w:p>
        </w:tc>
        <w:tc>
          <w:tcPr>
            <w:tcW w:w="2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624,076</w:t>
            </w: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(371,256)</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253,108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Issuance of common stock from exercise of options and</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1,525,384</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Stock 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28,897</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Common shares issued in offering, net of issuance costs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4,001,200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41,719</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(130,302)</w:t>
            </w:r>
          </w:p>
        </w:tc>
        <w:tc>
          <w:tcPr>
            <w:tcW w:w="1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(130,302)</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107,729,343</w:t>
            </w:r>
          </w:p>
        </w:tc>
        <w:tc>
          <w:tcPr>
            <w:tcW w:w="2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700,631</w:t>
            </w: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(501,558)</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199,517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6560" w:h="12960" w:orient="landscape"/>
          <w:cols w:equalWidth="0" w:num="1">
            <w:col w:w="13680"/>
          </w:cols>
          <w:pgMar w:left="1440" w:top="141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6560" w:h="12960" w:orient="landscape"/>
          <w:cols w:equalWidth="0" w:num="1">
            <w:col w:w="13680"/>
          </w:cols>
          <w:pgMar w:left="1440" w:top="1416" w:right="1440" w:bottom="535"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TANGO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177165</wp:posOffset>
            </wp:positionV>
            <wp:extent cx="6426200" cy="6722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extLst>
                    </a:blip>
                    <a:srcRect/>
                    <a:stretch>
                      <a:fillRect/>
                    </a:stretch>
                  </pic:blipFill>
                  <pic:spPr bwMode="auto">
                    <a:xfrm>
                      <a:off x="0" y="0"/>
                      <a:ext cx="6426200" cy="672274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(130,302)</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(101,744)</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(108,176)</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from</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operating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operating lease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28,897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19,079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Accretion on marketable securities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(4,617)</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(3,394)</w:t>
            </w: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w:t>
            </w: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receivable</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(2,225)</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(2,056)</w:t>
            </w: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Right-of-use asset</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(10,125)</w:t>
            </w: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long-term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(1,184)</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(1,705)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(2,029)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(2,140)</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(2,439)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Deferred revenue</w:t>
            </w:r>
          </w:p>
        </w:tc>
        <w:tc>
          <w:tcPr>
            <w:tcW w:w="3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(29,969)</w:t>
            </w: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(31,527)</w:t>
            </w: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(16,860)</w:t>
            </w:r>
          </w:p>
        </w:tc>
        <w:tc>
          <w:tcPr>
            <w:tcW w:w="0" w:type="dxa"/>
            <w:vAlign w:val="bottom"/>
          </w:tcPr>
          <w:p>
            <w:pPr>
              <w:spacing w:after="0"/>
              <w:rPr>
                <w:sz w:val="1"/>
                <w:szCs w:val="1"/>
                <w:color w:val="auto"/>
              </w:rPr>
            </w:pPr>
          </w:p>
        </w:tc>
      </w:tr>
      <w:tr>
        <w:trPr>
          <w:trHeight w:val="197"/>
        </w:trPr>
        <w:tc>
          <w:tcPr>
            <w:tcW w:w="5640" w:type="dxa"/>
            <w:vAlign w:val="bottom"/>
          </w:tcPr>
          <w:p>
            <w:pPr>
              <w:ind w:left="600"/>
              <w:spacing w:after="0" w:line="197"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(131,501)</w:t>
            </w: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(117,982)</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(109,080)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(754)</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(1,526)</w:t>
            </w: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(7,692)</w:t>
            </w: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Sales and maturities of marketable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327,768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353,526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Purchases of marketable securities</w:t>
            </w:r>
          </w:p>
        </w:tc>
        <w:tc>
          <w:tcPr>
            <w:tcW w:w="3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(240,888)</w:t>
            </w: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(310,574)</w:t>
            </w: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(208,504)</w:t>
            </w:r>
          </w:p>
        </w:tc>
        <w:tc>
          <w:tcPr>
            <w:tcW w:w="0" w:type="dxa"/>
            <w:vAlign w:val="bottom"/>
          </w:tcPr>
          <w:p>
            <w:pPr>
              <w:spacing w:after="0"/>
              <w:rPr>
                <w:sz w:val="1"/>
                <w:szCs w:val="1"/>
                <w:color w:val="auto"/>
              </w:rPr>
            </w:pPr>
          </w:p>
        </w:tc>
      </w:tr>
      <w:tr>
        <w:trPr>
          <w:trHeight w:val="197"/>
        </w:trPr>
        <w:tc>
          <w:tcPr>
            <w:tcW w:w="5640" w:type="dxa"/>
            <w:vAlign w:val="bottom"/>
          </w:tcPr>
          <w:p>
            <w:pPr>
              <w:ind w:left="400"/>
              <w:spacing w:after="0" w:line="197" w:lineRule="exact"/>
              <w:rPr>
                <w:sz w:val="20"/>
                <w:szCs w:val="20"/>
                <w:color w:val="auto"/>
              </w:rPr>
            </w:pPr>
            <w:r>
              <w:rPr>
                <w:rFonts w:ascii="Times New Roman" w:cs="Times New Roman" w:eastAsia="Times New Roman" w:hAnsi="Times New Roman"/>
                <w:sz w:val="20"/>
                <w:szCs w:val="20"/>
                <w:color w:val="auto"/>
              </w:rPr>
              <w:t>Net cash provided by investing activities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86,126</w:t>
            </w: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41,426</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26,399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common stock and pre-funded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warrants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common stock upon exercise of stock</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and purchase of shares under ESPP</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Return of capital from a stockholder - related party</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 of transaction costs</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(241)</w:t>
            </w: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01"/>
        </w:trPr>
        <w:tc>
          <w:tcPr>
            <w:tcW w:w="5640" w:type="dxa"/>
            <w:vAlign w:val="bottom"/>
          </w:tcPr>
          <w:p>
            <w:pPr>
              <w:ind w:left="400"/>
              <w:spacing w:after="0" w:line="201"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47,664</w:t>
            </w: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82,406</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1,615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Net change in cash, cash equivalents and restricted cash</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(81,066)</w:t>
            </w:r>
          </w:p>
        </w:tc>
        <w:tc>
          <w:tcPr>
            <w:tcW w:w="0" w:type="dxa"/>
            <w:vAlign w:val="bottom"/>
          </w:tcPr>
          <w:p>
            <w:pPr>
              <w:spacing w:after="0"/>
              <w:rPr>
                <w:sz w:val="1"/>
                <w:szCs w:val="1"/>
                <w:color w:val="auto"/>
              </w:rPr>
            </w:pPr>
          </w:p>
        </w:tc>
      </w:tr>
      <w:tr>
        <w:trPr>
          <w:trHeight w:val="249"/>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beginning of period</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69,808</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63,958</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64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cash equivalents and restricted cash, end of period</w:t>
            </w: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72,097</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69,808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4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Cash paid for leases</w:t>
            </w:r>
          </w:p>
        </w:tc>
        <w:tc>
          <w:tcPr>
            <w:tcW w:w="300" w:type="dxa"/>
            <w:vAlign w:val="bottom"/>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5,603</w:t>
            </w:r>
          </w:p>
        </w:tc>
        <w:tc>
          <w:tcPr>
            <w:tcW w:w="260" w:type="dxa"/>
            <w:vAlign w:val="bottom"/>
          </w:tcPr>
          <w:p>
            <w:pPr>
              <w:spacing w:after="0"/>
              <w:rPr>
                <w:sz w:val="19"/>
                <w:szCs w:val="19"/>
                <w:color w:val="auto"/>
              </w:rPr>
            </w:pPr>
          </w:p>
        </w:tc>
        <w:tc>
          <w:tcPr>
            <w:tcW w:w="280" w:type="dxa"/>
            <w:vAlign w:val="bottom"/>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5,882</w:t>
            </w:r>
          </w:p>
        </w:tc>
        <w:tc>
          <w:tcPr>
            <w:tcW w:w="240" w:type="dxa"/>
            <w:vAlign w:val="bottom"/>
          </w:tcPr>
          <w:p>
            <w:pPr>
              <w:spacing w:after="0"/>
              <w:rPr>
                <w:sz w:val="19"/>
                <w:szCs w:val="19"/>
                <w:color w:val="auto"/>
              </w:rPr>
            </w:pPr>
          </w:p>
        </w:tc>
        <w:tc>
          <w:tcPr>
            <w:tcW w:w="300" w:type="dxa"/>
            <w:vAlign w:val="bottom"/>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noncash investing and financing</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activity:</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Purchases of property and equipment included in accounts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payable and accrued expenses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40" w:type="dxa"/>
            <w:vAlign w:val="bottom"/>
          </w:tcPr>
          <w:p>
            <w:pPr>
              <w:spacing w:after="0"/>
              <w:rPr>
                <w:sz w:val="19"/>
                <w:szCs w:val="19"/>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from obtaining right-of-use assets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Revaluation of right-of-use asset and lease liability upon lease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remeasurement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260" w:type="dxa"/>
            <w:vAlign w:val="bottom"/>
          </w:tcPr>
          <w:p>
            <w:pPr>
              <w:spacing w:after="0"/>
              <w:rPr>
                <w:sz w:val="23"/>
                <w:szCs w:val="23"/>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(228)</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960" w:h="16560" w:orient="portrait"/>
          <w:cols w:equalWidth="0" w:num="1">
            <w:col w:w="10080"/>
          </w:cols>
          <w:pgMar w:left="1440" w:top="1416"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960" w:h="16560" w:orient="portrait"/>
          <w:cols w:equalWidth="0" w:num="1">
            <w:col w:w="10080"/>
          </w:cols>
          <w:pgMar w:left="1440" w:top="1416" w:right="1440" w:bottom="535"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TANGO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the Business and Basis of Presentation</w:t>
      </w:r>
    </w:p>
    <w:p>
      <w:pPr>
        <w:spacing w:after="0" w:line="24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Tango Therapeutics, Inc. is a precision oncology company committed to the discovery and development of novel drugs in defined patient populations with high unmet medical need.</w:t>
      </w:r>
    </w:p>
    <w:p>
      <w:pPr>
        <w:spacing w:after="0" w:line="169" w:lineRule="exact"/>
        <w:rPr>
          <w:sz w:val="20"/>
          <w:szCs w:val="20"/>
          <w:color w:val="auto"/>
        </w:rPr>
      </w:pPr>
    </w:p>
    <w:p>
      <w:pPr>
        <w:ind w:right="80" w:firstLine="540"/>
        <w:spacing w:after="0" w:line="252" w:lineRule="auto"/>
        <w:rPr>
          <w:sz w:val="20"/>
          <w:szCs w:val="20"/>
          <w:color w:val="auto"/>
        </w:rPr>
      </w:pPr>
      <w:r>
        <w:rPr>
          <w:rFonts w:ascii="Times New Roman" w:cs="Times New Roman" w:eastAsia="Times New Roman" w:hAnsi="Times New Roman"/>
          <w:sz w:val="20"/>
          <w:szCs w:val="20"/>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At-the-Market Stock Offering</w:t>
      </w:r>
    </w:p>
    <w:p>
      <w:pPr>
        <w:spacing w:after="0" w:line="240"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In September 2022, the Company entered into a sales agreement (the Sales Agreement) with Jefferies LLC (Jefferies) which permitted the Company to sell from time to time, at its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the Company or Jefferies. As of December 31, 2024, the Company sold 4,001,200 shares of common stock under this stock offering program for gross proceeds of $43.0 million.</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40" w:lineRule="exact"/>
        <w:rPr>
          <w:sz w:val="20"/>
          <w:szCs w:val="20"/>
          <w:color w:val="auto"/>
        </w:rPr>
      </w:pPr>
    </w:p>
    <w:p>
      <w:pPr>
        <w:ind w:right="400" w:firstLine="490"/>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240" w:lineRule="exact"/>
        <w:rPr>
          <w:sz w:val="20"/>
          <w:szCs w:val="20"/>
          <w:color w:val="auto"/>
        </w:rPr>
      </w:pPr>
    </w:p>
    <w:p>
      <w:pPr>
        <w:ind w:right="360" w:firstLine="490"/>
        <w:spacing w:after="0" w:line="258" w:lineRule="auto"/>
        <w:rPr>
          <w:sz w:val="20"/>
          <w:szCs w:val="20"/>
          <w:color w:val="auto"/>
        </w:rPr>
      </w:pPr>
      <w:r>
        <w:rPr>
          <w:rFonts w:ascii="Times New Roman" w:cs="Times New Roman" w:eastAsia="Times New Roman" w:hAnsi="Times New Roman"/>
          <w:sz w:val="20"/>
          <w:szCs w:val="20"/>
          <w:color w:val="auto"/>
        </w:rPr>
        <w:t>The Company expects that its existing cash, cash equivalents and marketable securities as of December 31, 2024 of $257.9 million will be sufficient to fund its operating expenses and capital expenditure requirements for at least twelve months from the issuance date of these financial statements or at least into the third quarter of 2026.</w:t>
      </w:r>
    </w:p>
    <w:p>
      <w:pPr>
        <w:spacing w:after="0" w:line="18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Since inception, the Company has incurred significant operating losses and expects to continue to generate operating losses and negative cash flows from operations for the foreseeable future. The Company will need to finance its operations through public or private securities offerings, debt financings or other sources, which may include licensing, collaborations or other strategic transactions or arrangements. If the Company is unable to obtain funding,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316" w:lineRule="exact"/>
        <w:rPr>
          <w:sz w:val="20"/>
          <w:szCs w:val="20"/>
          <w:color w:val="auto"/>
        </w:rPr>
      </w:pPr>
    </w:p>
    <w:p>
      <w:pPr>
        <w:ind w:left="500" w:right="6120" w:hanging="500"/>
        <w:spacing w:after="0" w:line="492" w:lineRule="auto"/>
        <w:tabs>
          <w:tab w:leader="none" w:pos="21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Use of Estimates</w:t>
      </w:r>
    </w:p>
    <w:p>
      <w:pPr>
        <w:spacing w:after="0" w:line="1"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960" w:h="16560" w:orient="portrait"/>
          <w:cols w:equalWidth="0" w:num="1">
            <w:col w:w="10080"/>
          </w:cols>
          <w:pgMar w:left="1440" w:top="1416" w:right="1440" w:bottom="535" w:gutter="0" w:footer="0" w:header="0"/>
        </w:sectPr>
      </w:pPr>
    </w:p>
    <w:bookmarkStart w:id="110" w:name="page111"/>
    <w:bookmarkEnd w:id="110"/>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Cash Equivalents</w:t>
      </w:r>
    </w:p>
    <w:p>
      <w:pPr>
        <w:spacing w:after="0" w:line="24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All highly liquid marketable securities purchased with an original maturity date of 90 days or less at the date of purchase are considered to be cash equivalents. Cash equivalents consisted of money market funds and U.S. Treasury bills as of December 31, 2024 and 2023.</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Investments in Marketable Securities</w:t>
      </w:r>
    </w:p>
    <w:p>
      <w:pPr>
        <w:spacing w:after="0" w:line="24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are reported as a component of accumulated other comprehensive income in stockholders’ equity. Amortization and accretion of premiums and discounts are recorded in interest income. Realized gains and losses are included as a component of other income, net in the consolidated statements of operations.</w:t>
      </w:r>
    </w:p>
    <w:p>
      <w:pPr>
        <w:spacing w:after="0" w:line="202"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credit losses were recorded during the periods presented.</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40"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4" w:lineRule="exact"/>
        <w:rPr>
          <w:sz w:val="20"/>
          <w:szCs w:val="20"/>
          <w:color w:val="auto"/>
        </w:rPr>
      </w:pPr>
    </w:p>
    <w:p>
      <w:pPr>
        <w:ind w:left="1080" w:right="50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Level 1 — Fair values are determined utilizing prices (unadjusted) in active markets for identical assets or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liabilities that the Company has the ability to access.</w:t>
      </w:r>
    </w:p>
    <w:p>
      <w:pPr>
        <w:spacing w:after="0" w:line="65" w:lineRule="exact"/>
        <w:rPr>
          <w:sz w:val="20"/>
          <w:szCs w:val="20"/>
          <w:color w:val="auto"/>
        </w:rPr>
      </w:pPr>
    </w:p>
    <w:p>
      <w:pPr>
        <w:ind w:left="1080" w:right="180" w:hanging="360"/>
        <w:spacing w:after="0" w:line="257"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Level 2 — Fair values are determined by utilizing quoted prices for identical or similar assets and liabilities in</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active markets or other market observable inputs such as interest rates, yield curves, and foreign currency spot rates.</w:t>
      </w:r>
    </w:p>
    <w:p>
      <w:pPr>
        <w:spacing w:after="0" w:line="83" w:lineRule="exact"/>
        <w:rPr>
          <w:sz w:val="20"/>
          <w:szCs w:val="20"/>
          <w:color w:val="auto"/>
        </w:rPr>
      </w:pPr>
    </w:p>
    <w:p>
      <w:pPr>
        <w:ind w:left="1080" w:right="30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Level 3 — Prices or valuations that require inputs that are both significant to the fair value measurement and</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unobservable.</w:t>
      </w:r>
    </w:p>
    <w:p>
      <w:pPr>
        <w:spacing w:after="0" w:line="51"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The fair value of the Company’s cash equivalents and marketable securities are determined according to the fair value hierarchy described below (see Note 4). The carrying values of the Company’s accounts receivable, accounts payable and accrued expenses approximate their fair values due to the short-term nature of these assets and liabilities.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Significant Suppliers</w:t>
      </w:r>
    </w:p>
    <w:p>
      <w:pPr>
        <w:spacing w:after="0" w:line="24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2024 and 2023. At times, the Company’s cash deposits may exceed the amount of federal</w:t>
      </w:r>
    </w:p>
    <w:p>
      <w:pPr>
        <w:sectPr>
          <w:pgSz w:w="12960" w:h="16560" w:orient="portrait"/>
          <w:cols w:equalWidth="0" w:num="1">
            <w:col w:w="10080"/>
          </w:cols>
          <w:pgMar w:left="1440" w:top="1420" w:right="1440"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960" w:h="16560" w:orient="portrait"/>
          <w:cols w:equalWidth="0" w:num="1">
            <w:col w:w="10080"/>
          </w:cols>
          <w:pgMar w:left="1440" w:top="1420" w:right="1440" w:bottom="535" w:gutter="0" w:footer="0" w:header="0"/>
          <w:type w:val="continuous"/>
        </w:sectPr>
      </w:pPr>
    </w:p>
    <w:bookmarkStart w:id="111" w:name="page112"/>
    <w:bookmarkEnd w:id="111"/>
    <w:p>
      <w:pPr>
        <w:ind w:right="380"/>
        <w:spacing w:after="0" w:line="277" w:lineRule="auto"/>
        <w:rPr>
          <w:sz w:val="20"/>
          <w:szCs w:val="20"/>
          <w:color w:val="auto"/>
        </w:rPr>
      </w:pPr>
      <w:r>
        <w:rPr>
          <w:rFonts w:ascii="Times New Roman" w:cs="Times New Roman" w:eastAsia="Times New Roman" w:hAnsi="Times New Roman"/>
          <w:sz w:val="20"/>
          <w:szCs w:val="20"/>
          <w:color w:val="auto"/>
        </w:rPr>
        <w:t>insurance provided on such deposits. The Company has not experienced any losses in such accounts and believes it is not exposed to significant credit risk beyond the normal credit risk associated with commercial banking relationships.</w:t>
      </w:r>
    </w:p>
    <w:p>
      <w:pPr>
        <w:spacing w:after="0" w:line="169"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The Company relies, and expects to continue to rely, on a small number of vendors to perform research activities, drug product and drug substance manufacturing, and clinical trial activities that continue to progress its product candidates for its development programs. These programs could be adversely affected by a significant interruption in the related processes of these vendors.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40" w:lineRule="exact"/>
        <w:rPr>
          <w:sz w:val="20"/>
          <w:szCs w:val="20"/>
          <w:color w:val="auto"/>
        </w:rPr>
      </w:pPr>
    </w:p>
    <w:p>
      <w:pPr>
        <w:jc w:val="both"/>
        <w:ind w:right="200" w:firstLine="490"/>
        <w:spacing w:after="0" w:line="252" w:lineRule="auto"/>
        <w:rPr>
          <w:sz w:val="20"/>
          <w:szCs w:val="20"/>
          <w:color w:val="auto"/>
        </w:rPr>
      </w:pPr>
      <w:r>
        <w:rPr>
          <w:rFonts w:ascii="Times New Roman" w:cs="Times New Roman" w:eastAsia="Times New Roman" w:hAnsi="Times New Roman"/>
          <w:sz w:val="20"/>
          <w:szCs w:val="20"/>
          <w:color w:val="auto"/>
        </w:rPr>
        <w:t>Cash accounts with any type of restriction are considered restricted cash and are classified on the balance sheet based on the length of the restrictive obligation. As of December 31, 2024, 2023, and 2022, the Company recorded restricted cash of $2.6 million, $3.4 million and $4.0 million, respectively, all of which was related to security deposits associated with the Company’s facility leases. For additional information on these security deposits, refer to Note 7, Leases.</w:t>
      </w:r>
    </w:p>
    <w:p>
      <w:pPr>
        <w:spacing w:after="0" w:line="194"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The reconciliation of cash and cash equivalents and restricted cash to amounts presented in the consolidated statements of cash flows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107315</wp:posOffset>
            </wp:positionV>
            <wp:extent cx="6426200" cy="826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extLst>
                    </a:blip>
                    <a:srcRect/>
                    <a:stretch>
                      <a:fillRect/>
                    </a:stretch>
                  </pic:blipFill>
                  <pic:spPr bwMode="auto">
                    <a:xfrm>
                      <a:off x="0" y="0"/>
                      <a:ext cx="6426200" cy="82677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5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54"/>
        </w:trPr>
        <w:tc>
          <w:tcPr>
            <w:tcW w:w="5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10"/>
              <w:spacing w:after="0" w:line="155"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66,385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59,968</w:t>
            </w:r>
          </w:p>
        </w:tc>
      </w:tr>
      <w:tr>
        <w:trPr>
          <w:trHeight w:val="249"/>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2,567</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3,990</w:t>
            </w:r>
          </w:p>
        </w:tc>
      </w:tr>
      <w:tr>
        <w:trPr>
          <w:trHeight w:val="220"/>
        </w:trPr>
        <w:tc>
          <w:tcPr>
            <w:tcW w:w="5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Cash, cash equivalents and restricted cash</w:t>
            </w:r>
          </w:p>
        </w:tc>
        <w:tc>
          <w:tcPr>
            <w:tcW w:w="26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72,097</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69,808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63,958</w:t>
            </w: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4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6426200" cy="878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extLst>
                    </a:blip>
                    <a:srcRect/>
                    <a:stretch>
                      <a:fillRect/>
                    </a:stretch>
                  </pic:blipFill>
                  <pic:spPr bwMode="auto">
                    <a:xfrm>
                      <a:off x="0" y="0"/>
                      <a:ext cx="6426200" cy="87884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00" w:type="dxa"/>
            <w:vAlign w:val="bottom"/>
          </w:tcPr>
          <w:p>
            <w:pPr>
              <w:spacing w:after="0"/>
              <w:rPr>
                <w:sz w:val="17"/>
                <w:szCs w:val="17"/>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200"/>
        </w:trPr>
        <w:tc>
          <w:tcPr>
            <w:tcW w:w="44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Computer equipment</w:t>
            </w:r>
          </w:p>
        </w:tc>
        <w:tc>
          <w:tcPr>
            <w:tcW w:w="200" w:type="dxa"/>
            <w:vAlign w:val="bottom"/>
          </w:tcPr>
          <w:p>
            <w:pPr>
              <w:spacing w:after="0"/>
              <w:rPr>
                <w:sz w:val="17"/>
                <w:szCs w:val="17"/>
                <w:color w:val="auto"/>
              </w:rPr>
            </w:pPr>
          </w:p>
        </w:tc>
        <w:tc>
          <w:tcPr>
            <w:tcW w:w="548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3 years</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20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 years</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0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 years</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20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 years</w:t>
            </w:r>
          </w:p>
        </w:tc>
      </w:tr>
      <w:tr>
        <w:trPr>
          <w:trHeight w:val="266"/>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0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Shorter of remaining lease term or 10 years</w:t>
            </w:r>
          </w:p>
        </w:tc>
      </w:tr>
    </w:tbl>
    <w:p>
      <w:pPr>
        <w:spacing w:after="0" w:line="20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20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40"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w:t>
      </w:r>
    </w:p>
    <w:p>
      <w:pPr>
        <w:sectPr>
          <w:pgSz w:w="12960" w:h="16560" w:orient="portrait"/>
          <w:cols w:equalWidth="0" w:num="1">
            <w:col w:w="10080"/>
          </w:cols>
          <w:pgMar w:left="1440" w:top="1420" w:right="1440" w:bottom="5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960" w:h="16560" w:orient="portrait"/>
          <w:cols w:equalWidth="0" w:num="1">
            <w:col w:w="10080"/>
          </w:cols>
          <w:pgMar w:left="1440" w:top="1420" w:right="1440" w:bottom="546" w:gutter="0" w:footer="0" w:header="0"/>
          <w:type w:val="continuous"/>
        </w:sectPr>
      </w:pPr>
    </w:p>
    <w:bookmarkStart w:id="112" w:name="page113"/>
    <w:bookmarkEnd w:id="112"/>
    <w:p>
      <w:pPr>
        <w:ind w:right="20"/>
        <w:spacing w:after="0" w:line="277" w:lineRule="auto"/>
        <w:rPr>
          <w:sz w:val="20"/>
          <w:szCs w:val="20"/>
          <w:color w:val="auto"/>
        </w:rPr>
      </w:pPr>
      <w:r>
        <w:rPr>
          <w:rFonts w:ascii="Times New Roman" w:cs="Times New Roman" w:eastAsia="Times New Roman" w:hAnsi="Times New Roman"/>
          <w:sz w:val="20"/>
          <w:szCs w:val="20"/>
          <w:color w:val="auto"/>
        </w:rPr>
        <w:t>initial term of 12 months or less are not recorded on the balance sheet. Lease expense is recognized over the expected term on a straight-line basis.</w:t>
      </w:r>
    </w:p>
    <w:p>
      <w:pPr>
        <w:spacing w:after="0" w:line="169" w:lineRule="exact"/>
        <w:rPr>
          <w:sz w:val="20"/>
          <w:szCs w:val="20"/>
          <w:color w:val="auto"/>
        </w:rPr>
      </w:pPr>
    </w:p>
    <w:p>
      <w:pPr>
        <w:jc w:val="both"/>
        <w:ind w:right="60" w:firstLine="490"/>
        <w:spacing w:after="0" w:line="265" w:lineRule="auto"/>
        <w:rPr>
          <w:sz w:val="20"/>
          <w:szCs w:val="20"/>
          <w:color w:val="auto"/>
        </w:rPr>
      </w:pPr>
      <w:r>
        <w:rPr>
          <w:rFonts w:ascii="Times New Roman" w:cs="Times New Roman" w:eastAsia="Times New Roman" w:hAnsi="Times New Roman"/>
          <w:sz w:val="19"/>
          <w:szCs w:val="19"/>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8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40"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(as described below).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202"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The Company’s revenues are primarily generated through its license and collaboration agreements with Gilead. Refer to Note 3, “Collaboration Agreements” elsewhere in these notes to the Company's consolidated financial statements.</w:t>
      </w:r>
    </w:p>
    <w:p>
      <w:pPr>
        <w:spacing w:after="0" w:line="169"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The Company recognizes revenue in accordance with ASC Topic 606, Revenue from Contracts with Customers.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The Company only applies this framework to contracts when it is likely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206"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the identified performance obligations on a relative stand-alone selling price basis, for which the Company recognizes revenue as or when the performance obligations under the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2960" w:h="16560" w:orient="portrait"/>
          <w:cols w:equalWidth="0" w:num="1">
            <w:col w:w="10080"/>
          </w:cols>
          <w:pgMar w:left="1440" w:top="1420" w:right="1440" w:bottom="535" w:gutter="0" w:footer="0" w:header="0"/>
        </w:sectPr>
      </w:pPr>
    </w:p>
    <w:bookmarkStart w:id="113" w:name="page114"/>
    <w:bookmarkEnd w:id="113"/>
    <w:p>
      <w:pPr>
        <w:ind w:right="80"/>
        <w:spacing w:after="0" w:line="252" w:lineRule="auto"/>
        <w:rPr>
          <w:sz w:val="20"/>
          <w:szCs w:val="20"/>
          <w:color w:val="auto"/>
        </w:rPr>
      </w:pPr>
      <w:r>
        <w:rPr>
          <w:rFonts w:ascii="Times New Roman" w:cs="Times New Roman" w:eastAsia="Times New Roman" w:hAnsi="Times New Roman"/>
          <w:sz w:val="20"/>
          <w:szCs w:val="20"/>
          <w:color w:val="auto"/>
        </w:rPr>
        <w:t>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94"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200"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Exclusive License Rights </w:t>
      </w:r>
      <w:r>
        <w:rPr>
          <w:rFonts w:ascii="Times New Roman" w:cs="Times New Roman" w:eastAsia="Times New Roman" w:hAnsi="Times New Roman"/>
          <w:sz w:val="19"/>
          <w:szCs w:val="19"/>
          <w:color w:val="auto"/>
        </w:rPr>
        <w:t>— If the license to the Company’s intellectual property is determined to be distinct from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promises or 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91"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Research and Development Services </w:t>
      </w:r>
      <w:r>
        <w:rPr>
          <w:rFonts w:ascii="Times New Roman" w:cs="Times New Roman" w:eastAsia="Times New Roman" w:hAnsi="Times New Roman"/>
          <w:sz w:val="20"/>
          <w:szCs w:val="20"/>
          <w:color w:val="auto"/>
        </w:rPr>
        <w:t>— The obligations under the Company’s collaboration agreements may include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research and development 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20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Customer Options </w:t>
      </w:r>
      <w:r>
        <w:rPr>
          <w:rFonts w:ascii="Times New Roman" w:cs="Times New Roman" w:eastAsia="Times New Roman" w:hAnsi="Times New Roman"/>
          <w:sz w:val="20"/>
          <w:szCs w:val="20"/>
          <w:color w:val="auto"/>
        </w:rPr>
        <w:t>— The Company’s arrangements may provide a collaborator with the right to acquire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goods or services in the future. 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ectPr>
          <w:pgSz w:w="12960" w:h="16560" w:orient="portrait"/>
          <w:cols w:equalWidth="0" w:num="1">
            <w:col w:w="10080"/>
          </w:cols>
          <w:pgMar w:left="1440" w:top="1420" w:right="1440" w:bottom="546"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960" w:h="16560" w:orient="portrait"/>
          <w:cols w:equalWidth="0" w:num="1">
            <w:col w:w="10080"/>
          </w:cols>
          <w:pgMar w:left="1440" w:top="1420" w:right="1440" w:bottom="546" w:gutter="0" w:footer="0" w:header="0"/>
          <w:type w:val="continuous"/>
        </w:sectPr>
      </w:pPr>
    </w:p>
    <w:bookmarkStart w:id="114" w:name="page115"/>
    <w:bookmarkEnd w:id="114"/>
    <w:p>
      <w:pPr>
        <w:ind w:right="60" w:firstLine="49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Milestone Payments </w:t>
      </w:r>
      <w:r>
        <w:rPr>
          <w:rFonts w:ascii="Times New Roman" w:cs="Times New Roman" w:eastAsia="Times New Roman" w:hAnsi="Times New Roman"/>
          <w:sz w:val="20"/>
          <w:szCs w:val="20"/>
          <w:color w:val="auto"/>
        </w:rPr>
        <w:t>— At the inception of an arrangement that includes development milestone payments,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evaluates whether the milestones are considered likely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213"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Royalties </w:t>
      </w:r>
      <w:r>
        <w:rPr>
          <w:rFonts w:ascii="Times New Roman" w:cs="Times New Roman" w:eastAsia="Times New Roman" w:hAnsi="Times New Roman"/>
          <w:sz w:val="20"/>
          <w:szCs w:val="20"/>
          <w:color w:val="auto"/>
        </w:rPr>
        <w:t>— For arrangements that include sales-based royalties, including milestone payments based on a level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sales, where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40"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our drug discovery efforts and the development of our product candidates. These expenses include salaries, employee benefits, and stock-based compensation expense for our research and development personnel, materials, supplies, depreciation on and maintenance of research equipment, the cost of services provided by outside CROs and consultants to conduct research and development activities including costs of clinical trials and manufacturing,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202" w:lineRule="exact"/>
        <w:rPr>
          <w:sz w:val="20"/>
          <w:szCs w:val="20"/>
          <w:color w:val="auto"/>
        </w:rPr>
      </w:pPr>
    </w:p>
    <w:p>
      <w:pPr>
        <w:jc w:val="both"/>
        <w:ind w:right="40" w:firstLine="490"/>
        <w:spacing w:after="0" w:line="249" w:lineRule="auto"/>
        <w:rPr>
          <w:sz w:val="20"/>
          <w:szCs w:val="20"/>
          <w:color w:val="auto"/>
        </w:rPr>
      </w:pPr>
      <w:r>
        <w:rPr>
          <w:rFonts w:ascii="Times New Roman" w:cs="Times New Roman" w:eastAsia="Times New Roman" w:hAnsi="Times New Roman"/>
          <w:sz w:val="20"/>
          <w:szCs w:val="20"/>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w:t>
      </w:r>
    </w:p>
    <w:p>
      <w:pPr>
        <w:spacing w:after="0" w:line="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Nonrefundable advance payments for goods and services are deferred and recognized as expense in the period that the related goods are consumed or services are performed.</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Patent Costs</w:t>
      </w:r>
    </w:p>
    <w:p>
      <w:pPr>
        <w:spacing w:after="0" w:line="24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4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w:t>
      </w:r>
    </w:p>
    <w:p>
      <w:pPr>
        <w:spacing w:after="0" w:line="200"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auto"/>
        </w:rPr>
        <w:t>The fair value of common stock underlying stock-based awards is based on an estimate at each grant date using the market price of our common stock and each of the assumptions discussed below.</w:t>
      </w:r>
    </w:p>
    <w:p>
      <w:pPr>
        <w:spacing w:after="0" w:line="169" w:lineRule="exact"/>
        <w:rPr>
          <w:sz w:val="20"/>
          <w:szCs w:val="20"/>
          <w:color w:val="auto"/>
        </w:rPr>
      </w:pPr>
    </w:p>
    <w:p>
      <w:pPr>
        <w:ind w:right="160" w:firstLine="490"/>
        <w:spacing w:after="0" w:line="305" w:lineRule="auto"/>
        <w:rPr>
          <w:sz w:val="20"/>
          <w:szCs w:val="20"/>
          <w:color w:val="auto"/>
        </w:rPr>
      </w:pPr>
      <w:r>
        <w:rPr>
          <w:rFonts w:ascii="Times New Roman" w:cs="Times New Roman" w:eastAsia="Times New Roman" w:hAnsi="Times New Roman"/>
          <w:sz w:val="19"/>
          <w:szCs w:val="19"/>
          <w:i w:val="1"/>
          <w:iCs w:val="1"/>
          <w:color w:val="auto"/>
        </w:rPr>
        <w:t xml:space="preserve">Expected Term </w:t>
      </w:r>
      <w:r>
        <w:rPr>
          <w:rFonts w:ascii="Times New Roman" w:cs="Times New Roman" w:eastAsia="Times New Roman" w:hAnsi="Times New Roman"/>
          <w:sz w:val="19"/>
          <w:szCs w:val="19"/>
          <w:color w:val="auto"/>
        </w:rPr>
        <w:t>— The expected term of the stock options is estimated using the “simplified method,” as prescribed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SEC’s Staff Accounting Bulletin (SAB) No. 107, as the Company has limited historical information from which to develop</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2960" w:h="16560" w:orient="portrait"/>
          <w:cols w:equalWidth="0" w:num="1">
            <w:col w:w="10080"/>
          </w:cols>
          <w:pgMar w:left="1440" w:top="1420" w:right="1440" w:bottom="535" w:gutter="0" w:footer="0" w:header="0"/>
        </w:sectPr>
      </w:pPr>
    </w:p>
    <w:bookmarkStart w:id="115" w:name="page116"/>
    <w:bookmarkEnd w:id="115"/>
    <w:p>
      <w:pPr>
        <w:ind w:right="80"/>
        <w:spacing w:after="0" w:line="277" w:lineRule="auto"/>
        <w:rPr>
          <w:sz w:val="20"/>
          <w:szCs w:val="20"/>
          <w:color w:val="auto"/>
        </w:rPr>
      </w:pPr>
      <w:r>
        <w:rPr>
          <w:rFonts w:ascii="Times New Roman" w:cs="Times New Roman" w:eastAsia="Times New Roman" w:hAnsi="Times New Roman"/>
          <w:sz w:val="20"/>
          <w:szCs w:val="20"/>
          <w:color w:val="auto"/>
        </w:rPr>
        <w:t>reasonable expectations about future exercise patterns and post-vesting employment termination behavior for its stock option grants. The simplified method is the midpoint between the vesting period and the contractual term of the option.</w:t>
      </w:r>
    </w:p>
    <w:p>
      <w:pPr>
        <w:spacing w:after="0" w:line="169"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Since there is limited historical data for the Company’s common stock and limited company-specific historical volatility, the 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9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 The risk-free rate is based on the U.S. Treasury yield curve commensurate with the expected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life of the option.</w:t>
      </w:r>
    </w:p>
    <w:p>
      <w:pPr>
        <w:spacing w:after="0" w:line="169"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Dividend Rate </w:t>
      </w:r>
      <w:r>
        <w:rPr>
          <w:rFonts w:ascii="Times New Roman" w:cs="Times New Roman" w:eastAsia="Times New Roman" w:hAnsi="Times New Roman"/>
          <w:sz w:val="20"/>
          <w:szCs w:val="20"/>
          <w:color w:val="auto"/>
        </w:rPr>
        <w:t>— The expected dividend is assumed to be zero as the Company has never paid dividends and has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 plans to do so.</w:t>
      </w:r>
    </w:p>
    <w:p>
      <w:pPr>
        <w:spacing w:after="0" w:line="169"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88"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40" w:lineRule="exact"/>
        <w:rPr>
          <w:sz w:val="20"/>
          <w:szCs w:val="20"/>
          <w:color w:val="auto"/>
        </w:rPr>
      </w:pPr>
    </w:p>
    <w:p>
      <w:pPr>
        <w:ind w:right="200" w:firstLine="490"/>
        <w:spacing w:after="0" w:line="245"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20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200"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auto"/>
        </w:rPr>
        <w:t>Penalties and interest expense related to income taxes are included as components of income tax expense and interest expense, respectively, as necessary.</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240"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auto"/>
        </w:rPr>
        <w:t>Comprehensive income (loss) includes net income (loss) as well as other changes in stockholders’ equity that result from transactions and economic events other than those with stockholders. The Company’s only element of other comprehensive income (loss) for the years ended December 31, 2024, 2023, and 2022 was unrealized gains (losses) on investments in marketable securities.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240" w:lineRule="exact"/>
        <w:rPr>
          <w:sz w:val="20"/>
          <w:szCs w:val="20"/>
          <w:color w:val="auto"/>
        </w:rPr>
      </w:pPr>
    </w:p>
    <w:p>
      <w:pPr>
        <w:ind w:right="80" w:firstLine="490"/>
        <w:spacing w:after="0" w:line="270" w:lineRule="auto"/>
        <w:rPr>
          <w:sz w:val="20"/>
          <w:szCs w:val="20"/>
          <w:color w:val="auto"/>
        </w:rPr>
      </w:pPr>
      <w:r>
        <w:rPr>
          <w:rFonts w:ascii="Times New Roman" w:cs="Times New Roman" w:eastAsia="Times New Roman" w:hAnsi="Times New Roman"/>
          <w:sz w:val="19"/>
          <w:szCs w:val="19"/>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F-14</w:t>
      </w:r>
    </w:p>
    <w:p>
      <w:pPr>
        <w:sectPr>
          <w:pgSz w:w="12960" w:h="16560" w:orient="portrait"/>
          <w:cols w:equalWidth="0" w:num="1">
            <w:col w:w="10080"/>
          </w:cols>
          <w:pgMar w:left="1440" w:top="1420" w:right="1440" w:bottom="535" w:gutter="0" w:footer="0" w:header="0"/>
        </w:sectPr>
      </w:pPr>
    </w:p>
    <w:bookmarkStart w:id="116" w:name="page117"/>
    <w:bookmarkEnd w:id="116"/>
    <w:p>
      <w:pPr>
        <w:spacing w:after="0" w:line="246" w:lineRule="auto"/>
        <w:rPr>
          <w:sz w:val="20"/>
          <w:szCs w:val="20"/>
          <w:color w:val="auto"/>
        </w:rPr>
      </w:pPr>
      <w:r>
        <w:rPr>
          <w:rFonts w:ascii="Times New Roman" w:cs="Times New Roman" w:eastAsia="Times New Roman" w:hAnsi="Times New Roman"/>
          <w:sz w:val="20"/>
          <w:szCs w:val="20"/>
          <w:color w:val="auto"/>
        </w:rPr>
        <w:t>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unvested restricted stock have no obligation to fund losses.</w:t>
      </w:r>
    </w:p>
    <w:p>
      <w:pPr>
        <w:spacing w:after="0" w:line="20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20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Issued and unexercised pre-funded warrants are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shares underlying pre-funded warrants are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Commitments and Contingencies</w:t>
      </w:r>
    </w:p>
    <w:p>
      <w:pPr>
        <w:spacing w:after="0" w:line="240"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24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as required.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4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9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In November 2023, the FASB issued ASU 2023-07, "</w:t>
      </w:r>
      <w:r>
        <w:rPr>
          <w:rFonts w:ascii="Times New Roman" w:cs="Times New Roman" w:eastAsia="Times New Roman" w:hAnsi="Times New Roman"/>
          <w:sz w:val="20"/>
          <w:szCs w:val="20"/>
          <w:i w:val="1"/>
          <w:iCs w:val="1"/>
          <w:color w:val="auto"/>
        </w:rPr>
        <w:t>Segment Reporting (Topic 280): Improvements to Reportable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Segment Disclosures.</w:t>
      </w:r>
      <w:r>
        <w:rPr>
          <w:rFonts w:ascii="Times New Roman" w:cs="Times New Roman" w:eastAsia="Times New Roman" w:hAnsi="Times New Roman"/>
          <w:sz w:val="20"/>
          <w:szCs w:val="20"/>
          <w:color w:val="auto"/>
        </w:rPr>
        <w:t>" The standard is intended to improve financial reporting by requiring disclosure of incremental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 information on an annual and interim basis for all public entities to enable investors to develop more decision-useful financial analyses. The standard is effective for fiscal years beginning after December 15, 2023, and interim periods within fiscal years beginning after December 15, 2024. Upon adoption, the standard should be applied retrospectively to all prior periods presented in the financial statements. The Company adopted the new standard on January 1, 2024 and applied the disclosure requirements presented in the financial statements.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24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In December 2023, the FASB issued ASU 2023-09, "</w:t>
      </w:r>
      <w:r>
        <w:rPr>
          <w:rFonts w:ascii="Times New Roman" w:cs="Times New Roman" w:eastAsia="Times New Roman" w:hAnsi="Times New Roman"/>
          <w:sz w:val="20"/>
          <w:szCs w:val="20"/>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The standard is intended to enhance the existing income tax disclosures to provide information to better assess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how an entity’s operations and related tax risks and tax planning and operational opportunities affect its tax rate and prospects for future cash flows. The standard is effective for annual periods beginning after December 15, 2024. Upon adoption, the standard should be applied on a prospective basis, although retrospective application is permitted. Early adoption is permitted. The Company is evaluating the potential impact of this adoption on the consolidated financial statements and related disclosures.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960" w:h="16560" w:orient="portrait"/>
          <w:cols w:equalWidth="0" w:num="1">
            <w:col w:w="10080"/>
          </w:cols>
          <w:pgMar w:left="1440" w:top="1420" w:right="1440" w:bottom="535"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3. Collaboration Agreements</w:t>
      </w:r>
    </w:p>
    <w:p>
      <w:pPr>
        <w:spacing w:after="0" w:line="24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94"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88" w:lineRule="exact"/>
        <w:rPr>
          <w:sz w:val="20"/>
          <w:szCs w:val="20"/>
          <w:color w:val="auto"/>
        </w:rPr>
      </w:pPr>
    </w:p>
    <w:p>
      <w:pPr>
        <w:ind w:left="1080" w:right="8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Company received upfront, non-refundable consideration of $125.0 million from Gilead upon execution of</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Gilead Agreement in 2020;</w:t>
      </w:r>
    </w:p>
    <w:p>
      <w:pPr>
        <w:spacing w:after="0" w:line="65" w:lineRule="exact"/>
        <w:rPr>
          <w:sz w:val="20"/>
          <w:szCs w:val="20"/>
          <w:color w:val="auto"/>
        </w:rPr>
      </w:pPr>
    </w:p>
    <w:p>
      <w:pPr>
        <w:ind w:left="1080" w:right="40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term of the 2018 Gilead Agreement ended on the date the Gilead Agreement was executed. The Gilead</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Agreement has a research term of seven years;</w:t>
      </w:r>
    </w:p>
    <w:p>
      <w:pPr>
        <w:spacing w:after="0" w:line="65" w:lineRule="exact"/>
        <w:rPr>
          <w:sz w:val="20"/>
          <w:szCs w:val="20"/>
          <w:color w:val="auto"/>
        </w:rPr>
      </w:pPr>
    </w:p>
    <w:p>
      <w:pPr>
        <w:ind w:left="1080" w:right="420" w:hanging="360"/>
        <w:spacing w:after="0" w:line="275"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Gilead expanded its option to license up to 15 programs for which Gilead may obtain exclusive, worldwide</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licenses to develop and commercialize therapies, subject to applicable license fees;</w:t>
      </w:r>
    </w:p>
    <w:p>
      <w:pPr>
        <w:spacing w:after="0" w:line="65" w:lineRule="exact"/>
        <w:rPr>
          <w:sz w:val="20"/>
          <w:szCs w:val="20"/>
          <w:color w:val="auto"/>
        </w:rPr>
      </w:pPr>
    </w:p>
    <w:p>
      <w:pPr>
        <w:ind w:left="1080" w:right="240" w:hanging="360"/>
        <w:spacing w:after="0" w:line="257"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Prior to exercising its option to license a program, Gilead may “extend” such program, in which case Gilead</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will pay research option-extension fees and the Company will continue to collaborate with Gilead to discover and develop programs, potentially through early clinical development;</w:t>
      </w:r>
    </w:p>
    <w:p>
      <w:pPr>
        <w:spacing w:after="0" w:line="83" w:lineRule="exact"/>
        <w:rPr>
          <w:sz w:val="20"/>
          <w:szCs w:val="20"/>
          <w:color w:val="auto"/>
        </w:rPr>
      </w:pPr>
    </w:p>
    <w:p>
      <w:pPr>
        <w:ind w:left="1080" w:right="140" w:hanging="360"/>
        <w:spacing w:after="0" w:line="248"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Gilead has the option to “reserve” a target during which Gilead may: (i) license the target, (ii) “extend” the</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94" w:lineRule="exact"/>
        <w:rPr>
          <w:sz w:val="20"/>
          <w:szCs w:val="20"/>
          <w:color w:val="auto"/>
        </w:rPr>
      </w:pPr>
    </w:p>
    <w:p>
      <w:pPr>
        <w:ind w:left="1080" w:right="80" w:hanging="360"/>
        <w:spacing w:after="0" w:line="257" w:lineRule="auto"/>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For up to five programs licensed by Gilead, the Company has the option to co-develop and co-promote the lead</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product in the U.S., subject to certain exceptions, and is eligible to receive tiered royalties in the first decile on ex-U.S. sales.</w:t>
      </w:r>
    </w:p>
    <w:p>
      <w:pPr>
        <w:spacing w:after="0" w:line="189"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The Company is eligible to receive up to $410.0 million per program in license, research option-extension, and clinical, regulatory, and commercial milestones and royalties on future sales of commercialized products, if any.</w:t>
      </w:r>
    </w:p>
    <w:p>
      <w:pPr>
        <w:spacing w:after="0" w:line="16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In August 2020, Gilead also made an equity investment of $20.0 million into the Company as a participant in the Company’s Series B-1 preferred stock offering. At the time of the original investment, including as of the December 31, 2024 balance sheet date, and based on current ownership of common stock, Gilead is not considered to be a related party to the Company.</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Accounting for the Gilead Collaboration</w:t>
      </w:r>
    </w:p>
    <w:p>
      <w:pPr>
        <w:spacing w:after="0" w:line="240"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auto"/>
        </w:rPr>
        <w:t>The Gilead Agreement is accounted for under ASC 606.The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Gilead Revenue Recognized</w:t>
      </w:r>
    </w:p>
    <w:p>
      <w:pPr>
        <w:spacing w:after="0" w:line="24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total transaction price allocated to the combined performance obligation under the Gilead Agreement was $199.0 million at December 31, 2024. The total transaction price was comprised of the $50.0 million upfront payment pursuant to the 2018 Gilead Agreement, the $125.0 million upfront payment pursuant to the Gilead Agreement, and $24.0 million payment pursuant to the research option-extension fee in December 2020 and in September 2021. During the years ended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F-16</w:t>
      </w:r>
    </w:p>
    <w:p>
      <w:pPr>
        <w:sectPr>
          <w:pgSz w:w="12960" w:h="16560" w:orient="portrait"/>
          <w:cols w:equalWidth="0" w:num="1">
            <w:col w:w="10080"/>
          </w:cols>
          <w:pgMar w:left="1440" w:top="1416" w:right="1440" w:bottom="535" w:gutter="0" w:footer="0" w:header="0"/>
        </w:sectPr>
      </w:pPr>
    </w:p>
    <w:bookmarkStart w:id="118" w:name="page119"/>
    <w:bookmarkEnd w:id="118"/>
    <w:p>
      <w:pPr>
        <w:ind w:right="180"/>
        <w:spacing w:after="0" w:line="305" w:lineRule="auto"/>
        <w:rPr>
          <w:sz w:val="20"/>
          <w:szCs w:val="20"/>
          <w:color w:val="auto"/>
        </w:rPr>
      </w:pPr>
      <w:r>
        <w:rPr>
          <w:rFonts w:ascii="Times New Roman" w:cs="Times New Roman" w:eastAsia="Times New Roman" w:hAnsi="Times New Roman"/>
          <w:sz w:val="19"/>
          <w:szCs w:val="19"/>
          <w:color w:val="auto"/>
        </w:rPr>
        <w:t>December 31, 2024, 2023, and 2022 the Company recognized $30.0 million, $31.5 million, and $24.9 million, respectively, of collaboration revenue associated with the Gilead agreements based on performance completed during each period.</w:t>
      </w:r>
    </w:p>
    <w:p>
      <w:pPr>
        <w:spacing w:after="0" w:line="145"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2024 and 2023, the Company had short-term deferred revenue of $17.6 million and $25.7 million, respectively, and long-term deferred revenue of $44.8 million and $66.7 million, respectively, related to the Gilead collaboration. The remaining long-term deferred revenue is expected to be recognized proportionally to the completed obligations over an expected remaining contractual term of approximately 2.6 years.</w:t>
      </w:r>
    </w:p>
    <w:p>
      <w:pPr>
        <w:spacing w:after="0" w:line="20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In June 2023, Gilead licensed a drug discovery program for a $5.0 million license fee. In June 2024, Gilead licensed a drug discovery program for a $12.0 million license fee. These license fees were recognized as revenue in the second quarter of 2024 and 2023, respectively, as the Company has no continued involvement in the advancement of the program, Gilead can benefit from the license on its own, and the license is separately identifiable from the research services.</w:t>
      </w:r>
    </w:p>
    <w:p>
      <w:pPr>
        <w:spacing w:after="0" w:line="194" w:lineRule="exact"/>
        <w:rPr>
          <w:sz w:val="20"/>
          <w:szCs w:val="20"/>
          <w:color w:val="auto"/>
        </w:rPr>
      </w:pPr>
    </w:p>
    <w:p>
      <w:pPr>
        <w:ind w:right="540" w:firstLine="490"/>
        <w:spacing w:after="0" w:line="258" w:lineRule="auto"/>
        <w:rPr>
          <w:sz w:val="20"/>
          <w:szCs w:val="20"/>
          <w:color w:val="auto"/>
        </w:rPr>
      </w:pPr>
      <w:r>
        <w:rPr>
          <w:rFonts w:ascii="Times New Roman" w:cs="Times New Roman" w:eastAsia="Times New Roman" w:hAnsi="Times New Roman"/>
          <w:sz w:val="20"/>
          <w:szCs w:val="20"/>
          <w:color w:val="auto"/>
        </w:rPr>
        <w:t>Amounts due to the Company that have not yet been received are recorded as accounts receivable and amounts received that have not yet been recognized as revenue are recorded as deferred revenue on the Company’s consolidated balance sheets.</w:t>
      </w:r>
    </w:p>
    <w:p>
      <w:pPr>
        <w:spacing w:after="0" w:line="188" w:lineRule="exact"/>
        <w:rPr>
          <w:sz w:val="20"/>
          <w:szCs w:val="20"/>
          <w:color w:val="auto"/>
        </w:rPr>
      </w:pPr>
    </w:p>
    <w:p>
      <w:pPr>
        <w:ind w:right="740" w:firstLine="490"/>
        <w:spacing w:after="0" w:line="277" w:lineRule="auto"/>
        <w:rPr>
          <w:sz w:val="20"/>
          <w:szCs w:val="20"/>
          <w:color w:val="auto"/>
        </w:rPr>
      </w:pPr>
      <w:r>
        <w:rPr>
          <w:rFonts w:ascii="Times New Roman" w:cs="Times New Roman" w:eastAsia="Times New Roman" w:hAnsi="Times New Roman"/>
          <w:sz w:val="20"/>
          <w:szCs w:val="20"/>
          <w:color w:val="auto"/>
        </w:rPr>
        <w:t>Costs incurred pursuant to the Gilead Agreement and the 2018 Gilead Agreement are recorded as research and development expense.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measured at fair value on a recurring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127635</wp:posOffset>
            </wp:positionV>
            <wp:extent cx="6426200" cy="1534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extLst>
                    </a:blip>
                    <a:srcRect/>
                    <a:stretch>
                      <a:fillRect/>
                    </a:stretch>
                  </pic:blipFill>
                  <pic:spPr bwMode="auto">
                    <a:xfrm>
                      <a:off x="0" y="0"/>
                      <a:ext cx="6426200" cy="153416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gridSpan w:val="11"/>
          </w:tcPr>
          <w:p>
            <w:pPr>
              <w:ind w:left="180"/>
              <w:spacing w:after="0"/>
              <w:rPr>
                <w:sz w:val="20"/>
                <w:szCs w:val="20"/>
                <w:color w:val="auto"/>
              </w:rPr>
            </w:pPr>
            <w:r>
              <w:rPr>
                <w:rFonts w:ascii="Times New Roman" w:cs="Times New Roman" w:eastAsia="Times New Roman" w:hAnsi="Times New Roman"/>
                <w:sz w:val="16"/>
                <w:szCs w:val="16"/>
                <w:b w:val="1"/>
                <w:bCs w:val="1"/>
                <w:color w:val="auto"/>
              </w:rPr>
              <w:t>Fair Market Value Measurements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3"/>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8"/>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80"/>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6"/>
                <w:szCs w:val="16"/>
                <w:b w:val="1"/>
                <w:bCs w:val="1"/>
                <w:color w:val="auto"/>
              </w:rPr>
              <w:t>(in</w:t>
            </w:r>
          </w:p>
        </w:tc>
        <w:tc>
          <w:tcPr>
            <w:tcW w:w="1240" w:type="dxa"/>
            <w:vAlign w:val="bottom"/>
            <w:gridSpan w:val="5"/>
          </w:tcPr>
          <w:p>
            <w:pPr>
              <w:jc w:val="center"/>
              <w:ind w:right="543"/>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14,915</w:t>
            </w:r>
          </w:p>
        </w:tc>
        <w:tc>
          <w:tcPr>
            <w:tcW w:w="20" w:type="dxa"/>
            <w:vAlign w:val="bottom"/>
          </w:tcPr>
          <w:p>
            <w:pPr>
              <w:spacing w:after="0"/>
              <w:rPr>
                <w:sz w:val="19"/>
                <w:szCs w:val="19"/>
                <w:color w:val="auto"/>
              </w:rPr>
            </w:pPr>
          </w:p>
        </w:tc>
        <w:tc>
          <w:tcPr>
            <w:tcW w:w="4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14,915</w:t>
            </w:r>
          </w:p>
        </w:tc>
        <w:tc>
          <w:tcPr>
            <w:tcW w:w="0" w:type="dxa"/>
            <w:vAlign w:val="bottom"/>
          </w:tcPr>
          <w:p>
            <w:pPr>
              <w:spacing w:after="0"/>
              <w:rPr>
                <w:sz w:val="1"/>
                <w:szCs w:val="1"/>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10,112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auto"/>
              </w:rPr>
              <w:t>Marketable debt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176,374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176,374</w:t>
            </w:r>
          </w:p>
        </w:tc>
        <w:tc>
          <w:tcPr>
            <w:tcW w:w="0" w:type="dxa"/>
            <w:vAlign w:val="bottom"/>
          </w:tcPr>
          <w:p>
            <w:pPr>
              <w:spacing w:after="0"/>
              <w:rPr>
                <w:sz w:val="1"/>
                <w:szCs w:val="1"/>
                <w:color w:val="auto"/>
              </w:rPr>
            </w:pPr>
          </w:p>
        </w:tc>
      </w:tr>
      <w:tr>
        <w:trPr>
          <w:trHeight w:val="249"/>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government agency bonds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12,013</w:t>
            </w:r>
          </w:p>
        </w:tc>
        <w:tc>
          <w:tcPr>
            <w:tcW w:w="0" w:type="dxa"/>
            <w:vAlign w:val="bottom"/>
          </w:tcPr>
          <w:p>
            <w:pPr>
              <w:spacing w:after="0"/>
              <w:rPr>
                <w:sz w:val="1"/>
                <w:szCs w:val="1"/>
                <w:color w:val="auto"/>
              </w:rPr>
            </w:pPr>
          </w:p>
        </w:tc>
      </w:tr>
      <w:tr>
        <w:trPr>
          <w:trHeight w:val="220"/>
        </w:trPr>
        <w:tc>
          <w:tcPr>
            <w:tcW w:w="51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220" w:type="dxa"/>
            <w:vAlign w:val="bottom"/>
            <w:tcBorders>
              <w:top w:val="single" w:sz="8" w:color="auto"/>
              <w:bottom w:val="single" w:sz="8" w:color="auto"/>
            </w:tcBorders>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14,915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198,499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ind w:left="64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213,414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10"/>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Fair Market Value Measurements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60"/>
              <w:spacing w:after="0" w:line="174"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80"/>
              <w:spacing w:after="0" w:line="174"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00"/>
              <w:spacing w:after="0" w:line="174"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3"/>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1240" w:type="dxa"/>
            <w:vAlign w:val="bottom"/>
            <w:gridSpan w:val="5"/>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80"/>
              </w:rPr>
              <w:t>thousands)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14,361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4,710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auto"/>
              </w:rPr>
              <w:t>Marketable debt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194,763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government agency bonds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75,737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1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14,361</w:t>
            </w:r>
          </w:p>
        </w:tc>
        <w:tc>
          <w:tcPr>
            <w:tcW w:w="24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275,210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bottom w:val="single" w:sz="8" w:color="auto"/>
            </w:tcBorders>
            <w:gridSpan w:val="2"/>
          </w:tcPr>
          <w:p>
            <w:pPr>
              <w:ind w:left="66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289,571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-1549400</wp:posOffset>
            </wp:positionV>
            <wp:extent cx="6426200" cy="1534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a:extLst>
                        <a:ext uri="{28A0092B-C50C-407E-A947-70E740481C1C}"/>
                      </a:extLst>
                    </a:blip>
                    <a:srcRect/>
                    <a:stretch>
                      <a:fillRect/>
                    </a:stretch>
                  </pic:blipFill>
                  <pic:spPr bwMode="auto">
                    <a:xfrm>
                      <a:off x="0" y="0"/>
                      <a:ext cx="6426200" cy="1534160"/>
                    </a:xfrm>
                    <a:prstGeom prst="rect">
                      <a:avLst/>
                    </a:prstGeom>
                    <a:noFill/>
                  </pic:spPr>
                </pic:pic>
              </a:graphicData>
            </a:graphic>
          </wp:anchor>
        </w:drawing>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There were no transfers between fair value levels during the years ended December 31, 2024 and 2023.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Marketable Securities</w:t>
      </w:r>
    </w:p>
    <w:p>
      <w:pPr>
        <w:spacing w:after="0" w:line="24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The Company values its marketable securities using independent pricing services which normally derive security prices from recently reported trades for identical or similar securities, making adjustments based on significant observable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2960" w:h="16560" w:orient="portrait"/>
          <w:cols w:equalWidth="0" w:num="1">
            <w:col w:w="10080"/>
          </w:cols>
          <w:pgMar w:left="1440" w:top="1420" w:right="1440" w:bottom="535" w:gutter="0" w:footer="0" w:header="0"/>
        </w:sectPr>
      </w:pPr>
    </w:p>
    <w:bookmarkStart w:id="119" w:name="page120"/>
    <w:bookmarkEnd w:id="119"/>
    <w:p>
      <w:pPr>
        <w:ind w:right="320"/>
        <w:spacing w:after="0" w:line="277" w:lineRule="auto"/>
        <w:rPr>
          <w:sz w:val="20"/>
          <w:szCs w:val="20"/>
          <w:color w:val="auto"/>
        </w:rPr>
      </w:pPr>
      <w:r>
        <w:rPr>
          <w:rFonts w:ascii="Times New Roman" w:cs="Times New Roman" w:eastAsia="Times New Roman" w:hAnsi="Times New Roman"/>
          <w:sz w:val="20"/>
          <w:szCs w:val="20"/>
          <w:color w:val="auto"/>
        </w:rPr>
        <w:t>transactions. At each balance sheet date, observable market inputs may include trade information, broker or dealer quotes, bids, offers or a combination of these data sources.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the Company’s marketable debt securities, classified as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116205</wp:posOffset>
            </wp:positionV>
            <wp:extent cx="6426200" cy="132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extLst>
                        <a:ext uri="{28A0092B-C50C-407E-A947-70E740481C1C}"/>
                      </a:extLst>
                    </a:blip>
                    <a:srcRect/>
                    <a:stretch>
                      <a:fillRect/>
                    </a:stretch>
                  </pic:blipFill>
                  <pic:spPr bwMode="auto">
                    <a:xfrm>
                      <a:off x="0" y="0"/>
                      <a:ext cx="6426200" cy="13296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as of December 31, 2024</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5"/>
                <w:szCs w:val="15"/>
                <w:color w:val="auto"/>
              </w:rPr>
            </w:pPr>
          </w:p>
        </w:tc>
        <w:tc>
          <w:tcPr>
            <w:tcW w:w="104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4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Marketable debt securities: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(in</w:t>
            </w:r>
          </w:p>
        </w:tc>
        <w:tc>
          <w:tcPr>
            <w:tcW w:w="1460" w:type="dxa"/>
            <w:vAlign w:val="bottom"/>
            <w:gridSpan w:val="3"/>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176,049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176,374</w:t>
            </w:r>
          </w:p>
        </w:tc>
        <w:tc>
          <w:tcPr>
            <w:tcW w:w="0" w:type="dxa"/>
            <w:vAlign w:val="bottom"/>
          </w:tcPr>
          <w:p>
            <w:pPr>
              <w:spacing w:after="0"/>
              <w:rPr>
                <w:sz w:val="1"/>
                <w:szCs w:val="1"/>
                <w:color w:val="auto"/>
              </w:rPr>
            </w:pPr>
          </w:p>
        </w:tc>
      </w:tr>
      <w:tr>
        <w:trPr>
          <w:trHeight w:val="249"/>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government agency bonds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12,013</w:t>
            </w:r>
          </w:p>
        </w:tc>
        <w:tc>
          <w:tcPr>
            <w:tcW w:w="0" w:type="dxa"/>
            <w:vAlign w:val="bottom"/>
          </w:tcPr>
          <w:p>
            <w:pPr>
              <w:spacing w:after="0"/>
              <w:rPr>
                <w:sz w:val="1"/>
                <w:szCs w:val="1"/>
                <w:color w:val="auto"/>
              </w:rPr>
            </w:pPr>
          </w:p>
        </w:tc>
      </w:tr>
      <w:tr>
        <w:trPr>
          <w:trHeight w:val="220"/>
        </w:trPr>
        <w:tc>
          <w:tcPr>
            <w:tcW w:w="4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188,051</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188,387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as of December 31, 2023</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44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Marketable debt securities: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(in</w:t>
            </w:r>
          </w:p>
        </w:tc>
        <w:tc>
          <w:tcPr>
            <w:tcW w:w="1460" w:type="dxa"/>
            <w:vAlign w:val="bottom"/>
            <w:gridSpan w:val="3"/>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420" w:type="dxa"/>
            <w:vAlign w:val="bottom"/>
            <w:gridSpan w:val="2"/>
          </w:tcPr>
          <w:p>
            <w:pPr>
              <w:jc w:val="center"/>
              <w:ind w:left="70"/>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194,763</w:t>
            </w:r>
          </w:p>
        </w:tc>
        <w:tc>
          <w:tcPr>
            <w:tcW w:w="0" w:type="dxa"/>
            <w:vAlign w:val="bottom"/>
          </w:tcPr>
          <w:p>
            <w:pPr>
              <w:spacing w:after="0"/>
              <w:rPr>
                <w:sz w:val="1"/>
                <w:szCs w:val="1"/>
                <w:color w:val="auto"/>
              </w:rPr>
            </w:pPr>
          </w:p>
        </w:tc>
      </w:tr>
      <w:tr>
        <w:trPr>
          <w:trHeight w:val="249"/>
        </w:trPr>
        <w:tc>
          <w:tcPr>
            <w:tcW w:w="4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government agency bonds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75,853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(139)</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75,737</w:t>
            </w:r>
          </w:p>
        </w:tc>
        <w:tc>
          <w:tcPr>
            <w:tcW w:w="0" w:type="dxa"/>
            <w:vAlign w:val="bottom"/>
          </w:tcPr>
          <w:p>
            <w:pPr>
              <w:spacing w:after="0"/>
              <w:rPr>
                <w:sz w:val="1"/>
                <w:szCs w:val="1"/>
                <w:color w:val="auto"/>
              </w:rPr>
            </w:pPr>
          </w:p>
        </w:tc>
      </w:tr>
      <w:tr>
        <w:trPr>
          <w:trHeight w:val="220"/>
        </w:trPr>
        <w:tc>
          <w:tcPr>
            <w:tcW w:w="4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270,314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381</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270,500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-1344930</wp:posOffset>
            </wp:positionV>
            <wp:extent cx="6426200" cy="132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a:extLst>
                        <a:ext uri="{28A0092B-C50C-407E-A947-70E740481C1C}"/>
                      </a:extLst>
                    </a:blip>
                    <a:srcRect/>
                    <a:stretch>
                      <a:fillRect/>
                    </a:stretch>
                  </pic:blipFill>
                  <pic:spPr bwMode="auto">
                    <a:xfrm>
                      <a:off x="0" y="0"/>
                      <a:ext cx="6426200" cy="1329690"/>
                    </a:xfrm>
                    <a:prstGeom prst="rect">
                      <a:avLst/>
                    </a:prstGeom>
                    <a:noFill/>
                  </pic:spPr>
                </pic:pic>
              </a:graphicData>
            </a:graphic>
          </wp:anchor>
        </w:drawing>
      </w:r>
    </w:p>
    <w:p>
      <w:pPr>
        <w:spacing w:after="0" w:line="201" w:lineRule="exact"/>
        <w:rPr>
          <w:sz w:val="20"/>
          <w:szCs w:val="20"/>
          <w:color w:val="auto"/>
        </w:rPr>
      </w:pPr>
    </w:p>
    <w:p>
      <w:pPr>
        <w:jc w:val="both"/>
        <w:ind w:right="100" w:firstLine="490"/>
        <w:spacing w:after="0" w:line="277" w:lineRule="auto"/>
        <w:rPr>
          <w:sz w:val="20"/>
          <w:szCs w:val="20"/>
          <w:color w:val="auto"/>
        </w:rPr>
      </w:pPr>
      <w:r>
        <w:rPr>
          <w:rFonts w:ascii="Times New Roman" w:cs="Times New Roman" w:eastAsia="Times New Roman" w:hAnsi="Times New Roman"/>
          <w:sz w:val="20"/>
          <w:szCs w:val="20"/>
          <w:color w:val="auto"/>
        </w:rPr>
        <w:t>The aggregate fair value of marketable debt securities with a contractual maturity date greater than one year was $24.4 million as of December 31, 2024.</w:t>
      </w:r>
    </w:p>
    <w:p>
      <w:pPr>
        <w:spacing w:after="0" w:line="169"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fair value and gross unrealized losses aggregated by category and the length of time that individual securities have been in an unrealized loss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107315</wp:posOffset>
            </wp:positionV>
            <wp:extent cx="6426200" cy="1172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a:extLst>
                        <a:ext uri="{28A0092B-C50C-407E-A947-70E740481C1C}"/>
                      </a:extLst>
                    </a:blip>
                    <a:srcRect/>
                    <a:stretch>
                      <a:fillRect/>
                    </a:stretch>
                  </pic:blipFill>
                  <pic:spPr bwMode="auto">
                    <a:xfrm>
                      <a:off x="0" y="0"/>
                      <a:ext cx="6426200" cy="1172210"/>
                    </a:xfrm>
                    <a:prstGeom prst="rect">
                      <a:avLst/>
                    </a:prstGeom>
                    <a:noFill/>
                  </pic:spPr>
                </pic:pic>
              </a:graphicData>
            </a:graphic>
          </wp:anchor>
        </w:drawing>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1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Greater than twelve months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60"/>
              <w:spacing w:after="0" w:line="169"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right"/>
              <w:ind w:right="68"/>
              <w:spacing w:after="0" w:line="169"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loss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73"/>
        </w:trPr>
        <w:tc>
          <w:tcPr>
            <w:tcW w:w="2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Treasury bills</w:t>
            </w:r>
          </w:p>
        </w:tc>
        <w:tc>
          <w:tcPr>
            <w:tcW w:w="120" w:type="dxa"/>
            <w:vAlign w:val="bottom"/>
            <w:tcBorders>
              <w:top w:val="single" w:sz="8" w:color="auto"/>
              <w:bottom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760" w:type="dxa"/>
            <w:vAlign w:val="bottom"/>
            <w:tcBorders>
              <w:top w:val="single" w:sz="8" w:color="auto"/>
              <w:bottom w:val="single" w:sz="8" w:color="auto"/>
            </w:tcBorders>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46,016</w:t>
            </w:r>
          </w:p>
        </w:tc>
        <w:tc>
          <w:tcPr>
            <w:tcW w:w="3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(39)</w:t>
            </w: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0"/>
                <w:szCs w:val="20"/>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46,016</w:t>
            </w:r>
          </w:p>
        </w:tc>
        <w:tc>
          <w:tcPr>
            <w:tcW w:w="3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(39)</w:t>
            </w:r>
          </w:p>
        </w:tc>
        <w:tc>
          <w:tcPr>
            <w:tcW w:w="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89"/>
              </w:rPr>
              <w:t>-</w:t>
            </w:r>
          </w:p>
        </w:tc>
        <w:tc>
          <w:tcPr>
            <w:tcW w:w="200" w:type="dxa"/>
            <w:vAlign w:val="bottom"/>
          </w:tcPr>
          <w:p>
            <w:pPr>
              <w:spacing w:after="0"/>
              <w:rPr>
                <w:sz w:val="23"/>
                <w:szCs w:val="23"/>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gridSpan w:val="10"/>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Greater than twelve months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loss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59"/>
        </w:trPr>
        <w:tc>
          <w:tcPr>
            <w:tcW w:w="2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Treasury bills</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6"/>
          </w:tcPr>
          <w:p>
            <w:pPr>
              <w:jc w:val="center"/>
              <w:ind w:left="13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18,662</w:t>
            </w:r>
          </w:p>
        </w:tc>
        <w:tc>
          <w:tcPr>
            <w:tcW w:w="80" w:type="dxa"/>
            <w:vAlign w:val="bottom"/>
          </w:tcPr>
          <w:p>
            <w:pPr>
              <w:spacing w:after="0"/>
              <w:rPr>
                <w:sz w:val="17"/>
                <w:szCs w:val="17"/>
                <w:color w:val="auto"/>
              </w:rPr>
            </w:pPr>
          </w:p>
        </w:tc>
        <w:tc>
          <w:tcPr>
            <w:tcW w:w="56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20"/>
                <w:szCs w:val="20"/>
                <w:color w:val="auto"/>
              </w:rPr>
              <w:t>(12)</w:t>
            </w:r>
          </w:p>
        </w:tc>
        <w:tc>
          <w:tcPr>
            <w:tcW w:w="24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ind w:left="320"/>
              <w:spacing w:after="0" w:line="201" w:lineRule="exact"/>
              <w:rPr>
                <w:sz w:val="20"/>
                <w:szCs w:val="20"/>
                <w:color w:val="auto"/>
              </w:rPr>
            </w:pPr>
            <w:r>
              <w:rPr>
                <w:rFonts w:ascii="Times New Roman" w:cs="Times New Roman" w:eastAsia="Times New Roman" w:hAnsi="Times New Roman"/>
                <w:sz w:val="20"/>
                <w:szCs w:val="20"/>
                <w:color w:val="auto"/>
                <w:w w:val="98"/>
              </w:rPr>
              <w:t>14,948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40"/>
              <w:spacing w:after="0" w:line="201"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4"/>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rPr>
              <w:t>(44)</w:t>
            </w:r>
          </w:p>
        </w:tc>
        <w:tc>
          <w:tcPr>
            <w:tcW w:w="16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33,610</w:t>
            </w:r>
          </w:p>
        </w:tc>
        <w:tc>
          <w:tcPr>
            <w:tcW w:w="240" w:type="dxa"/>
            <w:vAlign w:val="bottom"/>
          </w:tcPr>
          <w:p>
            <w:pPr>
              <w:spacing w:after="0"/>
              <w:rPr>
                <w:sz w:val="17"/>
                <w:szCs w:val="17"/>
                <w:color w:val="auto"/>
              </w:rPr>
            </w:pPr>
          </w:p>
        </w:tc>
        <w:tc>
          <w:tcPr>
            <w:tcW w:w="1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agency</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auto"/>
              </w:rPr>
              <w:t>bonds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41,195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98"/>
              </w:rPr>
              <w:t>17,216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w w:val="92"/>
              </w:rPr>
              <w:t>(117)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58,411</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59,857</w:t>
            </w:r>
          </w:p>
        </w:tc>
        <w:tc>
          <w:tcPr>
            <w:tcW w:w="80" w:type="dxa"/>
            <w:vAlign w:val="bottom"/>
          </w:tcPr>
          <w:p>
            <w:pPr>
              <w:spacing w:after="0"/>
              <w:rPr>
                <w:sz w:val="22"/>
                <w:szCs w:val="2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98"/>
              </w:rPr>
              <w:t>32,164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w w:val="92"/>
              </w:rPr>
              <w:t>(161)</w:t>
            </w:r>
          </w:p>
        </w:tc>
        <w:tc>
          <w:tcPr>
            <w:tcW w:w="16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92,021</w:t>
            </w:r>
          </w:p>
        </w:tc>
        <w:tc>
          <w:tcPr>
            <w:tcW w:w="2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-1426210</wp:posOffset>
            </wp:positionV>
            <wp:extent cx="6426200" cy="1410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a:extLst>
                        <a:ext uri="{28A0092B-C50C-407E-A947-70E740481C1C}"/>
                      </a:extLst>
                    </a:blip>
                    <a:srcRect/>
                    <a:stretch>
                      <a:fillRect/>
                    </a:stretch>
                  </pic:blipFill>
                  <pic:spPr bwMode="auto">
                    <a:xfrm>
                      <a:off x="0" y="0"/>
                      <a:ext cx="6426200" cy="1410970"/>
                    </a:xfrm>
                    <a:prstGeom prst="rect">
                      <a:avLst/>
                    </a:prstGeom>
                    <a:noFill/>
                  </pic:spPr>
                </pic:pic>
              </a:graphicData>
            </a:graphic>
          </wp:anchor>
        </w:drawing>
      </w:r>
    </w:p>
    <w:p>
      <w:pPr>
        <w:spacing w:after="0" w:line="201"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The Company holds investment grade marketable securities considered to be in an unrealized loss position. Although these marketable securities are held at an unrealized loss position at December 31, 2024,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$1.4 million and $1.8 million in accrued interest at December 31, 2024 and December 31, 2023, respectively.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F-18</w:t>
      </w:r>
    </w:p>
    <w:p>
      <w:pPr>
        <w:sectPr>
          <w:pgSz w:w="12960" w:h="16560" w:orient="portrait"/>
          <w:cols w:equalWidth="0" w:num="1">
            <w:col w:w="10080"/>
          </w:cols>
          <w:pgMar w:left="1440" w:top="1420" w:right="1440" w:bottom="535"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6. Supplemental Balance Sheet Information</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116205</wp:posOffset>
            </wp:positionV>
            <wp:extent cx="5786120" cy="171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extLst>
                    </a:blip>
                    <a:srcRect/>
                    <a:stretch>
                      <a:fillRect/>
                    </a:stretch>
                  </pic:blipFill>
                  <pic:spPr bwMode="auto">
                    <a:xfrm>
                      <a:off x="0" y="0"/>
                      <a:ext cx="5786120" cy="1715770"/>
                    </a:xfrm>
                    <a:prstGeom prst="rect">
                      <a:avLst/>
                    </a:prstGeom>
                    <a:noFill/>
                  </pic:spPr>
                </pic:pic>
              </a:graphicData>
            </a:graphic>
          </wp:anchor>
        </w:drawing>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6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2"/>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r>
      <w:tr>
        <w:trPr>
          <w:trHeight w:val="154"/>
        </w:trPr>
        <w:tc>
          <w:tcPr>
            <w:tcW w:w="6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5"/>
              <w:spacing w:after="0" w:line="155" w:lineRule="exact"/>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82"/>
              </w:rPr>
              <w:t>thousands)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8,936</w:t>
            </w:r>
          </w:p>
        </w:tc>
        <w:tc>
          <w:tcPr>
            <w:tcW w:w="240" w:type="dxa"/>
            <w:vAlign w:val="bottom"/>
          </w:tcPr>
          <w:p>
            <w:pPr>
              <w:spacing w:after="0"/>
              <w:rPr>
                <w:sz w:val="19"/>
                <w:szCs w:val="19"/>
                <w:color w:val="auto"/>
              </w:rPr>
            </w:pPr>
          </w:p>
        </w:tc>
        <w:tc>
          <w:tcPr>
            <w:tcW w:w="4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8,788</w:t>
            </w:r>
          </w:p>
        </w:tc>
        <w:tc>
          <w:tcPr>
            <w:tcW w:w="80" w:type="dxa"/>
            <w:vAlign w:val="bottom"/>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w:t>
            </w:r>
          </w:p>
        </w:tc>
        <w:tc>
          <w:tcPr>
            <w:tcW w:w="80" w:type="dxa"/>
            <w:vAlign w:val="bottom"/>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0" w:type="dxa"/>
            <w:vAlign w:val="bottom"/>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w:t>
            </w:r>
          </w:p>
        </w:tc>
        <w:tc>
          <w:tcPr>
            <w:tcW w:w="80" w:type="dxa"/>
            <w:vAlign w:val="bottom"/>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w:t>
            </w:r>
          </w:p>
        </w:tc>
        <w:tc>
          <w:tcPr>
            <w:tcW w:w="80" w:type="dxa"/>
            <w:vAlign w:val="bottom"/>
          </w:tcPr>
          <w:p>
            <w:pPr>
              <w:spacing w:after="0"/>
              <w:rPr>
                <w:sz w:val="19"/>
                <w:szCs w:val="19"/>
                <w:color w:val="auto"/>
              </w:rPr>
            </w:pPr>
          </w:p>
        </w:tc>
      </w:tr>
      <w:tr>
        <w:trPr>
          <w:trHeight w:val="249"/>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1"/>
                <w:szCs w:val="21"/>
                <w:color w:val="auto"/>
              </w:rPr>
            </w:pPr>
          </w:p>
        </w:tc>
      </w:tr>
      <w:tr>
        <w:trPr>
          <w:trHeight w:val="200"/>
        </w:trPr>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16,465</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15,897</w:t>
            </w:r>
          </w:p>
        </w:tc>
        <w:tc>
          <w:tcPr>
            <w:tcW w:w="80" w:type="dxa"/>
            <w:vAlign w:val="bottom"/>
          </w:tcPr>
          <w:p>
            <w:pPr>
              <w:spacing w:after="0"/>
              <w:rPr>
                <w:sz w:val="17"/>
                <w:szCs w:val="17"/>
                <w:color w:val="auto"/>
              </w:rPr>
            </w:pPr>
          </w:p>
        </w:tc>
      </w:tr>
      <w:tr>
        <w:trPr>
          <w:trHeight w:val="249"/>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3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(8,363)</w:t>
            </w:r>
          </w:p>
        </w:tc>
        <w:tc>
          <w:tcPr>
            <w:tcW w:w="4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(5,989)</w:t>
            </w:r>
          </w:p>
        </w:tc>
      </w:tr>
      <w:tr>
        <w:trPr>
          <w:trHeight w:val="220"/>
        </w:trPr>
        <w:tc>
          <w:tcPr>
            <w:tcW w:w="62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Property and equipment, net</w:t>
            </w:r>
          </w:p>
        </w:tc>
        <w:tc>
          <w:tcPr>
            <w:tcW w:w="300" w:type="dxa"/>
            <w:vAlign w:val="bottom"/>
            <w:tcBorders>
              <w:top w:val="single" w:sz="8" w:color="auto"/>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8,102</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right="2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9,908</w:t>
            </w: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Depreciation expense was $2.5 million, $2.4 million, and $1.6 million for the years ended December 31, 2024, 2023, and 2022, respectively.</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 and Other Current Liabilities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Accrued expenses and other current liabilities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116205</wp:posOffset>
            </wp:positionV>
            <wp:extent cx="5786120" cy="9791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extLst>
                    </a:blip>
                    <a:srcRect/>
                    <a:stretch>
                      <a:fillRect/>
                    </a:stretch>
                  </pic:blipFill>
                  <pic:spPr bwMode="auto">
                    <a:xfrm>
                      <a:off x="0" y="0"/>
                      <a:ext cx="5786120" cy="979170"/>
                    </a:xfrm>
                    <a:prstGeom prst="rect">
                      <a:avLst/>
                    </a:prstGeom>
                    <a:noFill/>
                  </pic:spPr>
                </pic:pic>
              </a:graphicData>
            </a:graphic>
          </wp:anchor>
        </w:drawing>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74"/>
        </w:trPr>
        <w:tc>
          <w:tcPr>
            <w:tcW w:w="6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9"/>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4"/>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55"/>
        </w:trPr>
        <w:tc>
          <w:tcPr>
            <w:tcW w:w="6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89"/>
              <w:spacing w:after="0" w:line="155" w:lineRule="exact"/>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82"/>
              </w:rPr>
              <w:t>thousands)</w:t>
            </w:r>
          </w:p>
        </w:tc>
        <w:tc>
          <w:tcPr>
            <w:tcW w:w="840" w:type="dxa"/>
            <w:vAlign w:val="bottom"/>
          </w:tcPr>
          <w:p>
            <w:pPr>
              <w:spacing w:after="0"/>
              <w:rPr>
                <w:sz w:val="13"/>
                <w:szCs w:val="13"/>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Payroll and employee-related costs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7,910</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6,204</w:t>
            </w:r>
          </w:p>
        </w:tc>
      </w:tr>
      <w:tr>
        <w:trPr>
          <w:trHeight w:val="249"/>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1,735</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w:t>
            </w:r>
          </w:p>
        </w:tc>
      </w:tr>
      <w:tr>
        <w:trPr>
          <w:trHeight w:val="220"/>
        </w:trPr>
        <w:tc>
          <w:tcPr>
            <w:tcW w:w="62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16,497</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center"/>
              <w:ind w:right="2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15,401</w:t>
            </w:r>
          </w:p>
        </w:tc>
      </w:tr>
      <w:tr>
        <w:trPr>
          <w:trHeight w:val="20"/>
        </w:trPr>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4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In July 2017, the Company entered into a lease of office and laboratory space at 100 Binney Street in Cambridge, Massachusetts. The lease commenced in March 2018 and lease payments commenced in June 2018. This lease had an original term of eight years with an option to extend for one additional three-year period. The lease agreement required the Company to provide a letter of credit for $0.6 million that was collateralized with cash. In November 2021, the Company entered into a lease termination agreement for this leased office and laboratory space. The lease termination agreement was a modification of the original lease agreement that provided for, among other things, the acceleration of the expiration of the original term of the lease from June 30, 2026 to an earlier lease termination date of September 30, 2022. The $0.6 million letter of credit associated with the lease was recorded as short-term restricted cash on the balance sheet as of December 31, 2022 and was released to the Company in March 2023.</w:t>
      </w:r>
    </w:p>
    <w:p>
      <w:pPr>
        <w:spacing w:after="0" w:line="20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September 2019, the Company entered into a new lease for office and laboratory space at 201 Brookline Avenue in Boston, Massachusetts. The lease, as amended and restated in November 2021, has a non-cancelable term of ten years with an option to extend for up to two additional five-year periods. The lease commenced in August 2022, when the Company obtained access to the space for its' intended use. The lease agreement provides for initial tenant improvement allowances. The lease agreement required the Company to provide an initial letter of credit for $3.4 million that is collateralized with cash that is recorded as restricted cash in the accompanying balance sheets and is subject to reductions as lease anniversary dates are achieved. This letter of credit was recorded as long-term restricted cash as of December 31, 2022. As of December 31, 2023, $0.9 million was classified as short-term restricted cash to reflect the scheduled security deposit reduction, with the remaining $2.6 million classified as long-term. The short-term portion of this security deposit was released to the Company</w:t>
      </w:r>
    </w:p>
    <w:p>
      <w:pPr>
        <w:sectPr>
          <w:pgSz w:w="12960" w:h="16560" w:orient="portrait"/>
          <w:cols w:equalWidth="0" w:num="1">
            <w:col w:w="10080"/>
          </w:cols>
          <w:pgMar w:left="1440" w:top="1416" w:right="1440" w:bottom="546"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960" w:h="16560" w:orient="portrait"/>
          <w:cols w:equalWidth="0" w:num="1">
            <w:col w:w="10080"/>
          </w:cols>
          <w:pgMar w:left="1440" w:top="1416" w:right="1440" w:bottom="546" w:gutter="0" w:footer="0" w:header="0"/>
          <w:type w:val="continuous"/>
        </w:sectPr>
      </w:pPr>
    </w:p>
    <w:bookmarkStart w:id="121" w:name="page122"/>
    <w:bookmarkEnd w:id="121"/>
    <w:p>
      <w:pPr>
        <w:ind w:right="140"/>
        <w:spacing w:after="0" w:line="277" w:lineRule="auto"/>
        <w:rPr>
          <w:sz w:val="20"/>
          <w:szCs w:val="20"/>
          <w:color w:val="auto"/>
        </w:rPr>
      </w:pPr>
      <w:r>
        <w:rPr>
          <w:rFonts w:ascii="Times New Roman" w:cs="Times New Roman" w:eastAsia="Times New Roman" w:hAnsi="Times New Roman"/>
          <w:sz w:val="20"/>
          <w:szCs w:val="20"/>
          <w:color w:val="auto"/>
        </w:rPr>
        <w:t>in February 2024, reducing the letter of credit to $2.6 million, all of which remains classified as long-term restricted cash on the balance sheet as of December 31, 2024.</w:t>
      </w:r>
    </w:p>
    <w:p>
      <w:pPr>
        <w:spacing w:after="0" w:line="169"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color w:val="auto"/>
        </w:rPr>
        <w:t>In August 2022, upon commencement of the 201 Brookline Avenue lease, the Company recorded an operating lease liability in the amount of $37.9 million and related operating lease right-of-use asset in the amount of $48.0 million. Payments totaling $10.1 million for tenant improvements, and net of tenant improvement allowance reimbursements, made prior to the lease commencement date were reclassified as an increase to the right-of-use asset upon the commencement of the lease. The fixed annual rent payable under the lease is $5.1 million, increasing by 3% annually from the rent commencement date. The minimum rent payments to be paid over the 10-year term of the lease total $61.0 million. The additional rental payments associated with the renewal option were not included in the calculation of the operating lease right-of-use asset and associated operating lease liability as the renewal was not considered probable of occurring. The discount rate applied to the lease payments is 8.0%.</w:t>
      </w:r>
    </w:p>
    <w:p>
      <w:pPr>
        <w:spacing w:after="0" w:line="206" w:lineRule="exact"/>
        <w:rPr>
          <w:sz w:val="20"/>
          <w:szCs w:val="20"/>
          <w:color w:val="auto"/>
        </w:rPr>
      </w:pPr>
    </w:p>
    <w:p>
      <w:pPr>
        <w:jc w:val="both"/>
        <w:ind w:right="100" w:firstLine="540"/>
        <w:spacing w:after="0" w:line="252" w:lineRule="auto"/>
        <w:rPr>
          <w:sz w:val="20"/>
          <w:szCs w:val="20"/>
          <w:color w:val="auto"/>
        </w:rPr>
      </w:pPr>
      <w:r>
        <w:rPr>
          <w:rFonts w:ascii="Times New Roman" w:cs="Times New Roman" w:eastAsia="Times New Roman" w:hAnsi="Times New Roman"/>
          <w:sz w:val="20"/>
          <w:szCs w:val="20"/>
          <w:color w:val="auto"/>
        </w:rPr>
        <w:t>In December 2022, the Company entered into an operating lease agreement to sublease a portion of the 201 Brookline Avenue premise to an unrelated third party. The sublease expired on December 31, 2024. Sublease income recognized under the sublease agreement for the years ended December 31, 2024, 2023, and 2022 were $1.5 million, $1.5 million, and $0.1 million, respectively, and was recorded as a reduction of the related lease expense.</w:t>
      </w:r>
    </w:p>
    <w:p>
      <w:pPr>
        <w:spacing w:after="0" w:line="194"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The Company’s rent payments for facility leases during the years ended December 31, 2024, 2023, and 2022 are classified as operating lease costs in the table below. The leases are both considered net leases and therefore the non-lease components, such as common area maintenance, are paid separately from rent based on actual costs incurred; therefore, the non-lease components are not included in the right-of-use asset and lease liability and are reflected as an expense in the period incurred. The non-lease components are classified as variable costs in the chart below. As of December 31, 2024 and 2023, right-of-use assets under operating leases totaled $39.5 million and $43.5 million, respectively. The elements of lease cost were as follows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126365</wp:posOffset>
            </wp:positionV>
            <wp:extent cx="6426200" cy="1621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5">
                      <a:extLst>
                        <a:ext uri="{28A0092B-C50C-407E-A947-70E740481C1C}"/>
                      </a:extLst>
                    </a:blip>
                    <a:srcRect/>
                    <a:stretch>
                      <a:fillRect/>
                    </a:stretch>
                  </pic:blipFill>
                  <pic:spPr bwMode="auto">
                    <a:xfrm>
                      <a:off x="0" y="0"/>
                      <a:ext cx="6426200" cy="16211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Pr>
          <w:p>
            <w:pPr>
              <w:spacing w:after="0"/>
              <w:rPr>
                <w:sz w:val="16"/>
                <w:szCs w:val="16"/>
                <w:color w:val="auto"/>
              </w:rPr>
            </w:pP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80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580" w:type="dxa"/>
            <w:vAlign w:val="bottom"/>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Operating lease cost</w:t>
            </w:r>
          </w:p>
        </w:tc>
        <w:tc>
          <w:tcPr>
            <w:tcW w:w="180" w:type="dxa"/>
            <w:vAlign w:val="bottom"/>
          </w:tcPr>
          <w:p>
            <w:pPr>
              <w:spacing w:after="0"/>
              <w:rPr>
                <w:sz w:val="17"/>
                <w:szCs w:val="17"/>
                <w:color w:val="auto"/>
              </w:rPr>
            </w:pPr>
          </w:p>
        </w:tc>
        <w:tc>
          <w:tcPr>
            <w:tcW w:w="540" w:type="dxa"/>
            <w:vAlign w:val="bottom"/>
            <w:tcBorders>
              <w:top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6,267</w:t>
            </w:r>
          </w:p>
        </w:tc>
        <w:tc>
          <w:tcPr>
            <w:tcW w:w="360" w:type="dxa"/>
            <w:vAlign w:val="bottom"/>
          </w:tcPr>
          <w:p>
            <w:pPr>
              <w:spacing w:after="0"/>
              <w:rPr>
                <w:sz w:val="17"/>
                <w:szCs w:val="17"/>
                <w:color w:val="auto"/>
              </w:rPr>
            </w:pPr>
          </w:p>
        </w:tc>
        <w:tc>
          <w:tcPr>
            <w:tcW w:w="540" w:type="dxa"/>
            <w:vAlign w:val="bottom"/>
            <w:tcBorders>
              <w:top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5,526</w:t>
            </w:r>
          </w:p>
        </w:tc>
        <w:tc>
          <w:tcPr>
            <w:tcW w:w="360" w:type="dxa"/>
            <w:vAlign w:val="bottom"/>
          </w:tcPr>
          <w:p>
            <w:pPr>
              <w:spacing w:after="0"/>
              <w:rPr>
                <w:sz w:val="17"/>
                <w:szCs w:val="17"/>
                <w:color w:val="auto"/>
              </w:rPr>
            </w:pPr>
          </w:p>
        </w:tc>
        <w:tc>
          <w:tcPr>
            <w:tcW w:w="580" w:type="dxa"/>
            <w:vAlign w:val="bottom"/>
            <w:tcBorders>
              <w:top w:val="single" w:sz="8" w:color="auto"/>
            </w:tcBorders>
          </w:tcPr>
          <w:p>
            <w:pPr>
              <w:jc w:val="right"/>
              <w:ind w:right="385"/>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4,079</w:t>
            </w:r>
          </w:p>
        </w:tc>
        <w:tc>
          <w:tcPr>
            <w:tcW w:w="180" w:type="dxa"/>
            <w:vAlign w:val="bottom"/>
          </w:tcPr>
          <w:p>
            <w:pPr>
              <w:spacing w:after="0"/>
              <w:rPr>
                <w:sz w:val="17"/>
                <w:szCs w:val="17"/>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3,268</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3,815</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180" w:type="dxa"/>
            <w:vAlign w:val="bottom"/>
          </w:tcPr>
          <w:p>
            <w:pPr>
              <w:spacing w:after="0"/>
              <w:rPr>
                <w:sz w:val="19"/>
                <w:szCs w:val="19"/>
                <w:color w:val="auto"/>
              </w:rPr>
            </w:pPr>
          </w:p>
        </w:tc>
      </w:tr>
      <w:tr>
        <w:trPr>
          <w:trHeight w:val="249"/>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(1,495)</w:t>
            </w:r>
          </w:p>
        </w:tc>
        <w:tc>
          <w:tcPr>
            <w:tcW w:w="54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(1,467)</w:t>
            </w:r>
          </w:p>
        </w:tc>
        <w:tc>
          <w:tcPr>
            <w:tcW w:w="5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(101)</w:t>
            </w:r>
          </w:p>
        </w:tc>
      </w:tr>
      <w:tr>
        <w:trPr>
          <w:trHeight w:val="220"/>
        </w:trPr>
        <w:tc>
          <w:tcPr>
            <w:tcW w:w="456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operating lease costs</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8,040</w:t>
            </w: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4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7,874</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85"/>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4,454</w:t>
            </w:r>
          </w:p>
        </w:tc>
        <w:tc>
          <w:tcPr>
            <w:tcW w:w="1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45"/>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18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0"/>
        </w:trPr>
        <w:tc>
          <w:tcPr>
            <w:tcW w:w="45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Operating cash flows used for operating leases</w:t>
            </w:r>
          </w:p>
        </w:tc>
        <w:tc>
          <w:tcPr>
            <w:tcW w:w="180" w:type="dxa"/>
            <w:vAlign w:val="bottom"/>
          </w:tcPr>
          <w:p>
            <w:pPr>
              <w:spacing w:after="0"/>
              <w:rPr>
                <w:sz w:val="17"/>
                <w:szCs w:val="17"/>
                <w:color w:val="auto"/>
              </w:rPr>
            </w:pPr>
          </w:p>
        </w:tc>
        <w:tc>
          <w:tcPr>
            <w:tcW w:w="540" w:type="dxa"/>
            <w:vAlign w:val="bottom"/>
            <w:tcBorders>
              <w:top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5,603</w:t>
            </w:r>
          </w:p>
        </w:tc>
        <w:tc>
          <w:tcPr>
            <w:tcW w:w="360" w:type="dxa"/>
            <w:vAlign w:val="bottom"/>
          </w:tcPr>
          <w:p>
            <w:pPr>
              <w:spacing w:after="0"/>
              <w:rPr>
                <w:sz w:val="17"/>
                <w:szCs w:val="17"/>
                <w:color w:val="auto"/>
              </w:rPr>
            </w:pPr>
          </w:p>
        </w:tc>
        <w:tc>
          <w:tcPr>
            <w:tcW w:w="540" w:type="dxa"/>
            <w:vAlign w:val="bottom"/>
            <w:tcBorders>
              <w:top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5,188</w:t>
            </w:r>
          </w:p>
        </w:tc>
        <w:tc>
          <w:tcPr>
            <w:tcW w:w="360" w:type="dxa"/>
            <w:vAlign w:val="bottom"/>
          </w:tcPr>
          <w:p>
            <w:pPr>
              <w:spacing w:after="0"/>
              <w:rPr>
                <w:sz w:val="17"/>
                <w:szCs w:val="17"/>
                <w:color w:val="auto"/>
              </w:rPr>
            </w:pPr>
          </w:p>
        </w:tc>
        <w:tc>
          <w:tcPr>
            <w:tcW w:w="580" w:type="dxa"/>
            <w:vAlign w:val="bottom"/>
            <w:tcBorders>
              <w:top w:val="single" w:sz="8" w:color="auto"/>
            </w:tcBorders>
          </w:tcPr>
          <w:p>
            <w:pPr>
              <w:jc w:val="right"/>
              <w:ind w:right="385"/>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(82)</w:t>
            </w:r>
          </w:p>
        </w:tc>
        <w:tc>
          <w:tcPr>
            <w:tcW w:w="180" w:type="dxa"/>
            <w:vAlign w:val="bottom"/>
          </w:tcPr>
          <w:p>
            <w:pPr>
              <w:spacing w:after="0"/>
              <w:rPr>
                <w:sz w:val="17"/>
                <w:szCs w:val="17"/>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in years</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19"/>
                <w:szCs w:val="19"/>
                <w:color w:val="auto"/>
              </w:rPr>
            </w:pPr>
          </w:p>
        </w:tc>
      </w:tr>
      <w:tr>
        <w:trPr>
          <w:trHeight w:val="266"/>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w:t>
            </w:r>
          </w:p>
        </w:tc>
        <w:tc>
          <w:tcPr>
            <w:tcW w:w="54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w:t>
            </w:r>
          </w:p>
        </w:tc>
        <w:tc>
          <w:tcPr>
            <w:tcW w:w="58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r>
    </w:tbl>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Future minimum lease payments due under operating leases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174625</wp:posOffset>
            </wp:positionV>
            <wp:extent cx="5146040" cy="1592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extLst>
                    </a:blip>
                    <a:srcRect/>
                    <a:stretch>
                      <a:fillRect/>
                    </a:stretch>
                  </pic:blipFill>
                  <pic:spPr bwMode="auto">
                    <a:xfrm>
                      <a:off x="0" y="0"/>
                      <a:ext cx="5146040" cy="1592580"/>
                    </a:xfrm>
                    <a:prstGeom prst="rect">
                      <a:avLst/>
                    </a:prstGeom>
                    <a:noFill/>
                  </pic:spPr>
                </pic:pic>
              </a:graphicData>
            </a:graphic>
          </wp:anchor>
        </w:drawing>
      </w:r>
    </w:p>
    <w:p>
      <w:pPr>
        <w:spacing w:after="0" w:line="256"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Future minimum</w:t>
            </w: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lease payments</w:t>
            </w:r>
          </w:p>
        </w:tc>
      </w:tr>
      <w:tr>
        <w:trPr>
          <w:trHeight w:val="200"/>
        </w:trPr>
        <w:tc>
          <w:tcPr>
            <w:tcW w:w="648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5,265</w:t>
            </w:r>
          </w:p>
        </w:tc>
        <w:tc>
          <w:tcPr>
            <w:tcW w:w="60" w:type="dxa"/>
            <w:vAlign w:val="bottom"/>
          </w:tcPr>
          <w:p>
            <w:pPr>
              <w:spacing w:after="0"/>
              <w:rPr>
                <w:sz w:val="17"/>
                <w:szCs w:val="17"/>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5,776</w:t>
            </w:r>
          </w:p>
        </w:tc>
        <w:tc>
          <w:tcPr>
            <w:tcW w:w="60" w:type="dxa"/>
            <w:vAlign w:val="bottom"/>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w:t>
            </w:r>
          </w:p>
        </w:tc>
        <w:tc>
          <w:tcPr>
            <w:tcW w:w="60" w:type="dxa"/>
            <w:vAlign w:val="bottom"/>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6,128</w:t>
            </w:r>
          </w:p>
        </w:tc>
        <w:tc>
          <w:tcPr>
            <w:tcW w:w="60" w:type="dxa"/>
            <w:vAlign w:val="bottom"/>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6,312</w:t>
            </w:r>
          </w:p>
        </w:tc>
        <w:tc>
          <w:tcPr>
            <w:tcW w:w="60" w:type="dxa"/>
            <w:vAlign w:val="bottom"/>
          </w:tcPr>
          <w:p>
            <w:pPr>
              <w:spacing w:after="0"/>
              <w:rPr>
                <w:sz w:val="19"/>
                <w:szCs w:val="19"/>
                <w:color w:val="auto"/>
              </w:rPr>
            </w:pPr>
          </w:p>
        </w:tc>
      </w:tr>
      <w:tr>
        <w:trPr>
          <w:trHeight w:val="249"/>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20,670</w:t>
            </w:r>
          </w:p>
        </w:tc>
        <w:tc>
          <w:tcPr>
            <w:tcW w:w="60" w:type="dxa"/>
            <w:vAlign w:val="bottom"/>
          </w:tcPr>
          <w:p>
            <w:pPr>
              <w:spacing w:after="0"/>
              <w:rPr>
                <w:sz w:val="21"/>
                <w:szCs w:val="21"/>
                <w:color w:val="auto"/>
              </w:rPr>
            </w:pPr>
          </w:p>
        </w:tc>
      </w:tr>
      <w:tr>
        <w:trPr>
          <w:trHeight w:val="201"/>
        </w:trPr>
        <w:tc>
          <w:tcPr>
            <w:tcW w:w="6480" w:type="dxa"/>
            <w:vAlign w:val="bottom"/>
          </w:tcPr>
          <w:p>
            <w:pPr>
              <w:ind w:left="200"/>
              <w:spacing w:after="0" w:line="201" w:lineRule="exact"/>
              <w:rPr>
                <w:sz w:val="20"/>
                <w:szCs w:val="20"/>
                <w:color w:val="auto"/>
              </w:rPr>
            </w:pPr>
            <w:r>
              <w:rPr>
                <w:rFonts w:ascii="Times New Roman" w:cs="Times New Roman" w:eastAsia="Times New Roman" w:hAnsi="Times New Roman"/>
                <w:sz w:val="20"/>
                <w:szCs w:val="20"/>
                <w:color w:val="auto"/>
              </w:rPr>
              <w:t>Total lease payments</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50,100</w:t>
            </w:r>
          </w:p>
        </w:tc>
        <w:tc>
          <w:tcPr>
            <w:tcW w:w="60" w:type="dxa"/>
            <w:vAlign w:val="bottom"/>
          </w:tcPr>
          <w:p>
            <w:pPr>
              <w:spacing w:after="0"/>
              <w:rPr>
                <w:sz w:val="17"/>
                <w:szCs w:val="17"/>
                <w:color w:val="auto"/>
              </w:rPr>
            </w:pPr>
          </w:p>
        </w:tc>
      </w:tr>
      <w:tr>
        <w:trPr>
          <w:trHeight w:val="249"/>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(13,607)</w:t>
            </w:r>
          </w:p>
        </w:tc>
      </w:tr>
      <w:tr>
        <w:trPr>
          <w:trHeight w:val="220"/>
        </w:trPr>
        <w:tc>
          <w:tcPr>
            <w:tcW w:w="64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36,493</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46" w:lineRule="exact"/>
        <w:rPr>
          <w:sz w:val="20"/>
          <w:szCs w:val="20"/>
          <w:color w:val="auto"/>
        </w:rPr>
      </w:pPr>
    </w:p>
    <w:p>
      <w:pPr>
        <w:ind w:left="500" w:right="7040" w:hanging="500"/>
        <w:spacing w:after="0" w:line="519" w:lineRule="auto"/>
        <w:tabs>
          <w:tab w:leader="none" w:pos="210"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License Agreements</w:t>
      </w:r>
    </w:p>
    <w:p>
      <w:pPr>
        <w:spacing w:after="0" w:line="1" w:lineRule="exact"/>
        <w:rPr>
          <w:rFonts w:ascii="Times New Roman" w:cs="Times New Roman" w:eastAsia="Times New Roman" w:hAnsi="Times New Roman"/>
          <w:sz w:val="19"/>
          <w:szCs w:val="19"/>
          <w:b w:val="1"/>
          <w:bCs w:val="1"/>
          <w:color w:val="auto"/>
        </w:rPr>
      </w:pPr>
    </w:p>
    <w:p>
      <w:pPr>
        <w:ind w:left="5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i w:val="1"/>
          <w:iCs w:val="1"/>
          <w:color w:val="auto"/>
        </w:rPr>
        <w:t>Sesame Therapeutics, Inc.</w:t>
      </w:r>
    </w:p>
    <w:p>
      <w:pPr>
        <w:sectPr>
          <w:pgSz w:w="12960" w:h="16560" w:orient="portrait"/>
          <w:cols w:equalWidth="0" w:num="1">
            <w:col w:w="10080"/>
          </w:cols>
          <w:pgMar w:left="1440" w:top="1420" w:right="1440" w:bottom="546"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960" w:h="16560" w:orient="portrait"/>
          <w:cols w:equalWidth="0" w:num="1">
            <w:col w:w="10080"/>
          </w:cols>
          <w:pgMar w:left="1440" w:top="1420" w:right="1440" w:bottom="546" w:gutter="0" w:footer="0" w:header="0"/>
          <w:type w:val="continuous"/>
        </w:sectPr>
      </w:pPr>
    </w:p>
    <w:bookmarkStart w:id="122" w:name="page123"/>
    <w:bookmarkEnd w:id="122"/>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In June 2024, the Company and Sesame Therapeutics, Inc. (Sesame) entered into a license agreement pursuant to which the Company granted Sesame a non-exclusive license to certain know-how associated with preclinical research (the Sesame Agreement). Pursuant to the Sesame Agreement, the Company received a $0.1 million upfront, non-refundable payment in June 2024.</w:t>
      </w:r>
    </w:p>
    <w:p>
      <w:pPr>
        <w:spacing w:after="0" w:line="194"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auto"/>
        </w:rPr>
        <w:t>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w:t>
      </w:r>
    </w:p>
    <w:p>
      <w:pPr>
        <w:spacing w:after="0" w:line="188"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auto"/>
        </w:rPr>
        <w:t>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w:t>
      </w:r>
    </w:p>
    <w:p>
      <w:pPr>
        <w:spacing w:after="0" w:line="197"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auto"/>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spacing w:after="0" w:line="200"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auto"/>
        </w:rPr>
        <w:t>Due to common relationships amongst members of management and the boards of directors, the transaction above with Sesame is a related party transaction.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Medivir AB</w:t>
      </w:r>
    </w:p>
    <w:p>
      <w:pPr>
        <w:spacing w:after="0" w:line="238"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9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Upfront fees paid pursuant to the Medivir License Agreement were recorded to research and development expense.</w:t>
      </w:r>
    </w:p>
    <w:p>
      <w:pPr>
        <w:spacing w:after="0" w:line="240" w:lineRule="exact"/>
        <w:rPr>
          <w:sz w:val="20"/>
          <w:szCs w:val="20"/>
          <w:color w:val="auto"/>
        </w:rPr>
      </w:pPr>
    </w:p>
    <w:p>
      <w:pPr>
        <w:ind w:right="40" w:firstLine="562"/>
        <w:spacing w:after="0" w:line="258" w:lineRule="auto"/>
        <w:rPr>
          <w:sz w:val="20"/>
          <w:szCs w:val="20"/>
          <w:color w:val="auto"/>
        </w:rPr>
      </w:pPr>
      <w:r>
        <w:rPr>
          <w:rFonts w:ascii="Times New Roman" w:cs="Times New Roman" w:eastAsia="Times New Roman" w:hAnsi="Times New Roman"/>
          <w:sz w:val="20"/>
          <w:szCs w:val="20"/>
          <w:color w:val="auto"/>
        </w:rPr>
        <w:t>In May 2024, we made the decision to discontinue further development of TNG348, the basis of our USP1 program, due to liver toxicity experienced by patients in the dose escalation portion of the Phase1/2 clinical trial. As a result, we do not expect any on-going material obligations under the Medivir Agreement.</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Clinical Trial Collaboration and Supply Agreement</w:t>
      </w:r>
    </w:p>
    <w:p>
      <w:pPr>
        <w:spacing w:after="0" w:line="230" w:lineRule="exact"/>
        <w:rPr>
          <w:sz w:val="20"/>
          <w:szCs w:val="20"/>
          <w:color w:val="auto"/>
        </w:rPr>
      </w:pPr>
    </w:p>
    <w:p>
      <w:pPr>
        <w:ind w:right="20" w:firstLine="720"/>
        <w:spacing w:after="0" w:line="265" w:lineRule="auto"/>
        <w:rPr>
          <w:sz w:val="20"/>
          <w:szCs w:val="20"/>
          <w:color w:val="auto"/>
        </w:rPr>
      </w:pPr>
      <w:r>
        <w:rPr>
          <w:rFonts w:ascii="Times New Roman" w:cs="Times New Roman" w:eastAsia="Times New Roman" w:hAnsi="Times New Roman"/>
          <w:sz w:val="19"/>
          <w:szCs w:val="19"/>
          <w:color w:val="auto"/>
        </w:rPr>
        <w:t>In November 2024, the Company and Revolution Medicines, Inc. (RevMed) entered into a Clinical Trial Collaboration and Supply Agreement. The agreement provides that RevMed will supply daraxonrasib (RMC-6236), a RAS(ON) multi-selective inhibitor, and zoldonrasib (RMC-9805), a RAS(ON) G12D-selective inhibitor, at no cost to the Company for use in trials that will include TNG462 and each of these RAS(ON) inhibitors. The Company will be the sponsor of any combination trials and bear associated costs. Each company will retain commercial rights to its respective compounds,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F-21</w:t>
      </w:r>
    </w:p>
    <w:p>
      <w:pPr>
        <w:sectPr>
          <w:pgSz w:w="12960" w:h="16560" w:orient="portrait"/>
          <w:cols w:equalWidth="0" w:num="1">
            <w:col w:w="10080"/>
          </w:cols>
          <w:pgMar w:left="1440" w:top="1420" w:right="1440" w:bottom="535" w:gutter="0" w:footer="0" w:header="0"/>
        </w:sectPr>
      </w:pPr>
    </w:p>
    <w:bookmarkStart w:id="123" w:name="page124"/>
    <w:bookmarkEnd w:id="123"/>
    <w:p>
      <w:pPr>
        <w:ind w:right="20"/>
        <w:spacing w:after="0" w:line="277" w:lineRule="auto"/>
        <w:rPr>
          <w:sz w:val="20"/>
          <w:szCs w:val="20"/>
          <w:color w:val="auto"/>
        </w:rPr>
      </w:pPr>
      <w:r>
        <w:rPr>
          <w:rFonts w:ascii="Times New Roman" w:cs="Times New Roman" w:eastAsia="Times New Roman" w:hAnsi="Times New Roman"/>
          <w:sz w:val="20"/>
          <w:szCs w:val="20"/>
          <w:color w:val="auto"/>
        </w:rPr>
        <w:t>and the agreement is mutually non-exclusive. Due to common relationships amongst members of management and the boards of directors, this transaction is a related party transaction.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Other Funding Commitments</w:t>
      </w:r>
    </w:p>
    <w:p>
      <w:pPr>
        <w:spacing w:after="0" w:line="24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2024, the Company had ongoing preclinical and clinical studies. The Company enters into contracts in the normal course of business with contract research organizations in connection with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Guarantees</w:t>
      </w:r>
    </w:p>
    <w:p>
      <w:pPr>
        <w:spacing w:after="0" w:line="240" w:lineRule="exact"/>
        <w:rPr>
          <w:sz w:val="20"/>
          <w:szCs w:val="20"/>
          <w:color w:val="auto"/>
        </w:rPr>
      </w:pPr>
    </w:p>
    <w:p>
      <w:pPr>
        <w:ind w:right="280" w:firstLine="490"/>
        <w:spacing w:after="0" w:line="244" w:lineRule="auto"/>
        <w:rPr>
          <w:sz w:val="20"/>
          <w:szCs w:val="20"/>
          <w:color w:val="auto"/>
        </w:rPr>
      </w:pPr>
      <w:r>
        <w:rPr>
          <w:rFonts w:ascii="Times New Roman" w:cs="Times New Roman" w:eastAsia="Times New Roman" w:hAnsi="Times New Roman"/>
          <w:sz w:val="20"/>
          <w:szCs w:val="20"/>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defends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40"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20"/>
          <w:szCs w:val="20"/>
          <w:color w:val="auto"/>
        </w:rPr>
        <w:t>The Company, from time to time, may be party to litigation arising in the ordinary course of business. The Company was not subject to any material legal proceedings as of December 31, 2024,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324" w:lineRule="exact"/>
        <w:rPr>
          <w:sz w:val="20"/>
          <w:szCs w:val="20"/>
          <w:color w:val="auto"/>
        </w:rPr>
      </w:pPr>
    </w:p>
    <w:p>
      <w:pPr>
        <w:ind w:left="500" w:right="6360" w:hanging="500"/>
        <w:spacing w:after="0" w:line="492" w:lineRule="auto"/>
        <w:tabs>
          <w:tab w:leader="none" w:pos="21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Redeemable Convertible Preferred Stock </w:t>
      </w:r>
      <w:r>
        <w:rPr>
          <w:rFonts w:ascii="Times New Roman" w:cs="Times New Roman" w:eastAsia="Times New Roman" w:hAnsi="Times New Roman"/>
          <w:sz w:val="20"/>
          <w:szCs w:val="20"/>
          <w:b w:val="1"/>
          <w:bCs w:val="1"/>
          <w:i w:val="1"/>
          <w:iCs w:val="1"/>
          <w:color w:val="auto"/>
        </w:rPr>
        <w:t>Undesignated Preferred Stock</w:t>
      </w:r>
    </w:p>
    <w:p>
      <w:pPr>
        <w:spacing w:after="0" w:line="1" w:lineRule="exact"/>
        <w:rPr>
          <w:sz w:val="20"/>
          <w:szCs w:val="20"/>
          <w:color w:val="auto"/>
        </w:rPr>
      </w:pPr>
    </w:p>
    <w:p>
      <w:pPr>
        <w:jc w:val="both"/>
        <w:ind w:right="540" w:firstLine="490"/>
        <w:spacing w:after="0" w:line="252" w:lineRule="auto"/>
        <w:rPr>
          <w:sz w:val="20"/>
          <w:szCs w:val="20"/>
          <w:color w:val="auto"/>
        </w:rPr>
      </w:pPr>
      <w:r>
        <w:rPr>
          <w:rFonts w:ascii="Times New Roman" w:cs="Times New Roman" w:eastAsia="Times New Roman" w:hAnsi="Times New Roman"/>
          <w:sz w:val="20"/>
          <w:szCs w:val="20"/>
          <w:color w:val="auto"/>
        </w:rPr>
        <w:t>The Company’s Certificate of Incorporation, as amended and restated, authorizes the Company to issue shares of preferred stock with a par value of $0.001 per share. The number of shares of preferred stock authorized to be issued is 10,000,000 shares as of December 31, 2024. The shares of preferred stock are currently undesignated and no shares are issued or outstanding.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Common Stock</w:t>
      </w:r>
    </w:p>
    <w:p>
      <w:pPr>
        <w:spacing w:after="0" w:line="244"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The Company’s Certificate of Incorporation, as amended and restated,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the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No dividends have been declared as of December 31, 2024.</w:t>
      </w:r>
    </w:p>
    <w:p>
      <w:pPr>
        <w:sectPr>
          <w:pgSz w:w="12960" w:h="16560" w:orient="portrait"/>
          <w:cols w:equalWidth="0" w:num="1">
            <w:col w:w="10080"/>
          </w:cols>
          <w:pgMar w:left="1440" w:top="1420" w:right="1440" w:bottom="5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960" w:h="16560" w:orient="portrait"/>
          <w:cols w:equalWidth="0" w:num="1">
            <w:col w:w="10080"/>
          </w:cols>
          <w:pgMar w:left="1440" w:top="1420" w:right="1440" w:bottom="546" w:gutter="0" w:footer="0" w:header="0"/>
          <w:type w:val="continuous"/>
        </w:sectPr>
      </w:pPr>
    </w:p>
    <w:bookmarkStart w:id="124" w:name="page125"/>
    <w:bookmarkEnd w:id="124"/>
    <w:p>
      <w:pPr>
        <w:ind w:right="180" w:firstLine="490"/>
        <w:spacing w:after="0" w:line="258" w:lineRule="auto"/>
        <w:rPr>
          <w:sz w:val="20"/>
          <w:szCs w:val="20"/>
          <w:color w:val="auto"/>
        </w:rPr>
      </w:pPr>
      <w:r>
        <w:rPr>
          <w:rFonts w:ascii="Times New Roman" w:cs="Times New Roman" w:eastAsia="Times New Roman" w:hAnsi="Times New Roman"/>
          <w:sz w:val="20"/>
          <w:szCs w:val="20"/>
          <w:color w:val="auto"/>
        </w:rPr>
        <w:t>The Company increased the number of shares of common stock authorized to be issued to 200,000,000 shares in August 2021, at the time in which the Certificate of Incorporation was amended and restated. As of December 31, 2024 and 2023, there were 107,729,343 and 102,202,759 shares of common stock issued and outstanding,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Equity Incentive Plans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2017 Stock Option and Grant Plan</w:t>
      </w:r>
    </w:p>
    <w:p>
      <w:pPr>
        <w:spacing w:after="0" w:line="24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9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2021 Stock Option and Incentive Plan</w:t>
      </w:r>
    </w:p>
    <w:p>
      <w:pPr>
        <w:spacing w:after="0" w:line="24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In August 2021, the Company's board of directors and stockholders approved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w:t>
      </w:r>
    </w:p>
    <w:p>
      <w:pPr>
        <w:spacing w:after="0" w:line="19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Upon approval, the maximum number of shares of stock reserved and available for issuance under the 2021 Plan was 9,498,725 shares. The number of shares available for future grant will automatically increase on the first day of each fiscal year by an amount equal to the least of: (i) five percent of the number of shares of Stock issued and outstanding on the immediately preceding December 31 or (ii) such lesser number of shares as determined by the 2021 Plan Administrator, as appointed by the board of directors. Awards that are returned to the Company's equity plan as a result of forfeiture or cancellation, are reacquired by the Company prior to vesting, expiration, or any other form of termination (other than by exercise) are automatically made available for issuance under the 2021 Plan. As of December 31, 2024, there were 7,054,673 shares available for future grant under the 2021 Plan and on January 1, 2025, the number of shares available for future grant under the 2021 Plan increased by 5,386,467 shares.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2021 Employee Stock Purchase Plan</w:t>
      </w:r>
    </w:p>
    <w:p>
      <w:pPr>
        <w:spacing w:after="0" w:line="24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The 2021 Employee Stock Purchase Plan (the 2021 ESPP) was adopted and approved by the Company’s board of directors and by the Company’s stockholders and became effective in August 2021. An aggregate of 949,873 shares were reserved for issuance. The 2021 ESPP provides that the number of shares reserved and available for issuance will automatically increase each January 1, beginning on January 1, 2022 and each January 1 thereafter, by the least of (i) 1% of the outstanding number of shares of the Company’s common stock on the immediately preceding December 31, (ii) 949,873 shares or (iii) such number of shares as determined by the administrator. During the year ended December 31, 2024, the Company issued 219,453 shares of common stock under the 2021 ESPP. As of December 31, 2024, there were 3,031,232 shares available for future purchase under the 2021 ESPP and on January 1, 2025, the number of shares available for future purchase under the 2021 ESPP increased by 949,873 shares.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2023 Inducement Plan</w:t>
      </w:r>
    </w:p>
    <w:p>
      <w:pPr>
        <w:spacing w:after="0" w:line="24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In February 2023, the Company's board of directors approved the 2023 Inducement Plan (the Inducement Plan), under which the Company reserved 3,000,000 shares of common stock, to be used exclusively for grants of non-qualified stock options, restricted stock units and other equity-based awards, or any combination of these to individuals who were not previously employees or directors of the Company. Such issuances are subject to vesting, forfeiture and other restrictions as deemed appropriate by the board of directors at the time of issuance. Awards that are returned to the Company's Inducement Plan as a result of forfeiture or cancellation, are reacquired by the Company prior to vesting, expiration, or any other form of termination (other than by exercise) are automatically made available for issuance under the Inducement Plan. As of December 31, 2024, there were 1,975,390 shares available for future grant under the Inducement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F-23</w:t>
      </w:r>
    </w:p>
    <w:p>
      <w:pPr>
        <w:sectPr>
          <w:pgSz w:w="12960" w:h="16560" w:orient="portrait"/>
          <w:cols w:equalWidth="0" w:num="1">
            <w:col w:w="10080"/>
          </w:cols>
          <w:pgMar w:left="1440" w:top="1420" w:right="1440" w:bottom="535" w:gutter="0" w:footer="0" w:header="0"/>
        </w:sectPr>
      </w:pPr>
    </w:p>
    <w:bookmarkStart w:id="125" w:name="page126"/>
    <w:bookmarkEnd w:id="125"/>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the RSU activity of the Company’s plans as of and for the years ended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6426200" cy="1118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7">
                      <a:extLst>
                        <a:ext uri="{28A0092B-C50C-407E-A947-70E740481C1C}"/>
                      </a:extLst>
                    </a:blip>
                    <a:srcRect/>
                    <a:stretch>
                      <a:fillRect/>
                    </a:stretch>
                  </pic:blipFill>
                  <pic:spPr bwMode="auto">
                    <a:xfrm>
                      <a:off x="0" y="0"/>
                      <a:ext cx="6426200" cy="111887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84"/>
        </w:trPr>
        <w:tc>
          <w:tcPr>
            <w:tcW w:w="6060" w:type="dxa"/>
            <w:vAlign w:val="bottom"/>
          </w:tcPr>
          <w:p>
            <w:pPr>
              <w:spacing w:after="0"/>
              <w:rPr>
                <w:sz w:val="15"/>
                <w:szCs w:val="15"/>
                <w:color w:val="auto"/>
              </w:rPr>
            </w:pPr>
          </w:p>
        </w:tc>
        <w:tc>
          <w:tcPr>
            <w:tcW w:w="220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03"/>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Unvested and outstanding as of December 31, 2023</w:t>
            </w:r>
          </w:p>
        </w:tc>
        <w:tc>
          <w:tcPr>
            <w:tcW w:w="220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60" w:type="dxa"/>
            <w:vAlign w:val="bottom"/>
          </w:tcPr>
          <w:p>
            <w:pPr>
              <w:spacing w:after="0"/>
              <w:rPr>
                <w:sz w:val="17"/>
                <w:szCs w:val="17"/>
                <w:color w:val="auto"/>
              </w:rPr>
            </w:pPr>
          </w:p>
        </w:tc>
        <w:tc>
          <w:tcPr>
            <w:tcW w:w="15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200"/>
        </w:trPr>
        <w:tc>
          <w:tcPr>
            <w:tcW w:w="6060" w:type="dxa"/>
            <w:vAlign w:val="bottom"/>
            <w:vMerge w:val="continue"/>
          </w:tcPr>
          <w:p>
            <w:pPr>
              <w:spacing w:after="0"/>
              <w:rPr>
                <w:sz w:val="17"/>
                <w:szCs w:val="17"/>
                <w:color w:val="auto"/>
              </w:rPr>
            </w:pPr>
          </w:p>
        </w:tc>
        <w:tc>
          <w:tcPr>
            <w:tcW w:w="19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757,514</w:t>
            </w:r>
          </w:p>
        </w:tc>
        <w:tc>
          <w:tcPr>
            <w:tcW w:w="30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5.25</w:t>
            </w: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909,659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w:t>
            </w: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(260,865)</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0" w:type="dxa"/>
            <w:vAlign w:val="bottom"/>
          </w:tcPr>
          <w:p>
            <w:pPr>
              <w:spacing w:after="0"/>
              <w:rPr>
                <w:sz w:val="1"/>
                <w:szCs w:val="1"/>
                <w:color w:val="auto"/>
              </w:rPr>
            </w:pPr>
          </w:p>
        </w:tc>
      </w:tr>
      <w:tr>
        <w:trPr>
          <w:trHeight w:val="249"/>
        </w:trPr>
        <w:tc>
          <w:tcPr>
            <w:tcW w:w="6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(196,975)</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Unvested and outstanding as of December 31, 2024</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1,209,333</w:t>
            </w:r>
          </w:p>
        </w:tc>
        <w:tc>
          <w:tcPr>
            <w:tcW w:w="3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760" w:firstLine="490"/>
        <w:spacing w:after="0" w:line="277" w:lineRule="auto"/>
        <w:rPr>
          <w:sz w:val="20"/>
          <w:szCs w:val="20"/>
          <w:color w:val="auto"/>
        </w:rPr>
      </w:pPr>
      <w:r>
        <w:rPr>
          <w:rFonts w:ascii="Times New Roman" w:cs="Times New Roman" w:eastAsia="Times New Roman" w:hAnsi="Times New Roman"/>
          <w:sz w:val="20"/>
          <w:szCs w:val="20"/>
          <w:color w:val="auto"/>
        </w:rPr>
        <w:t>The total fair value of RSUs vested during the years ended December 31, 2024 and 2023 was $3.0 million and $0.1 million, respectively. No RSUs vested during the year ended December 31, 2022.</w:t>
      </w:r>
    </w:p>
    <w:p>
      <w:pPr>
        <w:spacing w:after="0" w:line="169"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2024, total unrecognized compensation expense related to RSUs was $7.4 million, which the Company expects to recognize over a remaining weighted-average period of 1.8 years.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the stock option activity of the Company’s equity plans as of and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156845</wp:posOffset>
            </wp:positionV>
            <wp:extent cx="6426200" cy="1498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a:extLst>
                        <a:ext uri="{28A0092B-C50C-407E-A947-70E740481C1C}"/>
                      </a:extLst>
                    </a:blip>
                    <a:srcRect/>
                    <a:stretch>
                      <a:fillRect/>
                    </a:stretch>
                  </pic:blipFill>
                  <pic:spPr bwMode="auto">
                    <a:xfrm>
                      <a:off x="0" y="0"/>
                      <a:ext cx="6426200" cy="149860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5"/>
                <w:szCs w:val="15"/>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55"/>
        </w:trPr>
        <w:tc>
          <w:tcPr>
            <w:tcW w:w="5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Options outstanding as of December 31, 2023</w:t>
            </w:r>
          </w:p>
        </w:tc>
        <w:tc>
          <w:tcPr>
            <w:tcW w:w="1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(in years)</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60" w:type="dxa"/>
            <w:vAlign w:val="bottom"/>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ED"/>
              </w:rPr>
              <w:t>16,734,960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4EEED"/>
              </w:rPr>
              <w:t>62,640,906</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5,575,399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10.99</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D4EEED"/>
              </w:rPr>
              <w:t>(1,045,066)</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Cancelled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highlight w:val="white"/>
              </w:rPr>
              <w:t>(1,650,270)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Options outstanding as of December 31, 2024</w:t>
            </w: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shd w:val="clear" w:color="auto" w:fill="D4EEED"/>
              </w:rPr>
              <w:t>19,615,023</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7.41</w:t>
            </w:r>
          </w:p>
        </w:tc>
        <w:tc>
          <w:tcPr>
            <w:tcW w:w="12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7.43</w:t>
            </w:r>
          </w:p>
        </w:tc>
        <w:tc>
          <w:tcPr>
            <w:tcW w:w="3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2,157,177</w:t>
            </w:r>
          </w:p>
        </w:tc>
        <w:tc>
          <w:tcPr>
            <w:tcW w:w="0" w:type="dxa"/>
            <w:vAlign w:val="bottom"/>
          </w:tcPr>
          <w:p>
            <w:pPr>
              <w:spacing w:after="0"/>
              <w:rPr>
                <w:sz w:val="1"/>
                <w:szCs w:val="1"/>
                <w:color w:val="auto"/>
              </w:rPr>
            </w:pPr>
          </w:p>
        </w:tc>
      </w:tr>
      <w:tr>
        <w:trPr>
          <w:trHeight w:val="266"/>
        </w:trPr>
        <w:tc>
          <w:tcPr>
            <w:tcW w:w="5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exercisable as of December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11,192,619</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2,120,954</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88"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auto"/>
        </w:rPr>
        <w:t>The total intrinsic value of options exercised totaled $4.9 million, $2.8 million, and $3.1 million for the years ended December 31, 2024, 2023, and 2022, respectively. The weighted-average grant date fair value per share of stock options granted was $7.46, $5.41, and $5.48 for the years ended December 31, 2024, 2023, and 2022, respectively.</w:t>
      </w:r>
    </w:p>
    <w:p>
      <w:pPr>
        <w:spacing w:after="0" w:line="188"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2024, total unrecognized compensation expense related to stock options was $42.9 million, which the Company expects to recognize over a remaining weighted-average period of 2.3 years. Substantially all options outstanding as of December 31, 2024 are expected to vest.</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 Option Valuation</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weighted average assumptions used to estimate the grant date fair value of the stock options using the Black-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Scholes option pricing model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156845</wp:posOffset>
            </wp:positionV>
            <wp:extent cx="5786120" cy="7327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
                      <a:extLst>
                        <a:ext uri="{28A0092B-C50C-407E-A947-70E740481C1C}"/>
                      </a:extLst>
                    </a:blip>
                    <a:srcRect/>
                    <a:stretch>
                      <a:fillRect/>
                    </a:stretch>
                  </pic:blipFill>
                  <pic:spPr bwMode="auto">
                    <a:xfrm>
                      <a:off x="0" y="0"/>
                      <a:ext cx="5786120" cy="732790"/>
                    </a:xfrm>
                    <a:prstGeom prst="rect">
                      <a:avLst/>
                    </a:prstGeom>
                    <a:noFill/>
                  </pic:spPr>
                </pic:pic>
              </a:graphicData>
            </a:graphic>
          </wp:anchor>
        </w:drawing>
      </w:r>
    </w:p>
    <w:p>
      <w:pPr>
        <w:spacing w:after="0" w:line="228"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Expected option life (in years)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40" w:type="dxa"/>
            <w:vAlign w:val="bottom"/>
            <w:gridSpan w:val="2"/>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620" w:type="dxa"/>
            <w:vAlign w:val="bottom"/>
            <w:gridSpan w:val="2"/>
          </w:tcPr>
          <w:p>
            <w:pPr>
              <w:jc w:val="center"/>
              <w:ind w:left="4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00"/>
        </w:trPr>
        <w:tc>
          <w:tcPr>
            <w:tcW w:w="4360" w:type="dxa"/>
            <w:vAlign w:val="bottom"/>
            <w:vMerge w:val="continue"/>
          </w:tcPr>
          <w:p>
            <w:pPr>
              <w:spacing w:after="0"/>
              <w:rPr>
                <w:sz w:val="17"/>
                <w:szCs w:val="17"/>
                <w:color w:val="auto"/>
              </w:rPr>
            </w:pPr>
          </w:p>
        </w:tc>
        <w:tc>
          <w:tcPr>
            <w:tcW w:w="14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6.2</w:t>
            </w:r>
          </w:p>
        </w:tc>
        <w:tc>
          <w:tcPr>
            <w:tcW w:w="160" w:type="dxa"/>
            <w:vAlign w:val="bottom"/>
          </w:tcPr>
          <w:p>
            <w:pPr>
              <w:spacing w:after="0"/>
              <w:rPr>
                <w:sz w:val="17"/>
                <w:szCs w:val="17"/>
                <w:color w:val="auto"/>
              </w:rPr>
            </w:pPr>
          </w:p>
        </w:tc>
        <w:tc>
          <w:tcPr>
            <w:tcW w:w="14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5"/>
              </w:rPr>
              <w:t>6.2</w:t>
            </w:r>
          </w:p>
        </w:tc>
        <w:tc>
          <w:tcPr>
            <w:tcW w:w="160" w:type="dxa"/>
            <w:vAlign w:val="bottom"/>
          </w:tcPr>
          <w:p>
            <w:pPr>
              <w:spacing w:after="0"/>
              <w:rPr>
                <w:sz w:val="17"/>
                <w:szCs w:val="17"/>
                <w:color w:val="auto"/>
              </w:rPr>
            </w:pPr>
          </w:p>
        </w:tc>
        <w:tc>
          <w:tcPr>
            <w:tcW w:w="14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5"/>
              </w:rPr>
              <w:t>6.2</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73%</w:t>
            </w:r>
          </w:p>
        </w:tc>
        <w:tc>
          <w:tcPr>
            <w:tcW w:w="1640" w:type="dxa"/>
            <w:vAlign w:val="bottom"/>
            <w:gridSpan w:val="2"/>
          </w:tcPr>
          <w:p>
            <w:pPr>
              <w:jc w:val="center"/>
              <w:ind w:left="67"/>
              <w:spacing w:after="0"/>
              <w:rPr>
                <w:sz w:val="20"/>
                <w:szCs w:val="20"/>
                <w:color w:val="auto"/>
              </w:rPr>
            </w:pPr>
            <w:r>
              <w:rPr>
                <w:rFonts w:ascii="Times New Roman" w:cs="Times New Roman" w:eastAsia="Times New Roman" w:hAnsi="Times New Roman"/>
                <w:sz w:val="20"/>
                <w:szCs w:val="20"/>
                <w:color w:val="auto"/>
                <w:w w:val="98"/>
              </w:rPr>
              <w:t>72%</w:t>
            </w:r>
          </w:p>
        </w:tc>
        <w:tc>
          <w:tcPr>
            <w:tcW w:w="1620" w:type="dxa"/>
            <w:vAlign w:val="bottom"/>
            <w:gridSpan w:val="2"/>
          </w:tcPr>
          <w:p>
            <w:pPr>
              <w:jc w:val="center"/>
              <w:ind w:left="47"/>
              <w:spacing w:after="0"/>
              <w:rPr>
                <w:sz w:val="20"/>
                <w:szCs w:val="20"/>
                <w:color w:val="auto"/>
              </w:rPr>
            </w:pPr>
            <w:r>
              <w:rPr>
                <w:rFonts w:ascii="Times New Roman" w:cs="Times New Roman" w:eastAsia="Times New Roman" w:hAnsi="Times New Roman"/>
                <w:sz w:val="20"/>
                <w:szCs w:val="20"/>
                <w:color w:val="auto"/>
                <w:w w:val="98"/>
              </w:rPr>
              <w:t>72%</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3.9%</w:t>
            </w:r>
          </w:p>
        </w:tc>
        <w:tc>
          <w:tcPr>
            <w:tcW w:w="1640" w:type="dxa"/>
            <w:vAlign w:val="bottom"/>
            <w:gridSpan w:val="2"/>
          </w:tcPr>
          <w:p>
            <w:pPr>
              <w:jc w:val="center"/>
              <w:ind w:left="67"/>
              <w:spacing w:after="0"/>
              <w:rPr>
                <w:sz w:val="20"/>
                <w:szCs w:val="20"/>
                <w:color w:val="auto"/>
              </w:rPr>
            </w:pPr>
            <w:r>
              <w:rPr>
                <w:rFonts w:ascii="Times New Roman" w:cs="Times New Roman" w:eastAsia="Times New Roman" w:hAnsi="Times New Roman"/>
                <w:sz w:val="20"/>
                <w:szCs w:val="20"/>
                <w:color w:val="auto"/>
                <w:w w:val="95"/>
              </w:rPr>
              <w:t>4.1%</w:t>
            </w:r>
          </w:p>
        </w:tc>
        <w:tc>
          <w:tcPr>
            <w:tcW w:w="1620" w:type="dxa"/>
            <w:vAlign w:val="bottom"/>
            <w:gridSpan w:val="2"/>
          </w:tcPr>
          <w:p>
            <w:pPr>
              <w:jc w:val="center"/>
              <w:ind w:left="67"/>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66"/>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 %</w:t>
            </w:r>
          </w:p>
        </w:tc>
        <w:tc>
          <w:tcPr>
            <w:tcW w:w="1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960" w:h="16560" w:orient="portrait"/>
          <w:cols w:equalWidth="0" w:num="1">
            <w:col w:w="10080"/>
          </w:cols>
          <w:pgMar w:left="1440" w:top="1420" w:right="1440" w:bottom="546"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960" w:h="16560" w:orient="portrait"/>
          <w:cols w:equalWidth="0" w:num="1">
            <w:col w:w="10080"/>
          </w:cols>
          <w:pgMar w:left="1440" w:top="1420" w:right="1440" w:bottom="546" w:gutter="0" w:footer="0" w:header="0"/>
          <w:type w:val="continuous"/>
        </w:sectPr>
      </w:pPr>
    </w:p>
    <w:bookmarkStart w:id="126" w:name="page127"/>
    <w:bookmarkEnd w:id="126"/>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240"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119380</wp:posOffset>
            </wp:positionV>
            <wp:extent cx="5786120" cy="949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0">
                      <a:extLst>
                        <a:ext uri="{28A0092B-C50C-407E-A947-70E740481C1C}"/>
                      </a:extLst>
                    </a:blip>
                    <a:srcRect/>
                    <a:stretch>
                      <a:fillRect/>
                    </a:stretch>
                  </pic:blipFill>
                  <pic:spPr bwMode="auto">
                    <a:xfrm>
                      <a:off x="0" y="0"/>
                      <a:ext cx="5786120" cy="949960"/>
                    </a:xfrm>
                    <a:prstGeom prst="rect">
                      <a:avLst/>
                    </a:prstGeom>
                    <a:noFill/>
                  </pic:spPr>
                </pic:pic>
              </a:graphicData>
            </a:graphic>
          </wp:anchor>
        </w:drawing>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5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74"/>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5"/>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8"/>
              <w:spacing w:after="0" w:line="174"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5"/>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54"/>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10,047</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6,812</w:t>
            </w:r>
          </w:p>
        </w:tc>
      </w:tr>
      <w:tr>
        <w:trPr>
          <w:trHeight w:val="249"/>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13,169</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9,032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7,418</w:t>
            </w:r>
          </w:p>
        </w:tc>
      </w:tr>
      <w:tr>
        <w:trPr>
          <w:trHeight w:val="220"/>
        </w:trPr>
        <w:tc>
          <w:tcPr>
            <w:tcW w:w="53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28,897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19,079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14,230</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Income Taxes</w:t>
      </w:r>
    </w:p>
    <w:p>
      <w:pPr>
        <w:spacing w:after="0" w:line="24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2023, and 2022 the Company recorded total tax provisions of $0.2 million, $0.1 million, and less than $0.1 million, respectively. All of the Company’s operating losses since inception have been generated in the United States.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145415</wp:posOffset>
            </wp:positionV>
            <wp:extent cx="5786120" cy="1440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1">
                      <a:extLst>
                        <a:ext uri="{28A0092B-C50C-407E-A947-70E740481C1C}"/>
                      </a:extLst>
                    </a:blip>
                    <a:srcRect/>
                    <a:stretch>
                      <a:fillRect/>
                    </a:stretch>
                  </pic:blipFill>
                  <pic:spPr bwMode="auto">
                    <a:xfrm>
                      <a:off x="0" y="0"/>
                      <a:ext cx="5786120" cy="1440180"/>
                    </a:xfrm>
                    <a:prstGeom prst="rect">
                      <a:avLst/>
                    </a:prstGeom>
                    <a:noFill/>
                  </pic:spPr>
                </pic:pic>
              </a:graphicData>
            </a:graphic>
          </wp:anchor>
        </w:drawing>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080" w:type="dxa"/>
            <w:vAlign w:val="bottom"/>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taxes at U.S. federal statutory rate</w:t>
            </w:r>
          </w:p>
        </w:tc>
        <w:tc>
          <w:tcPr>
            <w:tcW w:w="11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40" w:type="dxa"/>
            <w:vAlign w:val="bottom"/>
            <w:vMerge w:val="continue"/>
          </w:tcPr>
          <w:p>
            <w:pPr>
              <w:spacing w:after="0"/>
              <w:rPr>
                <w:sz w:val="17"/>
                <w:szCs w:val="17"/>
                <w:color w:val="auto"/>
              </w:rPr>
            </w:pPr>
          </w:p>
        </w:tc>
        <w:tc>
          <w:tcPr>
            <w:tcW w:w="144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20"/>
                <w:szCs w:val="20"/>
                <w:color w:val="auto"/>
              </w:rPr>
              <w:t>21.0%</w:t>
            </w:r>
          </w:p>
        </w:tc>
        <w:tc>
          <w:tcPr>
            <w:tcW w:w="144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20"/>
                <w:szCs w:val="20"/>
                <w:color w:val="auto"/>
              </w:rPr>
              <w:t>21.0%</w:t>
            </w:r>
          </w:p>
        </w:tc>
        <w:tc>
          <w:tcPr>
            <w:tcW w:w="200" w:type="dxa"/>
            <w:vAlign w:val="bottom"/>
          </w:tcPr>
          <w:p>
            <w:pPr>
              <w:spacing w:after="0"/>
              <w:rPr>
                <w:sz w:val="17"/>
                <w:szCs w:val="17"/>
                <w:color w:val="auto"/>
              </w:rPr>
            </w:pPr>
          </w:p>
        </w:tc>
        <w:tc>
          <w:tcPr>
            <w:tcW w:w="116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Federal and state research and development tax credits</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Nondeductible/nontaxable permanent items</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(0.1)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(0.2)</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(0.2)</w:t>
            </w: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(33.1)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(31.8)</w:t>
            </w:r>
          </w:p>
        </w:tc>
        <w:tc>
          <w:tcPr>
            <w:tcW w:w="2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(29.1)</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840" w:type="dxa"/>
            <w:vAlign w:val="bottom"/>
            <w:vMerge w:val="continue"/>
          </w:tcPr>
          <w:p>
            <w:pPr>
              <w:spacing w:after="0"/>
              <w:rPr>
                <w:sz w:val="22"/>
                <w:szCs w:val="22"/>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(0.1)%</w:t>
            </w:r>
          </w:p>
        </w:tc>
        <w:tc>
          <w:tcPr>
            <w:tcW w:w="2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The tax effects of temporary differences that give rise to significant components of the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100965</wp:posOffset>
            </wp:positionV>
            <wp:extent cx="5786120" cy="2757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2">
                      <a:extLst>
                        <a:ext uri="{28A0092B-C50C-407E-A947-70E740481C1C}"/>
                      </a:extLst>
                    </a:blip>
                    <a:srcRect/>
                    <a:stretch>
                      <a:fillRect/>
                    </a:stretch>
                  </pic:blipFill>
                  <pic:spPr bwMode="auto">
                    <a:xfrm>
                      <a:off x="0" y="0"/>
                      <a:ext cx="5786120" cy="2757170"/>
                    </a:xfrm>
                    <a:prstGeom prst="rect">
                      <a:avLst/>
                    </a:prstGeom>
                    <a:noFill/>
                  </pic:spPr>
                </pic:pic>
              </a:graphicData>
            </a:graphic>
          </wp:anchor>
        </w:drawing>
      </w:r>
    </w:p>
    <w:p>
      <w:pPr>
        <w:spacing w:after="0" w:line="139"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2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64"/>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61"/>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tcPr>
          <w:p>
            <w:pPr>
              <w:spacing w:after="0"/>
              <w:rPr>
                <w:sz w:val="18"/>
                <w:szCs w:val="18"/>
                <w:color w:val="auto"/>
              </w:rPr>
            </w:pP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30,640</w:t>
            </w:r>
          </w:p>
        </w:tc>
        <w:tc>
          <w:tcPr>
            <w:tcW w:w="240" w:type="dxa"/>
            <w:vAlign w:val="bottom"/>
          </w:tcPr>
          <w:p>
            <w:pPr>
              <w:spacing w:after="0"/>
              <w:rPr>
                <w:sz w:val="19"/>
                <w:szCs w:val="19"/>
                <w:color w:val="auto"/>
              </w:rPr>
            </w:pPr>
          </w:p>
        </w:tc>
        <w:tc>
          <w:tcPr>
            <w:tcW w:w="4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 credit carryforwards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27,775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Accruals and reserves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Capitalized research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71,315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compensation and other</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8,123</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220" w:type="dxa"/>
            <w:vAlign w:val="bottom"/>
          </w:tcPr>
          <w:p>
            <w:pPr>
              <w:ind w:left="400"/>
              <w:spacing w:after="0" w:line="201" w:lineRule="exact"/>
              <w:rPr>
                <w:sz w:val="20"/>
                <w:szCs w:val="20"/>
                <w:color w:val="auto"/>
              </w:rPr>
            </w:pPr>
            <w:r>
              <w:rPr>
                <w:rFonts w:ascii="Times New Roman" w:cs="Times New Roman" w:eastAsia="Times New Roman" w:hAnsi="Times New Roman"/>
                <w:sz w:val="20"/>
                <w:szCs w:val="20"/>
                <w:color w:val="auto"/>
              </w:rPr>
              <w:t>Total gross deferred tax assets</w:t>
            </w:r>
          </w:p>
        </w:tc>
        <w:tc>
          <w:tcPr>
            <w:tcW w:w="30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168,852</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127,364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3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(156,402)</w:t>
            </w:r>
          </w:p>
        </w:tc>
        <w:tc>
          <w:tcPr>
            <w:tcW w:w="4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(113,397)</w:t>
            </w:r>
          </w:p>
        </w:tc>
        <w:tc>
          <w:tcPr>
            <w:tcW w:w="0" w:type="dxa"/>
            <w:vAlign w:val="bottom"/>
          </w:tcPr>
          <w:p>
            <w:pPr>
              <w:spacing w:after="0"/>
              <w:rPr>
                <w:sz w:val="1"/>
                <w:szCs w:val="1"/>
                <w:color w:val="auto"/>
              </w:rPr>
            </w:pPr>
          </w:p>
        </w:tc>
      </w:tr>
      <w:tr>
        <w:trPr>
          <w:trHeight w:val="220"/>
        </w:trPr>
        <w:tc>
          <w:tcPr>
            <w:tcW w:w="62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deferred tax assets</w:t>
            </w:r>
          </w:p>
        </w:tc>
        <w:tc>
          <w:tcPr>
            <w:tcW w:w="300" w:type="dxa"/>
            <w:vAlign w:val="bottom"/>
            <w:tcBorders>
              <w:top w:val="single" w:sz="8" w:color="auto"/>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12,450</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right="2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13,967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2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(1,705)</w:t>
            </w:r>
          </w:p>
        </w:tc>
        <w:tc>
          <w:tcPr>
            <w:tcW w:w="420" w:type="dxa"/>
            <w:vAlign w:val="bottom"/>
          </w:tcPr>
          <w:p>
            <w:pPr>
              <w:jc w:val="center"/>
              <w:ind w:right="22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(2,126)</w:t>
            </w:r>
          </w:p>
        </w:tc>
        <w:tc>
          <w:tcPr>
            <w:tcW w:w="0" w:type="dxa"/>
            <w:vAlign w:val="bottom"/>
          </w:tcPr>
          <w:p>
            <w:pPr>
              <w:spacing w:after="0"/>
              <w:rPr>
                <w:sz w:val="1"/>
                <w:szCs w:val="1"/>
                <w:color w:val="auto"/>
              </w:rPr>
            </w:pPr>
          </w:p>
        </w:tc>
      </w:tr>
      <w:tr>
        <w:trPr>
          <w:trHeight w:val="249"/>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Right-of-use asset</w:t>
            </w:r>
          </w:p>
        </w:tc>
        <w:tc>
          <w:tcPr>
            <w:tcW w:w="3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(10,745)</w:t>
            </w:r>
          </w:p>
        </w:tc>
        <w:tc>
          <w:tcPr>
            <w:tcW w:w="4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(11,841)</w:t>
            </w:r>
          </w:p>
        </w:tc>
        <w:tc>
          <w:tcPr>
            <w:tcW w:w="0" w:type="dxa"/>
            <w:vAlign w:val="bottom"/>
          </w:tcPr>
          <w:p>
            <w:pPr>
              <w:spacing w:after="0"/>
              <w:rPr>
                <w:sz w:val="1"/>
                <w:szCs w:val="1"/>
                <w:color w:val="auto"/>
              </w:rPr>
            </w:pPr>
          </w:p>
        </w:tc>
      </w:tr>
      <w:tr>
        <w:trPr>
          <w:trHeight w:val="220"/>
        </w:trPr>
        <w:tc>
          <w:tcPr>
            <w:tcW w:w="62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gross deferred tax liabilities</w:t>
            </w: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(12,450)</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(13,967)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deferred taxes</w:t>
            </w: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center"/>
              <w:ind w:right="2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auto"/>
        </w:rPr>
        <w:t>The operating lease liability deferred tax asset in the table above includes leasehold improvements related to the Company's 201 Brookline Avenue facility lease that has tax basis with no book basis.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F-25</w:t>
      </w:r>
    </w:p>
    <w:p>
      <w:pPr>
        <w:sectPr>
          <w:pgSz w:w="12960" w:h="16560" w:orient="portrait"/>
          <w:cols w:equalWidth="0" w:num="1">
            <w:col w:w="10080"/>
          </w:cols>
          <w:pgMar w:left="1440" w:top="1420" w:right="1440" w:bottom="535" w:gutter="0" w:footer="0" w:header="0"/>
        </w:sectPr>
      </w:pPr>
    </w:p>
    <w:bookmarkStart w:id="127" w:name="page128"/>
    <w:bookmarkEnd w:id="127"/>
    <w:p>
      <w:pPr>
        <w:ind w:right="140" w:firstLine="490"/>
        <w:spacing w:after="0" w:line="247" w:lineRule="auto"/>
        <w:rPr>
          <w:sz w:val="20"/>
          <w:szCs w:val="20"/>
          <w:color w:val="auto"/>
        </w:rPr>
      </w:pPr>
      <w:r>
        <w:rPr>
          <w:rFonts w:ascii="Times New Roman" w:cs="Times New Roman" w:eastAsia="Times New Roman" w:hAnsi="Times New Roman"/>
          <w:sz w:val="20"/>
          <w:szCs w:val="20"/>
          <w:color w:val="auto"/>
        </w:rPr>
        <w:t>As of December 31, 2024, the Company had U.S. federal and state net operating loss (NOL) carryforwards of $112.4 million and $123.9 million, respectively, which may be available to offset future taxable income. The federal NOLs include $2.8 million which expire at various dates beginning in 2036 and $109.6 million which carry forward indefinitely. The state NOLs expire at various dates beginning in 2036. As of December 31, 2024, the Company also had U.S. federal and state research and development tax credit carryforwards of $20.0 million and $10.1 million, respectively, which may be available to offset future tax. The federal credits will expire beginning in 2034, and the state credits will expire beginning in 2025.</w:t>
      </w:r>
    </w:p>
    <w:p>
      <w:pPr>
        <w:spacing w:after="0" w:line="20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last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expired unutilized.</w:t>
      </w:r>
    </w:p>
    <w:p>
      <w:pPr>
        <w:spacing w:after="0" w:line="20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2024 and 2023. Management reevaluates the positive and negative evidence at each reporting period. The Company recorded an increase to the valuation allowance of $43.0 million during 2024 related primarily to the increase in net operating loss carryforwards, research and development tax credit carryforwards, and capitalized research costs.</w:t>
      </w:r>
    </w:p>
    <w:p>
      <w:pPr>
        <w:spacing w:after="0" w:line="202"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2024 and 2023, the Company had not recorded any amounts for unrecognized tax benefits. The Company’s policy is to record interest and penalties related to income taxes as part of its income tax provision. As of December 31, 2024 and 2023, the Company had no accrued interest or penalties related to uncertain tax positions in the consolidated statements of operations and comprehensive loss.</w:t>
      </w:r>
    </w:p>
    <w:p>
      <w:pPr>
        <w:spacing w:after="0" w:line="194" w:lineRule="exact"/>
        <w:rPr>
          <w:sz w:val="20"/>
          <w:szCs w:val="20"/>
          <w:color w:val="auto"/>
        </w:rPr>
      </w:pPr>
    </w:p>
    <w:p>
      <w:pPr>
        <w:ind w:right="120" w:firstLine="490"/>
        <w:spacing w:after="0" w:line="265" w:lineRule="auto"/>
        <w:rPr>
          <w:sz w:val="20"/>
          <w:szCs w:val="20"/>
          <w:color w:val="auto"/>
        </w:rPr>
      </w:pPr>
      <w:r>
        <w:rPr>
          <w:rFonts w:ascii="Times New Roman" w:cs="Times New Roman" w:eastAsia="Times New Roman" w:hAnsi="Times New Roman"/>
          <w:sz w:val="19"/>
          <w:szCs w:val="19"/>
          <w:color w:val="auto"/>
        </w:rPr>
        <w:t>The Company files income tax returns in the U.S. federal and state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2021, although carryforward attributes that were generated prior to 2021 may still be subject to change upon examination if they are utilized to offset taxable income in subsequent tax years. There are currently no federal or state income tax audits in progress.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401(K) Savings Plan</w:t>
      </w:r>
    </w:p>
    <w:p>
      <w:pPr>
        <w:spacing w:after="0" w:line="24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 Company maintains a 401(k) retirement savings plan for employees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The Company made matching contributions to participants in the 401(k) plan of $1.3 million, $0.9 million and $0.7 million during the years ended December 31, 2024, 2023 and 2022, respectively.</w:t>
      </w:r>
    </w:p>
    <w:p>
      <w:pPr>
        <w:sectPr>
          <w:pgSz w:w="12960" w:h="16560" w:orient="portrait"/>
          <w:cols w:equalWidth="0" w:num="1">
            <w:col w:w="10080"/>
          </w:cols>
          <w:pgMar w:left="1440" w:top="1420" w:right="1440" w:bottom="5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960" w:h="16560" w:orient="portrait"/>
          <w:cols w:equalWidth="0" w:num="1">
            <w:col w:w="10080"/>
          </w:cols>
          <w:pgMar w:left="1440" w:top="1420" w:right="1440" w:bottom="546"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14. Net Loss Per Share</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Basic and diluted net loss per share attributable to common stockholders was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151765</wp:posOffset>
            </wp:positionV>
            <wp:extent cx="5786120" cy="1388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3">
                      <a:extLst>
                        <a:ext uri="{28A0092B-C50C-407E-A947-70E740481C1C}"/>
                      </a:extLst>
                    </a:blip>
                    <a:srcRect/>
                    <a:stretch>
                      <a:fillRect/>
                    </a:stretch>
                  </pic:blipFill>
                  <pic:spPr bwMode="auto">
                    <a:xfrm>
                      <a:off x="0" y="0"/>
                      <a:ext cx="5786120" cy="1388110"/>
                    </a:xfrm>
                    <a:prstGeom prst="rect">
                      <a:avLst/>
                    </a:prstGeom>
                    <a:noFill/>
                  </pic:spPr>
                </pic:pic>
              </a:graphicData>
            </a:graphic>
          </wp:anchor>
        </w:drawing>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7"/>
          </w:tcPr>
          <w:p>
            <w:pPr>
              <w:jc w:val="center"/>
              <w:ind w:left="7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40" w:type="dxa"/>
            <w:vAlign w:val="bottom"/>
            <w:gridSpan w:val="9"/>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 thousands, except share and per</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share data)</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Numerator:</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(130,302)</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(101,744)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(108,176)</w:t>
            </w:r>
          </w:p>
        </w:tc>
        <w:tc>
          <w:tcPr>
            <w:tcW w:w="0" w:type="dxa"/>
            <w:vAlign w:val="bottom"/>
          </w:tcPr>
          <w:p>
            <w:pPr>
              <w:spacing w:after="0"/>
              <w:rPr>
                <w:sz w:val="1"/>
                <w:szCs w:val="1"/>
                <w:color w:val="auto"/>
              </w:rPr>
            </w:pPr>
          </w:p>
        </w:tc>
      </w:tr>
      <w:tr>
        <w:trPr>
          <w:trHeight w:val="200"/>
        </w:trPr>
        <w:tc>
          <w:tcPr>
            <w:tcW w:w="49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Denominator:</w:t>
            </w: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Weighted-average common stock outstanding – basic and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109,226,731</w:t>
            </w:r>
          </w:p>
        </w:tc>
        <w:tc>
          <w:tcPr>
            <w:tcW w:w="2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94,572,448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87,820,037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8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Net loss per common share – basic and diluted</w:t>
            </w: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202"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The Company’s potential dilutive securities, which include common stock options and unvested restricted common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126365</wp:posOffset>
            </wp:positionV>
            <wp:extent cx="5786120" cy="709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4">
                      <a:extLst>
                        <a:ext uri="{28A0092B-C50C-407E-A947-70E740481C1C}"/>
                      </a:extLst>
                    </a:blip>
                    <a:srcRect/>
                    <a:stretch>
                      <a:fillRect/>
                    </a:stretch>
                  </pic:blipFill>
                  <pic:spPr bwMode="auto">
                    <a:xfrm>
                      <a:off x="0" y="0"/>
                      <a:ext cx="5786120" cy="709930"/>
                    </a:xfrm>
                    <a:prstGeom prst="rect">
                      <a:avLst/>
                    </a:prstGeom>
                    <a:noFill/>
                  </pic:spPr>
                </pic:pic>
              </a:graphicData>
            </a:graphic>
          </wp:anchor>
        </w:drawing>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3340" w:type="dxa"/>
            <w:vAlign w:val="bottom"/>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Stock options to purchase common stock</w:t>
            </w:r>
          </w:p>
        </w:tc>
        <w:tc>
          <w:tcPr>
            <w:tcW w:w="1340" w:type="dxa"/>
            <w:vAlign w:val="bottom"/>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0"/>
        </w:trPr>
        <w:tc>
          <w:tcPr>
            <w:tcW w:w="4520" w:type="dxa"/>
            <w:vAlign w:val="bottom"/>
            <w:vMerge w:val="continue"/>
          </w:tcPr>
          <w:p>
            <w:pPr>
              <w:spacing w:after="0"/>
              <w:rPr>
                <w:sz w:val="17"/>
                <w:szCs w:val="17"/>
                <w:color w:val="auto"/>
              </w:rPr>
            </w:pPr>
          </w:p>
        </w:tc>
        <w:tc>
          <w:tcPr>
            <w:tcW w:w="13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19,615,023</w:t>
            </w:r>
          </w:p>
        </w:tc>
        <w:tc>
          <w:tcPr>
            <w:tcW w:w="220" w:type="dxa"/>
            <w:vAlign w:val="bottom"/>
          </w:tcPr>
          <w:p>
            <w:pPr>
              <w:spacing w:after="0"/>
              <w:rPr>
                <w:sz w:val="17"/>
                <w:szCs w:val="17"/>
                <w:color w:val="auto"/>
              </w:rPr>
            </w:pPr>
          </w:p>
        </w:tc>
        <w:tc>
          <w:tcPr>
            <w:tcW w:w="13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16,734,960</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12,924,086</w:t>
            </w: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Unvested restricted 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1,209,333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757,514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45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3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20,824,356</w:t>
            </w: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17,492,474</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12,924,086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Segment Information</w:t>
      </w:r>
    </w:p>
    <w:p>
      <w:pPr>
        <w:spacing w:after="0" w:line="244"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auto"/>
        </w:rPr>
        <w:t>The Company operates in the U.S. and has one operating segment that is managed on a consolidated basis. The Company’s revenues are primarily generated through its license and collaboration agreement with Gilead. The accounting policies, as described in the summary of significant accounting policies, is applicable across all Company operations. The Company’s chief executive officer (CEO), as the chief operating decision maker (CODM), manages and allocates resources to the operations of our company on a consolidated basis. Managing and allocating resources on a total company basis enables the CODM to assess the overall level of resources available and how to best deploy these resources across departments and research and development programs that are in-line with our long-term company-wide strategic goals. Consistent with this decision-making process, the Company’s CODM uses consolidated, single-segment financial information for purposes of evaluating performance, forecasting future period financial results and allocating resources.</w:t>
      </w:r>
    </w:p>
    <w:p>
      <w:pPr>
        <w:spacing w:after="0" w:line="206"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auto"/>
        </w:rPr>
        <w:t>The CODM assesses performance and decides how to allocate resources based on segment net income (loss). This measure is used to monitor budget versus actual results to assess performance of the segment.</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presents the Company’s segment expense for the years ended December 31, 2024, 2023 and 2022:</w:t>
      </w:r>
    </w:p>
    <w:p>
      <w:pPr>
        <w:sectPr>
          <w:pgSz w:w="12960" w:h="16560" w:orient="portrait"/>
          <w:cols w:equalWidth="0" w:num="1">
            <w:col w:w="10080"/>
          </w:cols>
          <w:pgMar w:left="1440" w:top="1416" w:right="1440" w:bottom="5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960" w:h="16560" w:orient="portrait"/>
          <w:cols w:equalWidth="0" w:num="1">
            <w:col w:w="10080"/>
          </w:cols>
          <w:pgMar w:left="1440" w:top="1416" w:right="1440" w:bottom="546" w:gutter="0" w:footer="0" w:header="0"/>
          <w:type w:val="continuous"/>
        </w:sectPr>
      </w:pPr>
    </w:p>
    <w:bookmarkStart w:id="129" w:name="page130"/>
    <w:bookmarkEnd w:id="129"/>
    <w:tbl>
      <w:tblPr>
        <w:tblLayout w:type="fixed"/>
        <w:tblInd w:w="260" w:type="dxa"/>
        <w:tblCellMar>
          <w:top w:w="0" w:type="dxa"/>
          <w:left w:w="0" w:type="dxa"/>
          <w:bottom w:w="0" w:type="dxa"/>
          <w:right w:w="0" w:type="dxa"/>
        </w:tblCellMar>
      </w:tblPr>
      <w:tr>
        <w:trPr>
          <w:trHeight w:val="198"/>
        </w:trPr>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Oncology Segment</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8"/>
        </w:trPr>
        <w:tc>
          <w:tcPr>
            <w:tcW w:w="3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6"/>
                <w:szCs w:val="16"/>
                <w:color w:val="auto"/>
              </w:rPr>
            </w:pPr>
          </w:p>
        </w:tc>
      </w:tr>
      <w:tr>
        <w:trPr>
          <w:trHeight w:val="172"/>
        </w:trPr>
        <w:tc>
          <w:tcPr>
            <w:tcW w:w="3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44"/>
              <w:spacing w:after="0" w:line="17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42,069</w:t>
            </w:r>
          </w:p>
        </w:tc>
        <w:tc>
          <w:tcPr>
            <w:tcW w:w="14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36,527</w:t>
            </w:r>
          </w:p>
        </w:tc>
        <w:tc>
          <w:tcPr>
            <w:tcW w:w="280" w:type="dxa"/>
            <w:vAlign w:val="bottom"/>
          </w:tcPr>
          <w:p>
            <w:pPr>
              <w:spacing w:after="0"/>
              <w:rPr>
                <w:sz w:val="21"/>
                <w:szCs w:val="21"/>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24,860</w:t>
            </w:r>
          </w:p>
        </w:tc>
        <w:tc>
          <w:tcPr>
            <w:tcW w:w="60" w:type="dxa"/>
            <w:vAlign w:val="bottom"/>
          </w:tcPr>
          <w:p>
            <w:pPr>
              <w:spacing w:after="0"/>
              <w:rPr>
                <w:sz w:val="21"/>
                <w:szCs w:val="21"/>
                <w:color w:val="auto"/>
              </w:rPr>
            </w:pPr>
          </w:p>
        </w:tc>
      </w:tr>
      <w:tr>
        <w:trPr>
          <w:trHeight w:val="266"/>
        </w:trPr>
        <w:tc>
          <w:tcPr>
            <w:tcW w:w="39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Less:</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6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TNG462 direct program expenses - R&amp;D</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10,158</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7,206</w:t>
            </w:r>
          </w:p>
        </w:tc>
        <w:tc>
          <w:tcPr>
            <w:tcW w:w="60" w:type="dxa"/>
            <w:vAlign w:val="bottom"/>
          </w:tcPr>
          <w:p>
            <w:pPr>
              <w:spacing w:after="0"/>
              <w:rPr>
                <w:sz w:val="22"/>
                <w:szCs w:val="22"/>
                <w:color w:val="auto"/>
              </w:rPr>
            </w:pPr>
          </w:p>
        </w:tc>
      </w:tr>
      <w:tr>
        <w:trPr>
          <w:trHeight w:val="28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TNG456 direct program expenses - R&amp;D</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TNG908 direct program expenses* - R&amp;D</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12,818</w:t>
            </w:r>
          </w:p>
        </w:tc>
        <w:tc>
          <w:tcPr>
            <w:tcW w:w="60" w:type="dxa"/>
            <w:vAlign w:val="bottom"/>
          </w:tcPr>
          <w:p>
            <w:pPr>
              <w:spacing w:after="0"/>
              <w:rPr>
                <w:sz w:val="21"/>
                <w:szCs w:val="21"/>
                <w:color w:val="auto"/>
              </w:rPr>
            </w:pPr>
          </w:p>
        </w:tc>
      </w:tr>
      <w:tr>
        <w:trPr>
          <w:trHeight w:val="28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TNG260 direct program expenses - R&amp;D</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8,171</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4,906</w:t>
            </w:r>
          </w:p>
        </w:tc>
        <w:tc>
          <w:tcPr>
            <w:tcW w:w="60" w:type="dxa"/>
            <w:vAlign w:val="bottom"/>
          </w:tcPr>
          <w:p>
            <w:pPr>
              <w:spacing w:after="0"/>
              <w:rPr>
                <w:sz w:val="24"/>
                <w:szCs w:val="24"/>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TNG348 direct program expenses** - R&amp;D</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9,874</w:t>
            </w:r>
          </w:p>
        </w:tc>
        <w:tc>
          <w:tcPr>
            <w:tcW w:w="60" w:type="dxa"/>
            <w:vAlign w:val="bottom"/>
          </w:tcPr>
          <w:p>
            <w:pPr>
              <w:spacing w:after="0"/>
              <w:rPr>
                <w:sz w:val="21"/>
                <w:szCs w:val="21"/>
                <w:color w:val="auto"/>
              </w:rPr>
            </w:pPr>
          </w:p>
        </w:tc>
      </w:tr>
      <w:tr>
        <w:trPr>
          <w:trHeight w:val="28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Discovery direct program expenses - R&amp;D</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24,440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23,426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28,763</w:t>
            </w:r>
          </w:p>
        </w:tc>
        <w:tc>
          <w:tcPr>
            <w:tcW w:w="60" w:type="dxa"/>
            <w:vAlign w:val="bottom"/>
          </w:tcPr>
          <w:p>
            <w:pPr>
              <w:spacing w:after="0"/>
              <w:rPr>
                <w:sz w:val="24"/>
                <w:szCs w:val="24"/>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Personnel-related expenses - R&amp;D</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51,457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38,469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28,185</w:t>
            </w:r>
          </w:p>
        </w:tc>
        <w:tc>
          <w:tcPr>
            <w:tcW w:w="60" w:type="dxa"/>
            <w:vAlign w:val="bottom"/>
          </w:tcPr>
          <w:p>
            <w:pPr>
              <w:spacing w:after="0"/>
              <w:rPr>
                <w:sz w:val="21"/>
                <w:szCs w:val="21"/>
                <w:color w:val="auto"/>
              </w:rPr>
            </w:pPr>
          </w:p>
        </w:tc>
      </w:tr>
      <w:tr>
        <w:trPr>
          <w:trHeight w:val="28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Facilities and other related expenses - R&amp;D</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18,884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14,154</w:t>
            </w:r>
          </w:p>
        </w:tc>
        <w:tc>
          <w:tcPr>
            <w:tcW w:w="60" w:type="dxa"/>
            <w:vAlign w:val="bottom"/>
          </w:tcPr>
          <w:p>
            <w:pPr>
              <w:spacing w:after="0"/>
              <w:rPr>
                <w:sz w:val="24"/>
                <w:szCs w:val="24"/>
                <w:color w:val="auto"/>
              </w:rPr>
            </w:pPr>
          </w:p>
        </w:tc>
      </w:tr>
      <w:tr>
        <w:trPr>
          <w:trHeight w:val="249"/>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Other segment expenses (a)</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28,453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23,073</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27,130</w:t>
            </w:r>
          </w:p>
        </w:tc>
        <w:tc>
          <w:tcPr>
            <w:tcW w:w="60" w:type="dxa"/>
            <w:vAlign w:val="bottom"/>
          </w:tcPr>
          <w:p>
            <w:pPr>
              <w:spacing w:after="0"/>
              <w:rPr>
                <w:sz w:val="21"/>
                <w:szCs w:val="21"/>
                <w:color w:val="auto"/>
              </w:rPr>
            </w:pPr>
          </w:p>
        </w:tc>
      </w:tr>
      <w:tr>
        <w:trPr>
          <w:trHeight w:val="273"/>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Segment net loss</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(130,302)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(101,744)</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(108,176)</w:t>
            </w:r>
          </w:p>
        </w:tc>
      </w:tr>
      <w:tr>
        <w:trPr>
          <w:trHeight w:val="20"/>
        </w:trPr>
        <w:tc>
          <w:tcPr>
            <w:tcW w:w="3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901700</wp:posOffset>
            </wp:positionV>
            <wp:extent cx="6106160" cy="254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5">
                      <a:extLst>
                        <a:ext uri="{28A0092B-C50C-407E-A947-70E740481C1C}"/>
                      </a:extLst>
                    </a:blip>
                    <a:srcRect/>
                    <a:stretch>
                      <a:fillRect/>
                    </a:stretch>
                  </pic:blipFill>
                  <pic:spPr bwMode="auto">
                    <a:xfrm>
                      <a:off x="0" y="0"/>
                      <a:ext cx="6106160" cy="2546985"/>
                    </a:xfrm>
                    <a:prstGeom prst="rect">
                      <a:avLst/>
                    </a:prstGeom>
                    <a:noFill/>
                  </pic:spPr>
                </pic:pic>
              </a:graphicData>
            </a:graphic>
          </wp:anchor>
        </w:drawing>
      </w:r>
    </w:p>
    <w:p>
      <w:pPr>
        <w:ind w:left="500" w:right="240"/>
        <w:spacing w:after="0" w:line="258" w:lineRule="auto"/>
        <w:rPr>
          <w:sz w:val="20"/>
          <w:szCs w:val="20"/>
          <w:color w:val="auto"/>
        </w:rPr>
      </w:pPr>
      <w:r>
        <w:rPr>
          <w:rFonts w:ascii="Times New Roman" w:cs="Times New Roman" w:eastAsia="Times New Roman" w:hAnsi="Times New Roman"/>
          <w:sz w:val="20"/>
          <w:szCs w:val="20"/>
          <w:color w:val="auto"/>
        </w:rPr>
        <w:t>*In November 2024, we announced we stopped enrollment of the TNG908 Phase 1/2 clinical trial due to insufficient brain exposure for clinical activity in GBM patients and portfolio prioritization. Expenses beyond November 2024 related to previously enrolled patients and close-out clinical trial costs.</w:t>
      </w:r>
    </w:p>
    <w:p>
      <w:pPr>
        <w:spacing w:after="0" w:line="68" w:lineRule="exact"/>
        <w:rPr>
          <w:sz w:val="20"/>
          <w:szCs w:val="20"/>
          <w:color w:val="auto"/>
        </w:rPr>
      </w:pPr>
    </w:p>
    <w:p>
      <w:pPr>
        <w:ind w:left="500" w:right="160"/>
        <w:spacing w:after="0" w:line="305" w:lineRule="auto"/>
        <w:rPr>
          <w:sz w:val="20"/>
          <w:szCs w:val="20"/>
          <w:color w:val="auto"/>
        </w:rPr>
      </w:pPr>
      <w:r>
        <w:rPr>
          <w:rFonts w:ascii="Times New Roman" w:cs="Times New Roman" w:eastAsia="Times New Roman" w:hAnsi="Times New Roman"/>
          <w:sz w:val="19"/>
          <w:szCs w:val="19"/>
          <w:color w:val="auto"/>
        </w:rPr>
        <w:t>**In May 2024, we announced the discontinuation of TNG348, a USP1 inhibitor, due to toxicity observed in the dose escalation portion of our Phase 1/2 clinical trial. Expenses beyond May 2024 related to close-out clinical trial costs.</w:t>
      </w:r>
    </w:p>
    <w:p>
      <w:pPr>
        <w:spacing w:after="0" w:line="25" w:lineRule="exact"/>
        <w:rPr>
          <w:sz w:val="20"/>
          <w:szCs w:val="20"/>
          <w:color w:val="auto"/>
        </w:rPr>
      </w:pPr>
    </w:p>
    <w:p>
      <w:pPr>
        <w:ind w:left="500" w:right="60" w:hanging="10"/>
        <w:spacing w:after="0" w:line="277" w:lineRule="auto"/>
        <w:tabs>
          <w:tab w:leader="none" w:pos="77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segment expenses included in Segment net loss includes general and administrative expense, interest income, other income and provision for income taxes.</w:t>
      </w:r>
    </w:p>
    <w:p>
      <w:pPr>
        <w:spacing w:after="0" w:line="169"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The measure of segment assets is reported on the consolidated balance sheet as total consolidated assets. The CODM reviews cash, cash equivalents and marketable securities as a measure of segment assets. As of December 31, 2024, the Company’s cash, cash equivalents and marketable securities were $257.9 million. All long-lived assets of the Company reside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F-28</w:t>
      </w:r>
    </w:p>
    <w:p>
      <w:pPr>
        <w:sectPr>
          <w:pgSz w:w="12960" w:h="16560" w:orient="portrait"/>
          <w:cols w:equalWidth="0" w:num="1">
            <w:col w:w="10080"/>
          </w:cols>
          <w:pgMar w:left="1440" w:top="1434" w:right="1440" w:bottom="535" w:gutter="0" w:footer="0" w:header="0"/>
        </w:sectPr>
      </w:pPr>
    </w:p>
    <w:bookmarkStart w:id="130" w:name="page131"/>
    <w:bookmarkEnd w:id="130"/>
    <w:p>
      <w:pPr>
        <w:spacing w:after="0"/>
        <w:rPr>
          <w:sz w:val="20"/>
          <w:szCs w:val="20"/>
          <w:color w:val="auto"/>
        </w:rPr>
      </w:pPr>
      <w:r>
        <w:rPr>
          <w:rFonts w:ascii="Arial" w:cs="Arial" w:eastAsia="Arial" w:hAnsi="Arial"/>
          <w:sz w:val="19"/>
          <w:szCs w:val="19"/>
          <w:b w:val="1"/>
          <w:bCs w:val="1"/>
          <w:u w:val="single" w:color="auto"/>
          <w:color w:val="auto"/>
        </w:rPr>
        <w:t>EXECUTIVE OFFICERS*_________________________________________________________________</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Barbara Weber, M.D.</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President and Chief Execu ve Oﬃcer</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Daniella Beckman</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Oﬃcer</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Adam Crystal, M.D., PhD</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President, Research and Development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Doug Barry</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Legal Oﬃcer, Chief Compliance Oﬃcer and Corporate Secretary</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BOARD OF DIRECTORS*_________________________________________________________________</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500" w:type="dxa"/>
            <w:vAlign w:val="bottom"/>
          </w:tcPr>
          <w:p>
            <w:pPr>
              <w:spacing w:after="0"/>
              <w:rPr>
                <w:sz w:val="20"/>
                <w:szCs w:val="20"/>
                <w:color w:val="auto"/>
              </w:rPr>
            </w:pPr>
            <w:r>
              <w:rPr>
                <w:rFonts w:ascii="Arial" w:cs="Arial" w:eastAsia="Arial" w:hAnsi="Arial"/>
                <w:sz w:val="22"/>
                <w:szCs w:val="22"/>
                <w:b w:val="1"/>
                <w:bCs w:val="1"/>
                <w:color w:val="auto"/>
              </w:rPr>
              <w:t>Barbara Weber, M.D.</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Alexis Borisy</w:t>
            </w: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rPr>
              <w:t>President and Chief Execu ve Oﬃcer</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Founder and Opera ng Chairman</w:t>
            </w:r>
          </w:p>
        </w:tc>
      </w:tr>
      <w:tr>
        <w:trPr>
          <w:trHeight w:val="268"/>
        </w:trPr>
        <w:tc>
          <w:tcPr>
            <w:tcW w:w="450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Curie.Bio</w:t>
            </w:r>
          </w:p>
        </w:tc>
      </w:tr>
      <w:tr>
        <w:trPr>
          <w:trHeight w:val="538"/>
        </w:trPr>
        <w:tc>
          <w:tcPr>
            <w:tcW w:w="4500" w:type="dxa"/>
            <w:vAlign w:val="bottom"/>
          </w:tcPr>
          <w:p>
            <w:pPr>
              <w:spacing w:after="0"/>
              <w:rPr>
                <w:sz w:val="20"/>
                <w:szCs w:val="20"/>
                <w:color w:val="auto"/>
              </w:rPr>
            </w:pPr>
            <w:r>
              <w:rPr>
                <w:rFonts w:ascii="Arial" w:cs="Arial" w:eastAsia="Arial" w:hAnsi="Arial"/>
                <w:sz w:val="22"/>
                <w:szCs w:val="22"/>
                <w:b w:val="1"/>
                <w:bCs w:val="1"/>
                <w:color w:val="auto"/>
              </w:rPr>
              <w:t>Lesley Ann Calhoun</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John Ketchum</w:t>
            </w: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w w:val="88"/>
              </w:rPr>
              <w:t>Execu ve Vice President, Chief Financial Oﬃcer,</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Senior Business Advisor</w:t>
            </w: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rPr>
              <w:t>Chief Opera ng Oﬃcer</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Bonnieview Consul ng</w:t>
            </w: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rPr>
              <w:t>Agilos Therapeu cs, Inc.</w:t>
            </w:r>
          </w:p>
        </w:tc>
        <w:tc>
          <w:tcPr>
            <w:tcW w:w="4800" w:type="dxa"/>
            <w:vAlign w:val="bottom"/>
          </w:tcPr>
          <w:p>
            <w:pPr>
              <w:spacing w:after="0"/>
              <w:rPr>
                <w:sz w:val="23"/>
                <w:szCs w:val="23"/>
                <w:color w:val="auto"/>
              </w:rPr>
            </w:pPr>
          </w:p>
        </w:tc>
      </w:tr>
      <w:tr>
        <w:trPr>
          <w:trHeight w:val="536"/>
        </w:trPr>
        <w:tc>
          <w:tcPr>
            <w:tcW w:w="4500" w:type="dxa"/>
            <w:vAlign w:val="bottom"/>
          </w:tcPr>
          <w:p>
            <w:pPr>
              <w:spacing w:after="0"/>
              <w:rPr>
                <w:sz w:val="20"/>
                <w:szCs w:val="20"/>
                <w:color w:val="auto"/>
              </w:rPr>
            </w:pPr>
            <w:r>
              <w:rPr>
                <w:rFonts w:ascii="Arial" w:cs="Arial" w:eastAsia="Arial" w:hAnsi="Arial"/>
                <w:sz w:val="22"/>
                <w:szCs w:val="22"/>
                <w:b w:val="1"/>
                <w:bCs w:val="1"/>
                <w:color w:val="auto"/>
              </w:rPr>
              <w:t>Kanishka Pothula</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Malte Peters, M.D.</w:t>
            </w:r>
          </w:p>
        </w:tc>
      </w:tr>
      <w:tr>
        <w:trPr>
          <w:trHeight w:val="268"/>
        </w:trPr>
        <w:tc>
          <w:tcPr>
            <w:tcW w:w="4500" w:type="dxa"/>
            <w:vAlign w:val="bottom"/>
          </w:tcPr>
          <w:p>
            <w:pPr>
              <w:spacing w:after="0"/>
              <w:rPr>
                <w:sz w:val="20"/>
                <w:szCs w:val="20"/>
                <w:color w:val="auto"/>
              </w:rPr>
            </w:pPr>
            <w:r>
              <w:rPr>
                <w:rFonts w:ascii="Arial" w:cs="Arial" w:eastAsia="Arial" w:hAnsi="Arial"/>
                <w:sz w:val="22"/>
                <w:szCs w:val="22"/>
                <w:b w:val="1"/>
                <w:bCs w:val="1"/>
                <w:color w:val="auto"/>
              </w:rPr>
              <w:t>Managing Partner</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Chief Execu ve Oﬃcer</w:t>
            </w: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rPr>
              <w:t>Nextech Ventures</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HOOKIPA Pharma Inc.</w:t>
            </w:r>
          </w:p>
        </w:tc>
      </w:tr>
      <w:tr>
        <w:trPr>
          <w:trHeight w:val="538"/>
        </w:trPr>
        <w:tc>
          <w:tcPr>
            <w:tcW w:w="4500" w:type="dxa"/>
            <w:vAlign w:val="bottom"/>
          </w:tcPr>
          <w:p>
            <w:pPr>
              <w:spacing w:after="0"/>
              <w:rPr>
                <w:sz w:val="20"/>
                <w:szCs w:val="20"/>
                <w:color w:val="auto"/>
              </w:rPr>
            </w:pPr>
            <w:r>
              <w:rPr>
                <w:rFonts w:ascii="Arial" w:cs="Arial" w:eastAsia="Arial" w:hAnsi="Arial"/>
                <w:sz w:val="22"/>
                <w:szCs w:val="22"/>
                <w:b w:val="1"/>
                <w:bCs w:val="1"/>
                <w:color w:val="auto"/>
              </w:rPr>
              <w:t>Mace Rothenberg, M.D.</w:t>
            </w:r>
          </w:p>
        </w:tc>
        <w:tc>
          <w:tcPr>
            <w:tcW w:w="4800" w:type="dxa"/>
            <w:vAlign w:val="bottom"/>
          </w:tcPr>
          <w:p>
            <w:pPr>
              <w:spacing w:after="0"/>
              <w:rPr>
                <w:sz w:val="24"/>
                <w:szCs w:val="24"/>
                <w:color w:val="auto"/>
              </w:rPr>
            </w:pP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rPr>
              <w:t>President, Execu ve Director</w:t>
            </w:r>
          </w:p>
        </w:tc>
        <w:tc>
          <w:tcPr>
            <w:tcW w:w="4800" w:type="dxa"/>
            <w:vAlign w:val="bottom"/>
          </w:tcPr>
          <w:p>
            <w:pPr>
              <w:spacing w:after="0"/>
              <w:rPr>
                <w:sz w:val="23"/>
                <w:szCs w:val="23"/>
                <w:color w:val="auto"/>
              </w:rPr>
            </w:pP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w w:val="90"/>
              </w:rPr>
              <w:t>Museum of Medicine and Biomedical Discovery</w:t>
            </w:r>
          </w:p>
        </w:tc>
        <w:tc>
          <w:tcPr>
            <w:tcW w:w="4800" w:type="dxa"/>
            <w:vAlign w:val="bottom"/>
          </w:tcPr>
          <w:p>
            <w:pPr>
              <w:spacing w:after="0"/>
              <w:rPr>
                <w:sz w:val="23"/>
                <w:szCs w:val="23"/>
                <w:color w:val="auto"/>
              </w:rPr>
            </w:pPr>
          </w:p>
        </w:tc>
      </w:tr>
      <w:tr>
        <w:trPr>
          <w:trHeight w:val="684"/>
        </w:trPr>
        <w:tc>
          <w:tcPr>
            <w:tcW w:w="930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7"/>
              </w:rPr>
              <w:t>CORPORATE INFORMATION______________________________________________________________</w:t>
            </w:r>
          </w:p>
        </w:tc>
      </w:tr>
      <w:tr>
        <w:trPr>
          <w:trHeight w:val="465"/>
        </w:trPr>
        <w:tc>
          <w:tcPr>
            <w:tcW w:w="4500" w:type="dxa"/>
            <w:vAlign w:val="bottom"/>
          </w:tcPr>
          <w:p>
            <w:pPr>
              <w:spacing w:after="0"/>
              <w:rPr>
                <w:sz w:val="20"/>
                <w:szCs w:val="20"/>
                <w:color w:val="auto"/>
              </w:rPr>
            </w:pPr>
            <w:r>
              <w:rPr>
                <w:rFonts w:ascii="Arial" w:cs="Arial" w:eastAsia="Arial" w:hAnsi="Arial"/>
                <w:sz w:val="22"/>
                <w:szCs w:val="22"/>
                <w:b w:val="1"/>
                <w:bCs w:val="1"/>
                <w:color w:val="auto"/>
              </w:rPr>
              <w:t>Corporate Headquarters</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Transfer Agent</w:t>
            </w:r>
          </w:p>
        </w:tc>
      </w:tr>
      <w:tr>
        <w:trPr>
          <w:trHeight w:val="267"/>
        </w:trPr>
        <w:tc>
          <w:tcPr>
            <w:tcW w:w="4500" w:type="dxa"/>
            <w:vAlign w:val="bottom"/>
          </w:tcPr>
          <w:p>
            <w:pPr>
              <w:spacing w:after="0"/>
              <w:rPr>
                <w:sz w:val="20"/>
                <w:szCs w:val="20"/>
                <w:color w:val="auto"/>
              </w:rPr>
            </w:pPr>
            <w:r>
              <w:rPr>
                <w:rFonts w:ascii="Arial" w:cs="Arial" w:eastAsia="Arial" w:hAnsi="Arial"/>
                <w:sz w:val="22"/>
                <w:szCs w:val="22"/>
                <w:b w:val="1"/>
                <w:bCs w:val="1"/>
                <w:color w:val="auto"/>
              </w:rPr>
              <w:t>201 Brookline Avenue, Suite 901</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Computershare Trust Company, N.A.</w:t>
            </w:r>
          </w:p>
        </w:tc>
      </w:tr>
      <w:tr>
        <w:trPr>
          <w:trHeight w:val="268"/>
        </w:trPr>
        <w:tc>
          <w:tcPr>
            <w:tcW w:w="4500" w:type="dxa"/>
            <w:vAlign w:val="bottom"/>
          </w:tcPr>
          <w:p>
            <w:pPr>
              <w:spacing w:after="0"/>
              <w:rPr>
                <w:sz w:val="20"/>
                <w:szCs w:val="20"/>
                <w:color w:val="auto"/>
              </w:rPr>
            </w:pPr>
            <w:r>
              <w:rPr>
                <w:rFonts w:ascii="Arial" w:cs="Arial" w:eastAsia="Arial" w:hAnsi="Arial"/>
                <w:sz w:val="22"/>
                <w:szCs w:val="22"/>
                <w:b w:val="1"/>
                <w:bCs w:val="1"/>
                <w:color w:val="auto"/>
              </w:rPr>
              <w:t>Boston, MA 02215</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250 Royall Street</w:t>
            </w:r>
          </w:p>
        </w:tc>
      </w:tr>
      <w:tr>
        <w:trPr>
          <w:trHeight w:val="269"/>
        </w:trPr>
        <w:tc>
          <w:tcPr>
            <w:tcW w:w="450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Canton, MA 02021</w:t>
            </w:r>
          </w:p>
        </w:tc>
      </w:tr>
      <w:tr>
        <w:trPr>
          <w:trHeight w:val="538"/>
        </w:trPr>
        <w:tc>
          <w:tcPr>
            <w:tcW w:w="4500" w:type="dxa"/>
            <w:vAlign w:val="bottom"/>
          </w:tcPr>
          <w:p>
            <w:pPr>
              <w:spacing w:after="0"/>
              <w:rPr>
                <w:sz w:val="20"/>
                <w:szCs w:val="20"/>
                <w:color w:val="auto"/>
              </w:rPr>
            </w:pPr>
            <w:r>
              <w:rPr>
                <w:rFonts w:ascii="Arial" w:cs="Arial" w:eastAsia="Arial" w:hAnsi="Arial"/>
                <w:sz w:val="22"/>
                <w:szCs w:val="22"/>
                <w:b w:val="1"/>
                <w:bCs w:val="1"/>
                <w:color w:val="auto"/>
                <w:w w:val="90"/>
              </w:rPr>
              <w:t>Independent Registered Public Accoun ng Firm</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Investor Rela ons</w:t>
            </w: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rPr>
              <w:t>PricewaterhouseCoopers, LLP</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Tango Therapeu cs, Inc.</w:t>
            </w: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rPr>
              <w:t>101 Seaport Boulevard</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201 Brookline Avenue, Suite 901</w:t>
            </w:r>
          </w:p>
        </w:tc>
      </w:tr>
      <w:tr>
        <w:trPr>
          <w:trHeight w:val="269"/>
        </w:trPr>
        <w:tc>
          <w:tcPr>
            <w:tcW w:w="4500" w:type="dxa"/>
            <w:vAlign w:val="bottom"/>
          </w:tcPr>
          <w:p>
            <w:pPr>
              <w:spacing w:after="0"/>
              <w:rPr>
                <w:sz w:val="20"/>
                <w:szCs w:val="20"/>
                <w:color w:val="auto"/>
              </w:rPr>
            </w:pPr>
            <w:r>
              <w:rPr>
                <w:rFonts w:ascii="Arial" w:cs="Arial" w:eastAsia="Arial" w:hAnsi="Arial"/>
                <w:sz w:val="22"/>
                <w:szCs w:val="22"/>
                <w:b w:val="1"/>
                <w:bCs w:val="1"/>
                <w:color w:val="auto"/>
              </w:rPr>
              <w:t>Boston, MA 02210</w:t>
            </w:r>
          </w:p>
        </w:tc>
        <w:tc>
          <w:tcPr>
            <w:tcW w:w="4800" w:type="dxa"/>
            <w:vAlign w:val="bottom"/>
          </w:tcPr>
          <w:p>
            <w:pPr>
              <w:ind w:left="180"/>
              <w:spacing w:after="0"/>
              <w:rPr>
                <w:sz w:val="20"/>
                <w:szCs w:val="20"/>
                <w:color w:val="auto"/>
              </w:rPr>
            </w:pPr>
            <w:r>
              <w:rPr>
                <w:rFonts w:ascii="Arial" w:cs="Arial" w:eastAsia="Arial" w:hAnsi="Arial"/>
                <w:sz w:val="22"/>
                <w:szCs w:val="22"/>
                <w:b w:val="1"/>
                <w:bCs w:val="1"/>
                <w:color w:val="auto"/>
              </w:rPr>
              <w:t>Boston, MA 02215</w:t>
            </w:r>
          </w:p>
        </w:tc>
      </w:tr>
    </w:tbl>
    <w:p>
      <w:pPr>
        <w:spacing w:after="0" w:line="270" w:lineRule="exact"/>
        <w:rPr>
          <w:sz w:val="20"/>
          <w:szCs w:val="20"/>
          <w:color w:val="auto"/>
        </w:rPr>
      </w:pPr>
    </w:p>
    <w:p>
      <w:pPr>
        <w:ind w:right="420"/>
        <w:spacing w:after="0" w:line="281" w:lineRule="auto"/>
        <w:rPr>
          <w:sz w:val="20"/>
          <w:szCs w:val="20"/>
          <w:color w:val="auto"/>
        </w:rPr>
      </w:pPr>
      <w:r>
        <w:rPr>
          <w:rFonts w:ascii="Arial" w:cs="Arial" w:eastAsia="Arial" w:hAnsi="Arial"/>
          <w:sz w:val="22"/>
          <w:szCs w:val="22"/>
          <w:b w:val="1"/>
          <w:bCs w:val="1"/>
          <w:color w:val="auto"/>
        </w:rPr>
        <w:t>*Biographies of our Directors and Execu ve Oﬃcers are contained under the headings “General Informa on About Execu ve Oﬃcers” and “General Informa on About the Board of Directors” in the proxy statement, which is included herein.</w:t>
      </w:r>
    </w:p>
    <w:sectPr>
      <w:pgSz w:w="12240" w:h="15840" w:orient="portrait"/>
      <w:cols w:equalWidth="0" w:num="1">
        <w:col w:w="9360"/>
      </w:cols>
      <w:pgMar w:left="1440" w:top="14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
      <w:numFmt w:val="bullet"/>
      <w:start w:val="1"/>
    </w:lvl>
    <w:lvl w:ilvl="1">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
      <w:numFmt w:val="bullet"/>
      <w:start w:val="1"/>
    </w:lvl>
  </w:abstractNum>
  <w:abstractNum w:abstractNumId="7">
    <w:nsid w:val="22221A70"/>
    <w:multiLevelType w:val="hybridMultilevel"/>
    <w:lvl w:ilvl="0">
      <w:lvlJc w:val="left"/>
      <w:lvlText w:val="%1."/>
      <w:numFmt w:val="lowerRoman"/>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lvl w:ilvl="1">
      <w:lvlJc w:val="left"/>
      <w:lvlText w:val=" "/>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2"/>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8"/>
    </w:lvl>
  </w:abstractNum>
  <w:abstractNum w:abstractNumId="55">
    <w:nsid w:val="39386575"/>
    <w:multiLevelType w:val="hybridMultilevel"/>
    <w:lvl w:ilvl="0">
      <w:lvlJc w:val="left"/>
      <w:lvlText w:val="%1."/>
      <w:numFmt w:val="decimal"/>
      <w:start w:val="9"/>
    </w:lvl>
  </w:abstractNum>
  <w:abstractNum w:abstractNumId="56">
    <w:nsid w:val="1CF10FD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2025-04-22T16:33:13Z</dcterms:created>
  <dcterms:modified xsi:type="dcterms:W3CDTF">2025-04-22T16:33:13Z</dcterms:modified>
</cp:coreProperties>
</file>