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57"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140" w:right="1600" w:hanging="3119"/>
        <w:spacing w:after="0" w:line="367"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85-1195036</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220" w:space="720"/>
            <w:col w:w="3300"/>
          </w:cols>
          <w:pgMar w:left="320" w:top="686"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jc w:val="center"/>
              <w:ind w:left="1058"/>
              <w:spacing w:after="0" w:line="195" w:lineRule="exact"/>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vMerge w:val="restart"/>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02215</w:t>
            </w:r>
          </w:p>
        </w:tc>
        <w:tc>
          <w:tcPr>
            <w:tcW w:w="0" w:type="dxa"/>
            <w:vAlign w:val="bottom"/>
          </w:tcPr>
          <w:p>
            <w:pPr>
              <w:spacing w:after="0"/>
              <w:rPr>
                <w:sz w:val="1"/>
                <w:szCs w:val="1"/>
                <w:color w:val="auto"/>
              </w:rPr>
            </w:pPr>
          </w:p>
        </w:tc>
      </w:tr>
      <w:tr>
        <w:trPr>
          <w:trHeight w:val="218"/>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(857) 320-4900</w:t>
            </w:r>
          </w:p>
        </w:tc>
        <w:tc>
          <w:tcPr>
            <w:tcW w:w="540" w:type="dxa"/>
            <w:vAlign w:val="bottom"/>
          </w:tcPr>
          <w:p>
            <w:pPr>
              <w:spacing w:after="0"/>
              <w:rPr>
                <w:sz w:val="14"/>
                <w:szCs w:val="14"/>
                <w:color w:val="auto"/>
              </w:rPr>
            </w:pPr>
          </w:p>
        </w:tc>
        <w:tc>
          <w:tcPr>
            <w:tcW w:w="4500" w:type="dxa"/>
            <w:vAlign w:val="bottom"/>
          </w:tcPr>
          <w:p>
            <w:pPr>
              <w:jc w:val="center"/>
              <w:ind w:right="104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256"/>
        </w:trPr>
        <w:tc>
          <w:tcPr>
            <w:tcW w:w="45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500" w:type="dxa"/>
            <w:vAlign w:val="bottom"/>
            <w:gridSpan w:val="3"/>
            <w:vMerge w:val="continue"/>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4500" w:type="dxa"/>
            <w:vAlign w:val="bottom"/>
            <w:gridSpan w:val="3"/>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00" w:type="dxa"/>
            <w:vAlign w:val="bottom"/>
            <w:vMerge w:val="restart"/>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tcPr>
          <w:p>
            <w:pPr>
              <w:jc w:val="center"/>
              <w:ind w:right="461"/>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62"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2, 2022, the registrant had 88,041,404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860" w:type="dxa"/>
            <w:vAlign w:val="bottom"/>
            <w:gridSpan w:val="9"/>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86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380" w:type="dxa"/>
            <w:vAlign w:val="bottom"/>
            <w:gridSpan w:val="8"/>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Operations and Comprehensive Loss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8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6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64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6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494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vMerge w:val="continue"/>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4"/>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49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4"/>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49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16"/>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38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698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3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54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7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83" w:lineRule="exact"/>
        <w:rPr>
          <w:sz w:val="20"/>
          <w:szCs w:val="20"/>
          <w:color w:val="auto"/>
        </w:rPr>
      </w:pPr>
    </w:p>
    <w:p>
      <w:pPr>
        <w:ind w:right="240" w:firstLine="5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These risks are described more fully in the section of this Quarterly Report on Form 10-Q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risks include, among others, the following:</w:t>
      </w:r>
    </w:p>
    <w:p>
      <w:pPr>
        <w:spacing w:after="0" w:line="41" w:lineRule="exact"/>
        <w:rPr>
          <w:sz w:val="20"/>
          <w:szCs w:val="20"/>
          <w:color w:val="auto"/>
        </w:rPr>
      </w:pPr>
    </w:p>
    <w:p>
      <w:pPr>
        <w:ind w:left="1040" w:right="60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176" w:lineRule="exact"/>
        <w:rPr>
          <w:rFonts w:ascii="Times New Roman" w:cs="Times New Roman" w:eastAsia="Times New Roman" w:hAnsi="Times New Roman"/>
          <w:sz w:val="18"/>
          <w:szCs w:val="18"/>
          <w:color w:val="auto"/>
        </w:rPr>
      </w:pPr>
    </w:p>
    <w:p>
      <w:pPr>
        <w:ind w:left="1040" w:hanging="46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98" w:lineRule="exact"/>
        <w:rPr>
          <w:rFonts w:ascii="Times New Roman" w:cs="Times New Roman" w:eastAsia="Times New Roman" w:hAnsi="Times New Roman"/>
          <w:sz w:val="18"/>
          <w:szCs w:val="18"/>
          <w:color w:val="auto"/>
        </w:rPr>
      </w:pPr>
    </w:p>
    <w:p>
      <w:pPr>
        <w:ind w:left="1040" w:right="40" w:hanging="452"/>
        <w:spacing w:after="0" w:line="250"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162" w:lineRule="exact"/>
        <w:rPr>
          <w:rFonts w:ascii="Times New Roman" w:cs="Times New Roman" w:eastAsia="Times New Roman" w:hAnsi="Times New Roman"/>
          <w:sz w:val="18"/>
          <w:szCs w:val="18"/>
          <w:color w:val="auto"/>
        </w:rPr>
      </w:pPr>
    </w:p>
    <w:p>
      <w:pPr>
        <w:ind w:left="1040" w:right="16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62" w:lineRule="exact"/>
        <w:rPr>
          <w:rFonts w:ascii="Times New Roman" w:cs="Times New Roman" w:eastAsia="Times New Roman" w:hAnsi="Times New Roman"/>
          <w:sz w:val="18"/>
          <w:szCs w:val="18"/>
          <w:color w:val="auto"/>
        </w:rPr>
      </w:pPr>
    </w:p>
    <w:p>
      <w:pPr>
        <w:ind w:left="1040" w:right="22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85" w:lineRule="exact"/>
        <w:rPr>
          <w:rFonts w:ascii="Times New Roman" w:cs="Times New Roman" w:eastAsia="Times New Roman" w:hAnsi="Times New Roman"/>
          <w:sz w:val="18"/>
          <w:szCs w:val="18"/>
          <w:color w:val="auto"/>
        </w:rPr>
      </w:pPr>
    </w:p>
    <w:p>
      <w:pPr>
        <w:ind w:left="1040" w:right="16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172" w:lineRule="exact"/>
        <w:rPr>
          <w:rFonts w:ascii="Times New Roman" w:cs="Times New Roman" w:eastAsia="Times New Roman" w:hAnsi="Times New Roman"/>
          <w:sz w:val="18"/>
          <w:szCs w:val="18"/>
          <w:color w:val="auto"/>
        </w:rPr>
      </w:pPr>
    </w:p>
    <w:p>
      <w:pPr>
        <w:ind w:left="104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62" w:lineRule="exact"/>
        <w:rPr>
          <w:rFonts w:ascii="Times New Roman" w:cs="Times New Roman" w:eastAsia="Times New Roman" w:hAnsi="Times New Roman"/>
          <w:sz w:val="18"/>
          <w:szCs w:val="18"/>
          <w:color w:val="auto"/>
        </w:rPr>
      </w:pPr>
    </w:p>
    <w:p>
      <w:pPr>
        <w:ind w:left="1040" w:right="280" w:hanging="452"/>
        <w:spacing w:after="0" w:line="279" w:lineRule="auto"/>
        <w:tabs>
          <w:tab w:leader="none" w:pos="10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top-line, and initial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3" w:lineRule="exact"/>
        <w:rPr>
          <w:rFonts w:ascii="Times New Roman" w:cs="Times New Roman" w:eastAsia="Times New Roman" w:hAnsi="Times New Roman"/>
          <w:sz w:val="17"/>
          <w:szCs w:val="17"/>
          <w:color w:val="auto"/>
        </w:rPr>
      </w:pPr>
    </w:p>
    <w:p>
      <w:pPr>
        <w:ind w:left="1040" w:hanging="452"/>
        <w:spacing w:after="0" w:line="23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71" w:lineRule="exact"/>
        <w:rPr>
          <w:rFonts w:ascii="Times New Roman" w:cs="Times New Roman" w:eastAsia="Times New Roman" w:hAnsi="Times New Roman"/>
          <w:sz w:val="18"/>
          <w:szCs w:val="18"/>
          <w:color w:val="auto"/>
        </w:rPr>
      </w:pPr>
    </w:p>
    <w:p>
      <w:pPr>
        <w:ind w:left="1040" w:right="22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62" w:lineRule="exact"/>
        <w:rPr>
          <w:rFonts w:ascii="Times New Roman" w:cs="Times New Roman" w:eastAsia="Times New Roman" w:hAnsi="Times New Roman"/>
          <w:sz w:val="18"/>
          <w:szCs w:val="18"/>
          <w:color w:val="auto"/>
        </w:rPr>
      </w:pPr>
    </w:p>
    <w:p>
      <w:pPr>
        <w:ind w:left="1040" w:right="50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85" w:lineRule="exact"/>
        <w:rPr>
          <w:rFonts w:ascii="Times New Roman" w:cs="Times New Roman" w:eastAsia="Times New Roman" w:hAnsi="Times New Roman"/>
          <w:sz w:val="18"/>
          <w:szCs w:val="18"/>
          <w:color w:val="auto"/>
        </w:rPr>
      </w:pPr>
    </w:p>
    <w:p>
      <w:pPr>
        <w:ind w:left="1040" w:right="4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72" w:lineRule="exact"/>
        <w:rPr>
          <w:rFonts w:ascii="Times New Roman" w:cs="Times New Roman" w:eastAsia="Times New Roman" w:hAnsi="Times New Roman"/>
          <w:sz w:val="18"/>
          <w:szCs w:val="18"/>
          <w:color w:val="auto"/>
        </w:rPr>
      </w:pPr>
    </w:p>
    <w:p>
      <w:pPr>
        <w:ind w:left="1040" w:right="12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3" w:name="page4"/>
    <w:bookmarkEnd w:id="3"/>
    <w:p>
      <w:pPr>
        <w:ind w:left="1040" w:right="320" w:hanging="465"/>
        <w:spacing w:after="0" w:line="23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185" w:lineRule="exact"/>
        <w:rPr>
          <w:rFonts w:ascii="Times New Roman" w:cs="Times New Roman" w:eastAsia="Times New Roman" w:hAnsi="Times New Roman"/>
          <w:sz w:val="18"/>
          <w:szCs w:val="18"/>
          <w:color w:val="auto"/>
        </w:rPr>
      </w:pPr>
    </w:p>
    <w:p>
      <w:pPr>
        <w:ind w:left="1040" w:right="180" w:hanging="452"/>
        <w:spacing w:after="0" w:line="23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71" w:lineRule="exact"/>
        <w:rPr>
          <w:rFonts w:ascii="Times New Roman" w:cs="Times New Roman" w:eastAsia="Times New Roman" w:hAnsi="Times New Roman"/>
          <w:sz w:val="18"/>
          <w:szCs w:val="18"/>
          <w:color w:val="auto"/>
        </w:rPr>
      </w:pPr>
    </w:p>
    <w:p>
      <w:pPr>
        <w:ind w:left="1040" w:right="100" w:hanging="452"/>
        <w:spacing w:after="0" w:line="23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1" w:lineRule="exact"/>
        <w:rPr>
          <w:rFonts w:ascii="Times New Roman" w:cs="Times New Roman" w:eastAsia="Times New Roman" w:hAnsi="Times New Roman"/>
          <w:sz w:val="18"/>
          <w:szCs w:val="18"/>
          <w:color w:val="auto"/>
        </w:rPr>
      </w:pPr>
    </w:p>
    <w:p>
      <w:pPr>
        <w:ind w:left="1040" w:right="440" w:hanging="452"/>
        <w:spacing w:after="0" w:line="250"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176" w:lineRule="exact"/>
        <w:rPr>
          <w:rFonts w:ascii="Times New Roman" w:cs="Times New Roman" w:eastAsia="Times New Roman" w:hAnsi="Times New Roman"/>
          <w:sz w:val="18"/>
          <w:szCs w:val="18"/>
          <w:color w:val="auto"/>
        </w:rPr>
      </w:pPr>
    </w:p>
    <w:p>
      <w:pPr>
        <w:ind w:left="1040" w:right="80" w:hanging="452"/>
        <w:spacing w:after="0" w:line="236"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172" w:lineRule="exact"/>
        <w:rPr>
          <w:rFonts w:ascii="Times New Roman" w:cs="Times New Roman" w:eastAsia="Times New Roman" w:hAnsi="Times New Roman"/>
          <w:sz w:val="18"/>
          <w:szCs w:val="18"/>
          <w:color w:val="auto"/>
        </w:rPr>
      </w:pPr>
    </w:p>
    <w:p>
      <w:pPr>
        <w:ind w:left="1040" w:right="360" w:hanging="452"/>
        <w:spacing w:after="0" w:line="250"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damages or settlement costs resulting from claims that we or our employees have violated the intellectual property rights of third parties, or are in breach of our agreements.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02" w:lineRule="exact"/>
        <w:rPr>
          <w:sz w:val="20"/>
          <w:szCs w:val="20"/>
          <w:color w:val="auto"/>
        </w:rPr>
      </w:pPr>
    </w:p>
    <w:p>
      <w:pPr>
        <w:ind w:firstLine="495"/>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78" w:lineRule="exact"/>
        <w:rPr>
          <w:sz w:val="20"/>
          <w:szCs w:val="20"/>
          <w:color w:val="auto"/>
        </w:rPr>
      </w:pPr>
    </w:p>
    <w:p>
      <w:pPr>
        <w:ind w:left="1040" w:right="60" w:hanging="452"/>
        <w:spacing w:after="0" w:line="23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IND filings, active enrollment in clinical trials, and initiation and completion of studies or clinical trials and related preparatory work, and the period during which the results of the clinical trials (including initial and final trial results) will become available;</w:t>
      </w:r>
    </w:p>
    <w:p>
      <w:pPr>
        <w:spacing w:after="0" w:line="171" w:lineRule="exact"/>
        <w:rPr>
          <w:rFonts w:ascii="Times New Roman" w:cs="Times New Roman" w:eastAsia="Times New Roman" w:hAnsi="Times New Roman"/>
          <w:sz w:val="18"/>
          <w:szCs w:val="18"/>
          <w:color w:val="auto"/>
        </w:rPr>
      </w:pPr>
    </w:p>
    <w:p>
      <w:pPr>
        <w:ind w:left="1040" w:right="30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and develop product candidates efficiently (including the advancement of development candidates on the timelines identified);</w:t>
      </w:r>
    </w:p>
    <w:p>
      <w:pPr>
        <w:spacing w:after="0" w:line="162" w:lineRule="exact"/>
        <w:rPr>
          <w:rFonts w:ascii="Times New Roman" w:cs="Times New Roman" w:eastAsia="Times New Roman" w:hAnsi="Times New Roman"/>
          <w:sz w:val="18"/>
          <w:szCs w:val="18"/>
          <w:color w:val="auto"/>
        </w:rPr>
      </w:pPr>
    </w:p>
    <w:p>
      <w:pPr>
        <w:ind w:left="1040" w:right="4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176" w:lineRule="exact"/>
        <w:rPr>
          <w:rFonts w:ascii="Times New Roman" w:cs="Times New Roman" w:eastAsia="Times New Roman" w:hAnsi="Times New Roman"/>
          <w:sz w:val="18"/>
          <w:szCs w:val="18"/>
          <w:color w:val="auto"/>
        </w:rPr>
      </w:pPr>
    </w:p>
    <w:p>
      <w:pPr>
        <w:ind w:left="1040" w:right="8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162" w:lineRule="exact"/>
        <w:rPr>
          <w:rFonts w:ascii="Times New Roman" w:cs="Times New Roman" w:eastAsia="Times New Roman" w:hAnsi="Times New Roman"/>
          <w:sz w:val="18"/>
          <w:szCs w:val="18"/>
          <w:color w:val="auto"/>
        </w:rPr>
      </w:pPr>
    </w:p>
    <w:p>
      <w:pPr>
        <w:ind w:left="1040" w:right="220" w:hanging="452"/>
        <w:spacing w:after="0" w:line="23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the second half of 2024);</w:t>
      </w:r>
    </w:p>
    <w:p>
      <w:pPr>
        <w:spacing w:after="0" w:line="172"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4" w:name="page5"/>
    <w:bookmarkEnd w:id="4"/>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198" w:lineRule="exact"/>
        <w:rPr>
          <w:rFonts w:ascii="Times New Roman" w:cs="Times New Roman" w:eastAsia="Times New Roman" w:hAnsi="Times New Roman"/>
          <w:sz w:val="18"/>
          <w:szCs w:val="18"/>
          <w:color w:val="auto"/>
        </w:rPr>
      </w:pPr>
    </w:p>
    <w:p>
      <w:pPr>
        <w:ind w:left="1040" w:right="80" w:hanging="452"/>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62" w:lineRule="exact"/>
        <w:rPr>
          <w:rFonts w:ascii="Times New Roman" w:cs="Times New Roman" w:eastAsia="Times New Roman" w:hAnsi="Times New Roman"/>
          <w:sz w:val="18"/>
          <w:szCs w:val="18"/>
          <w:color w:val="auto"/>
        </w:rPr>
      </w:pPr>
    </w:p>
    <w:p>
      <w:pPr>
        <w:ind w:left="1040" w:right="180" w:hanging="452"/>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76"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11" w:lineRule="exact"/>
        <w:rPr>
          <w:rFonts w:ascii="Times New Roman" w:cs="Times New Roman" w:eastAsia="Times New Roman" w:hAnsi="Times New Roman"/>
          <w:sz w:val="18"/>
          <w:szCs w:val="18"/>
          <w:color w:val="auto"/>
        </w:rPr>
      </w:pPr>
    </w:p>
    <w:p>
      <w:pPr>
        <w:ind w:left="1040" w:right="100" w:hanging="452"/>
        <w:spacing w:after="0" w:line="279"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139" w:lineRule="exact"/>
        <w:rPr>
          <w:rFonts w:ascii="Times New Roman" w:cs="Times New Roman" w:eastAsia="Times New Roman" w:hAnsi="Times New Roman"/>
          <w:sz w:val="17"/>
          <w:szCs w:val="17"/>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this Quarterly Report on Form 10-Q under the section titled “Risk Factors.”</w:t>
      </w:r>
    </w:p>
    <w:p>
      <w:pPr>
        <w:spacing w:after="0" w:line="212" w:lineRule="exact"/>
        <w:rPr>
          <w:sz w:val="20"/>
          <w:szCs w:val="20"/>
          <w:color w:val="auto"/>
        </w:rPr>
      </w:pPr>
    </w:p>
    <w:p>
      <w:pPr>
        <w:ind w:firstLine="495"/>
        <w:spacing w:after="0" w:line="243"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of this Quarterly Report on Form 10-Q.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w:t>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0" w:right="439" w:bottom="1440" w:gutter="0" w:footer="0" w:header="0"/>
        </w:sectPr>
      </w:pPr>
    </w:p>
    <w:bookmarkStart w:id="5" w:name="page6"/>
    <w:bookmarkEnd w:id="5"/>
    <w:p>
      <w:pPr>
        <w:ind w:right="20"/>
        <w:spacing w:after="0" w:line="282" w:lineRule="auto"/>
        <w:rPr>
          <w:sz w:val="20"/>
          <w:szCs w:val="20"/>
          <w:color w:val="auto"/>
        </w:rPr>
      </w:pPr>
      <w:r>
        <w:rPr>
          <w:rFonts w:ascii="Times New Roman" w:cs="Times New Roman" w:eastAsia="Times New Roman" w:hAnsi="Times New Roman"/>
          <w:sz w:val="18"/>
          <w:szCs w:val="18"/>
          <w:color w:val="auto"/>
        </w:rPr>
        <w:t>all such risks. We do not undertake any obligation to update or revise any forward-looking statements, whether as a result of new information, future events or otherwise, except as may be required under applicable securities 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Corporate Website</w:t>
      </w:r>
    </w:p>
    <w:p>
      <w:pPr>
        <w:spacing w:after="0" w:line="216"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6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Further, the company intends to use its website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104,582</w:t>
            </w:r>
          </w:p>
        </w:tc>
        <w:tc>
          <w:tcPr>
            <w:tcW w:w="2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311,774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342,510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17,162</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436,085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492,338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448,399</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Income tax payable</w:t>
            </w: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69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149,695</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155,408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Preferred stock, $0.001 par value; 10,000,000 shares authorized; no shares issued</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outstanding as of June 30, 2022 and December 31, 2021, respectively</w:t>
            </w:r>
          </w:p>
        </w:tc>
        <w:tc>
          <w:tcPr>
            <w:tcW w:w="2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5"/>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Common stock, $0.001 par value; 200,000,000 shares</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9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authorized at June 30, 2022 and December 31, 2021;</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87,997,949 and 87,598,184 shares issued and outstanding as of</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June 30, 2022 and December 31, 2021, respectively</w:t>
            </w: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514,365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506,760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(4,347 )</w:t>
            </w:r>
          </w:p>
        </w:tc>
        <w:tc>
          <w:tcPr>
            <w:tcW w:w="18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(765 )</w:t>
            </w: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(211,402 )</w:t>
            </w: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(161,336 )</w:t>
            </w:r>
          </w:p>
        </w:tc>
        <w:tc>
          <w:tcPr>
            <w:tcW w:w="0" w:type="dxa"/>
            <w:vAlign w:val="bottom"/>
          </w:tcPr>
          <w:p>
            <w:pPr>
              <w:spacing w:after="0"/>
              <w:rPr>
                <w:sz w:val="1"/>
                <w:szCs w:val="1"/>
                <w:color w:val="auto"/>
              </w:rPr>
            </w:pPr>
          </w:p>
        </w:tc>
      </w:tr>
      <w:tr>
        <w:trPr>
          <w:trHeight w:val="196"/>
        </w:trPr>
        <w:tc>
          <w:tcPr>
            <w:tcW w:w="69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298,704</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344,747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448,399</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-3316605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-3316605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-2270760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-2270760</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-1756410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-1756410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-299720</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20" w:right="899" w:bottom="1440" w:gutter="0" w:footer="0" w:header="0"/>
        </w:sectPr>
      </w:pPr>
    </w:p>
    <w:bookmarkStart w:id="7" w:name="page8"/>
    <w:bookmarkEnd w:id="7"/>
    <w:p>
      <w:pPr>
        <w:ind w:left="37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ind w:right="6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200" w:type="dxa"/>
            <w:vAlign w:val="bottom"/>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5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r>
      <w:tr>
        <w:trPr>
          <w:trHeight w:val="209"/>
        </w:trPr>
        <w:tc>
          <w:tcPr>
            <w:tcW w:w="5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Pr>
          <w:p>
            <w:pPr>
              <w:spacing w:after="0"/>
              <w:rPr>
                <w:sz w:val="18"/>
                <w:szCs w:val="18"/>
                <w:color w:val="auto"/>
              </w:rPr>
            </w:pPr>
          </w:p>
        </w:tc>
      </w:tr>
      <w:tr>
        <w:trPr>
          <w:trHeight w:val="209"/>
        </w:trPr>
        <w:tc>
          <w:tcPr>
            <w:tcW w:w="51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22,709</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(25,202 )</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(4,556 )</w:t>
            </w:r>
          </w:p>
        </w:tc>
        <w:tc>
          <w:tcPr>
            <w:tcW w:w="1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(50,581 )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(16,637 )</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10"/>
        </w:trPr>
        <w:tc>
          <w:tcPr>
            <w:tcW w:w="512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FF0FC"/>
            </w:tcBorders>
          </w:tcPr>
          <w:p>
            <w:pPr>
              <w:spacing w:after="0"/>
              <w:rPr>
                <w:sz w:val="18"/>
                <w:szCs w:val="18"/>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(0.28 )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(0.09 )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(0.57 )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(0.37 )</w:t>
            </w:r>
          </w:p>
        </w:tc>
      </w:tr>
      <w:tr>
        <w:trPr>
          <w:trHeight w:val="171"/>
        </w:trPr>
        <w:tc>
          <w:tcPr>
            <w:tcW w:w="51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basic and diluted</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87,839,804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48,524,511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87,775,440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45,088,434</w:t>
            </w:r>
          </w:p>
        </w:tc>
        <w:tc>
          <w:tcPr>
            <w:tcW w:w="100" w:type="dxa"/>
            <w:vAlign w:val="bottom"/>
          </w:tcPr>
          <w:p>
            <w:pPr>
              <w:spacing w:after="0"/>
              <w:rPr>
                <w:sz w:val="20"/>
                <w:szCs w:val="20"/>
                <w:color w:val="auto"/>
              </w:rPr>
            </w:pPr>
          </w:p>
        </w:tc>
      </w:tr>
      <w:tr>
        <w:trPr>
          <w:trHeight w:val="216"/>
        </w:trPr>
        <w:tc>
          <w:tcPr>
            <w:tcW w:w="5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(24,858 )</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(4,493 )</w:t>
            </w:r>
          </w:p>
        </w:tc>
        <w:tc>
          <w:tcPr>
            <w:tcW w:w="1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(50,066 )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(16,599 )</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(937 )</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(3,582 )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5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(53,648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-2957195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-2957195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-2957195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-2957195</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-2391410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-2391410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-2391410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-2391410</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-1833880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-1833880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-1833880</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-1833880</wp:posOffset>
            </wp:positionV>
            <wp:extent cx="60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-1259205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-1259205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-1259205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-1259205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0" w:right="899" w:bottom="1440" w:gutter="0" w:footer="0" w:header="0"/>
        </w:sectPr>
      </w:pPr>
    </w:p>
    <w:bookmarkStart w:id="8" w:name="page9"/>
    <w:bookmarkEnd w:id="8"/>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STOCK AND STOCKHOLDERS’ EQUITY</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920" w:type="dxa"/>
            <w:vAlign w:val="bottom"/>
            <w:gridSpan w:val="2"/>
          </w:tcPr>
          <w:p>
            <w:pPr>
              <w:jc w:val="center"/>
              <w:ind w:left="158"/>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6"/>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left="198"/>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6"/>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3"/>
                <w:szCs w:val="13"/>
                <w:color w:val="auto"/>
              </w:rPr>
            </w:pPr>
          </w:p>
        </w:tc>
        <w:tc>
          <w:tcPr>
            <w:tcW w:w="1380" w:type="dxa"/>
            <w:vAlign w:val="bottom"/>
            <w:gridSpan w:val="5"/>
          </w:tcPr>
          <w:p>
            <w:pPr>
              <w:jc w:val="center"/>
              <w:ind w:right="134"/>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5"/>
          </w:tcPr>
          <w:p>
            <w:pPr>
              <w:jc w:val="right"/>
              <w:ind w:right="473"/>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right"/>
              <w:ind w:right="315"/>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920" w:type="dxa"/>
            <w:vAlign w:val="bottom"/>
            <w:gridSpan w:val="2"/>
          </w:tcPr>
          <w:p>
            <w:pPr>
              <w:jc w:val="center"/>
              <w:ind w:left="198"/>
              <w:spacing w:after="0" w:line="136"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80"/>
              <w:spacing w:after="0" w:line="136"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20" w:type="dxa"/>
            <w:vAlign w:val="bottom"/>
            <w:shd w:val="clear" w:color="auto" w:fill="CFF0FC"/>
          </w:tcPr>
          <w:p>
            <w:pPr>
              <w:spacing w:after="0"/>
              <w:rPr>
                <w:sz w:val="14"/>
                <w:szCs w:val="14"/>
                <w:color w:val="auto"/>
              </w:rPr>
            </w:pPr>
          </w:p>
        </w:tc>
        <w:tc>
          <w:tcPr>
            <w:tcW w:w="108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87,598,184</w:t>
            </w: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506,760</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center"/>
              <w:ind w:right="1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(161,336</w:t>
            </w:r>
          </w:p>
        </w:tc>
        <w:tc>
          <w:tcPr>
            <w:tcW w:w="200" w:type="dxa"/>
            <w:vAlign w:val="bottom"/>
            <w:tcBorders>
              <w:righ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344,747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111,315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2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Business combination and PIPE financing,</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issuance costs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(2,645 )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(2,645 )</w:t>
            </w:r>
          </w:p>
        </w:tc>
        <w:tc>
          <w:tcPr>
            <w:tcW w:w="0" w:type="dxa"/>
            <w:vAlign w:val="bottom"/>
          </w:tcPr>
          <w:p>
            <w:pPr>
              <w:spacing w:after="0"/>
              <w:rPr>
                <w:sz w:val="1"/>
                <w:szCs w:val="1"/>
                <w:color w:val="auto"/>
              </w:rPr>
            </w:pPr>
          </w:p>
        </w:tc>
      </w:tr>
      <w:tr>
        <w:trPr>
          <w:trHeight w:val="17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(25,208 )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(25,208 )</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87,709,499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510,222</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center"/>
              <w:ind w:right="1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(186,544</w:t>
            </w:r>
          </w:p>
        </w:tc>
        <w:tc>
          <w:tcPr>
            <w:tcW w:w="200" w:type="dxa"/>
            <w:vAlign w:val="bottom"/>
            <w:tcBorders>
              <w:bottom w:val="single" w:sz="8" w:color="CFF0FC"/>
              <w:righ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320,356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42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common stock from exercise of</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288,450</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options and employee stock purchase plan</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(937 )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(937 )</w:t>
            </w:r>
          </w:p>
        </w:tc>
        <w:tc>
          <w:tcPr>
            <w:tcW w:w="0" w:type="dxa"/>
            <w:vAlign w:val="bottom"/>
          </w:tcPr>
          <w:p>
            <w:pPr>
              <w:spacing w:after="0"/>
              <w:rPr>
                <w:sz w:val="1"/>
                <w:szCs w:val="1"/>
                <w:color w:val="auto"/>
              </w:rPr>
            </w:pPr>
          </w:p>
        </w:tc>
      </w:tr>
      <w:tr>
        <w:trPr>
          <w:trHeight w:val="176"/>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(24,858 )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(24,858 )</w:t>
            </w:r>
          </w:p>
        </w:tc>
        <w:tc>
          <w:tcPr>
            <w:tcW w:w="0" w:type="dxa"/>
            <w:vAlign w:val="bottom"/>
          </w:tcPr>
          <w:p>
            <w:pPr>
              <w:spacing w:after="0"/>
              <w:rPr>
                <w:sz w:val="1"/>
                <w:szCs w:val="1"/>
                <w:color w:val="auto"/>
              </w:rPr>
            </w:pPr>
          </w:p>
        </w:tc>
      </w:tr>
      <w:tr>
        <w:trPr>
          <w:trHeight w:val="20"/>
        </w:trPr>
        <w:tc>
          <w:tcPr>
            <w:tcW w:w="2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12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87,997,949</w:t>
            </w:r>
          </w:p>
        </w:tc>
        <w:tc>
          <w:tcPr>
            <w:tcW w:w="2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4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514,365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(4,347 )</w:t>
            </w:r>
          </w:p>
        </w:tc>
        <w:tc>
          <w:tcPr>
            <w:tcW w:w="420" w:type="dxa"/>
            <w:vAlign w:val="bottom"/>
            <w:gridSpan w:val="2"/>
          </w:tcPr>
          <w:p>
            <w:pPr>
              <w:jc w:val="center"/>
              <w:ind w:right="1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right"/>
              <w:ind w:right="73"/>
              <w:spacing w:after="0"/>
              <w:rPr>
                <w:sz w:val="20"/>
                <w:szCs w:val="20"/>
                <w:color w:val="auto"/>
              </w:rPr>
            </w:pPr>
            <w:r>
              <w:rPr>
                <w:rFonts w:ascii="Times New Roman" w:cs="Times New Roman" w:eastAsia="Times New Roman" w:hAnsi="Times New Roman"/>
                <w:sz w:val="13"/>
                <w:szCs w:val="13"/>
                <w:color w:val="auto"/>
              </w:rPr>
              <w:t>(211,402 )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6"/>
            <w:vMerge w:val="restart"/>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3"/>
                <w:szCs w:val="13"/>
                <w:color w:val="auto"/>
              </w:rPr>
            </w:pPr>
          </w:p>
        </w:tc>
        <w:tc>
          <w:tcPr>
            <w:tcW w:w="128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80" w:type="dxa"/>
            <w:vAlign w:val="bottom"/>
          </w:tcPr>
          <w:p>
            <w:pPr>
              <w:spacing w:after="0"/>
              <w:rPr>
                <w:sz w:val="13"/>
                <w:szCs w:val="13"/>
                <w:color w:val="auto"/>
              </w:rPr>
            </w:pPr>
          </w:p>
        </w:tc>
        <w:tc>
          <w:tcPr>
            <w:tcW w:w="920" w:type="dxa"/>
            <w:vAlign w:val="bottom"/>
            <w:gridSpan w:val="4"/>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2"/>
              </w:rPr>
              <w:t>Income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53"/>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1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40,372,133</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right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40</w:t>
            </w: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141,644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(103,101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42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Series B redeemable</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42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3"/>
                <w:szCs w:val="13"/>
                <w:color w:val="auto"/>
              </w:rPr>
              <w:t>convertible preferred stock, net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of issuance costs of $0.1 million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22,686,025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29,990</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2420" w:type="dxa"/>
            <w:vAlign w:val="bottom"/>
            <w:gridSpan w:val="2"/>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64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(22,686,02</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5 )</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20" w:type="dxa"/>
            <w:vAlign w:val="bottom"/>
            <w:tcBorders>
              <w:right w:val="single" w:sz="8" w:color="auto"/>
            </w:tcBorders>
            <w:gridSpan w:val="3"/>
            <w:shd w:val="clear" w:color="auto" w:fill="CFF0FC"/>
          </w:tcPr>
          <w:p>
            <w:pPr>
              <w:jc w:val="right"/>
              <w:ind w:right="122"/>
              <w:spacing w:after="0"/>
              <w:rPr>
                <w:sz w:val="20"/>
                <w:szCs w:val="20"/>
                <w:color w:val="auto"/>
              </w:rPr>
            </w:pPr>
            <w:r>
              <w:rPr>
                <w:rFonts w:ascii="Times New Roman" w:cs="Times New Roman" w:eastAsia="Times New Roman" w:hAnsi="Times New Roman"/>
                <w:sz w:val="13"/>
                <w:szCs w:val="13"/>
                <w:color w:val="auto"/>
              </w:rPr>
              <w:t>(29,990 )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7,706,861</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tcBorders>
              <w:right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0"/>
                <w:szCs w:val="10"/>
                <w:color w:val="auto"/>
                <w:w w:val="79"/>
              </w:rPr>
              <w:t>8</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29,982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2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29,990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304,080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ind w:left="800"/>
              <w:spacing w:after="0"/>
              <w:rPr>
                <w:sz w:val="20"/>
                <w:szCs w:val="20"/>
                <w:color w:val="auto"/>
              </w:rPr>
            </w:pPr>
            <w:r>
              <w:rPr>
                <w:rFonts w:ascii="Times New Roman" w:cs="Times New Roman" w:eastAsia="Times New Roman" w:hAnsi="Times New Roman"/>
                <w:sz w:val="10"/>
                <w:szCs w:val="10"/>
                <w:color w:val="auto"/>
                <w:w w:val="79"/>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20" w:type="dxa"/>
            <w:vAlign w:val="bottom"/>
            <w:gridSpan w:val="2"/>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Vesting of restricted common</w:t>
            </w: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00" w:type="dxa"/>
            <w:vAlign w:val="bottom"/>
            <w:tcBorders>
              <w:right w:val="single" w:sz="8" w:color="auto"/>
            </w:tcBorders>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2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tcBorders>
              <w:right w:val="single" w:sz="8" w:color="auto"/>
            </w:tcBorders>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(12,106 )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(12,106 )</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right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48,383,074</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right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49</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173,017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(115,207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auto"/>
              </w:rPr>
              <w:t>Exercise of stock options</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82"/>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2"/>
                <w:szCs w:val="12"/>
                <w:color w:val="auto"/>
              </w:rPr>
            </w:pPr>
          </w:p>
        </w:tc>
        <w:tc>
          <w:tcPr>
            <w:tcW w:w="64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3"/>
                <w:szCs w:val="13"/>
                <w:color w:val="auto"/>
              </w:rPr>
              <w:t>210,748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72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324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22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gridSpan w:val="2"/>
          </w:tcPr>
          <w:p>
            <w:pPr>
              <w:jc w:val="right"/>
              <w:ind w:right="77"/>
              <w:spacing w:after="0" w:line="143"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20" w:type="dxa"/>
            <w:vAlign w:val="bottom"/>
            <w:gridSpan w:val="2"/>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Vesting of restricted common</w:t>
            </w: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00" w:type="dxa"/>
            <w:vAlign w:val="bottom"/>
            <w:tcBorders>
              <w:right w:val="single" w:sz="8" w:color="auto"/>
            </w:tcBorders>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2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tcBorders>
              <w:right w:val="single" w:sz="8" w:color="auto"/>
            </w:tcBorders>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(30 )</w:t>
            </w: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(4,493 )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(4,493 )</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right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48,593,822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right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49</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174,540</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(119,700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54,891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-3282315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-3265170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-3282315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-3265170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-3282315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-3265170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-3282315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-3265170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-3282315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-3265170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-2725420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-2725420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-2725420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-2725420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-2725420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-762000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-745490</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-762000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-745490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-762000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-745490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-745490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-745490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-745490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-745490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(50,066 )</w:t>
            </w:r>
          </w:p>
        </w:tc>
        <w:tc>
          <w:tcPr>
            <w:tcW w:w="160" w:type="dxa"/>
            <w:vAlign w:val="bottom"/>
          </w:tcPr>
          <w:p>
            <w:pPr>
              <w:spacing w:after="0"/>
              <w:rPr>
                <w:sz w:val="18"/>
                <w:szCs w:val="18"/>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(16,599 )</w:t>
            </w: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(12,646 )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16"/>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16"/>
        </w:trPr>
        <w:tc>
          <w:tcPr>
            <w:tcW w:w="7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(454 )</w:t>
            </w:r>
          </w:p>
        </w:tc>
      </w:tr>
      <w:tr>
        <w:trPr>
          <w:trHeight w:val="216"/>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(7,529 )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(9,539 )</w:t>
            </w:r>
          </w:p>
        </w:tc>
      </w:tr>
      <w:tr>
        <w:trPr>
          <w:trHeight w:val="210"/>
        </w:trPr>
        <w:tc>
          <w:tcPr>
            <w:tcW w:w="77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100,471</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(70,492 )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(86,117 )</w:t>
            </w:r>
          </w:p>
        </w:tc>
      </w:tr>
      <w:tr>
        <w:trPr>
          <w:trHeight w:val="210"/>
        </w:trPr>
        <w:tc>
          <w:tcPr>
            <w:tcW w:w="7720" w:type="dxa"/>
            <w:vAlign w:val="bottom"/>
            <w:tcBorders>
              <w:top w:val="single" w:sz="8" w:color="CFF0FC"/>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23,776</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issuance of preferred stock, net of issuance costs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00" w:type="dxa"/>
            <w:vAlign w:val="bottom"/>
          </w:tcPr>
          <w:p>
            <w:pPr>
              <w:spacing w:after="0"/>
              <w:rPr>
                <w:sz w:val="18"/>
                <w:szCs w:val="18"/>
                <w:color w:val="auto"/>
              </w:rPr>
            </w:pPr>
          </w:p>
        </w:tc>
      </w:tr>
      <w:tr>
        <w:trPr>
          <w:trHeight w:val="171"/>
        </w:trPr>
        <w:tc>
          <w:tcPr>
            <w:tcW w:w="7720" w:type="dxa"/>
            <w:vAlign w:val="bottom"/>
            <w:gridSpan w:val="2"/>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 purchase of shares</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under ESPP</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 of Business Combination and PIPE Financing transaction costs</w:t>
            </w:r>
          </w:p>
        </w:tc>
        <w:tc>
          <w:tcPr>
            <w:tcW w:w="9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(1,089 )</w:t>
            </w:r>
          </w:p>
        </w:tc>
      </w:tr>
      <w:tr>
        <w:trPr>
          <w:trHeight w:val="210"/>
        </w:trPr>
        <w:tc>
          <w:tcPr>
            <w:tcW w:w="77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(36,452 )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145,024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108,572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53,181</w:t>
            </w:r>
          </w:p>
        </w:tc>
        <w:tc>
          <w:tcPr>
            <w:tcW w:w="100" w:type="dxa"/>
            <w:vAlign w:val="bottom"/>
          </w:tcPr>
          <w:p>
            <w:pPr>
              <w:spacing w:after="0"/>
              <w:rPr>
                <w:sz w:val="24"/>
                <w:szCs w:val="24"/>
                <w:color w:val="auto"/>
              </w:rPr>
            </w:pPr>
          </w:p>
        </w:tc>
      </w:tr>
      <w:tr>
        <w:trPr>
          <w:trHeight w:val="210"/>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paid for leases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r>
      <w:tr>
        <w:trPr>
          <w:trHeight w:val="171"/>
        </w:trPr>
        <w:tc>
          <w:tcPr>
            <w:tcW w:w="754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Merger with BCTG and PIPE financing deferred offering costs included in accounts payable and</w:t>
            </w:r>
          </w:p>
        </w:tc>
        <w:tc>
          <w:tcPr>
            <w:tcW w:w="180" w:type="dxa"/>
            <w:vAlign w:val="bottom"/>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0"/>
                <w:szCs w:val="20"/>
                <w:color w:val="auto"/>
              </w:rPr>
            </w:pP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-2468245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-1233805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Tango Therapeutics, Inc. (“Tango” or the “Company”)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right="80" w:firstLine="554"/>
        <w:spacing w:after="0" w:line="247"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was incorporated in Delaware on May 21, 2020. On April 13, 2021, the Company, BCTG Merger Sub Inc., a Delaware corporation, and Tango Therapeutics, Inc. (now known as Tango Therapeutics Sub, Inc. or “Old Tango”) signed a definitive merger agreement (the "Merger Agreement").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BCTG was renamed Tango Therapeutics, Inc.</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91"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and six months ended June 30, 2022 and 2021 are not necessarily indicative of the results for the year ending December 31, 2022, any other interim periods, or any future year or period. The unaudited condensed consolidated financial statements for the three and six months ended June 30, 2022 and 2021 have been prepared on the same basis as and should be read in conjunction with the audited consolidated financial statements and notes included in the Company’s Annual Report on Form 10-K for the year ended December 31, 2021 as filed with the SEC on March 28, 2022.</w:t>
      </w:r>
    </w:p>
    <w:p>
      <w:pPr>
        <w:spacing w:after="0" w:line="19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4"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color w:val="auto"/>
        </w:rPr>
        <w:t xml:space="preserve">There have been no significant changes from the significant accounting policies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audited consolidated financial statements and notes included in the Company’s Annual Report on Form 10-K for the year ended December 31, 2021.</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6"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 w:name="page12"/>
    <w:bookmarkEnd w:id="11"/>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On August 10, 2021 (the "Closing Date"), BCTG, a Delaware corporation and now predecessor of the Company, consummated the Business Combination, pursuant to the Merger Agreement, by and among BCTG, BCTG Merger Sub Inc., a Delaware corporation ("BCTG Merger Sub"), and Old Tango. Prior to consummation of the Business Combination, Old Tango changed its name from “Tango Therapeutics, Inc.” to “Tango Therapeutics Sub, Inc.” and in connection with the Business Combination, BCTG changed its name to “Tango Therapeutics, Inc.” (the former name of Old Tango). Pursuant to the Merger Agreement, on the Closing Date, BCTG Merger Sub merged with and into Old Tango, or the Merger, with Old Tango surviving the Merger as a wholly-owned subsidiary of BCTG, and (as noted above) BCTG changed its name to “Tango Therapeutics, Inc.”, or New Tango.</w:t>
      </w:r>
    </w:p>
    <w:p>
      <w:pPr>
        <w:spacing w:after="0" w:line="195"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Pursuant to the terms and conditions of the Merger Agreement, the aggregate consideration paid to Old Tango equity holders upon the closing of the Merger was 55,000,000 shares of New Tango common stock. Subsequent to the closing of the Business Combination, New Tango entered into subscription agreements with certain investors ("PIPE Investors") pursuant to which the PIPE Investors purchased 18,610,000 shares of New Tango common stock at $10.00 per share, for aggregate gross proceeds of $186.1 million, under the PIPE Financing.</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elements of the net proceeds from the Business Combination and PIPE Financing transaction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Recapitalization</w:t>
            </w:r>
          </w:p>
        </w:tc>
      </w:tr>
      <w:tr>
        <w:trPr>
          <w:trHeight w:val="21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BCTG's Trust Account and cash (net of redemptions)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156,013</w:t>
            </w: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 and advisory fees paid</w:t>
            </w: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(15,844 )</w:t>
            </w:r>
          </w:p>
        </w:tc>
      </w:tr>
      <w:tr>
        <w:trPr>
          <w:trHeight w:val="210"/>
        </w:trPr>
        <w:tc>
          <w:tcPr>
            <w:tcW w:w="7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proceeds from the Business Combination and PIPE Financing</w:t>
            </w: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326,269</w:t>
            </w:r>
          </w:p>
        </w:tc>
        <w:tc>
          <w:tcPr>
            <w:tcW w:w="100" w:type="dxa"/>
            <w:vAlign w:val="bottom"/>
            <w:tcBorders>
              <w:top w:val="single" w:sz="8" w:color="CCEEFF"/>
            </w:tcBorders>
          </w:tcPr>
          <w:p>
            <w:pPr>
              <w:spacing w:after="0"/>
              <w:rPr>
                <w:sz w:val="18"/>
                <w:szCs w:val="18"/>
                <w:color w:val="auto"/>
              </w:rPr>
            </w:pPr>
          </w:p>
        </w:tc>
      </w:tr>
      <w:tr>
        <w:trPr>
          <w:trHeight w:val="216"/>
        </w:trPr>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non-cash net assets assumed from BCTG</w:t>
            </w: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contributions from Business Combination and PIPE Financing</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326,272</w:t>
            </w:r>
          </w:p>
        </w:tc>
        <w:tc>
          <w:tcPr>
            <w:tcW w:w="100" w:type="dxa"/>
            <w:vAlign w:val="bottom"/>
          </w:tcPr>
          <w:p>
            <w:pPr>
              <w:spacing w:after="0"/>
              <w:rPr>
                <w:sz w:val="18"/>
                <w:szCs w:val="18"/>
                <w:color w:val="auto"/>
              </w:rPr>
            </w:pP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outstanding immediately following the consummation of the Business Combination and PIPE Financing transaction:</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8560" w:type="dxa"/>
            <w:vAlign w:val="bottom"/>
          </w:tcPr>
          <w:p>
            <w:pPr>
              <w:spacing w:after="0"/>
              <w:rPr>
                <w:sz w:val="16"/>
                <w:szCs w:val="16"/>
                <w:color w:val="auto"/>
              </w:rPr>
            </w:pPr>
          </w:p>
        </w:tc>
        <w:tc>
          <w:tcPr>
            <w:tcW w:w="2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BCTG common shares outstanding prior to the Business Combination</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21,377,250</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redemption of BCTG shares</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(1,106,814 )</w:t>
            </w: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of BCTG outstanding as of the Business Combination</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20,270,436</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pursuant to the PIPE Financing</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18,610,000</w:t>
            </w:r>
          </w:p>
        </w:tc>
        <w:tc>
          <w:tcPr>
            <w:tcW w:w="100" w:type="dxa"/>
            <w:vAlign w:val="bottom"/>
          </w:tcPr>
          <w:p>
            <w:pPr>
              <w:spacing w:after="0"/>
              <w:rPr>
                <w:sz w:val="18"/>
                <w:szCs w:val="18"/>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 and PIPE Financing shares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38,880,436</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Old Tango common shares (after preferred shares were converted 1-for-1 for common shares)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48,593,803</w:t>
            </w:r>
          </w:p>
        </w:tc>
        <w:tc>
          <w:tcPr>
            <w:tcW w:w="100" w:type="dxa"/>
            <w:vAlign w:val="bottom"/>
          </w:tcPr>
          <w:p>
            <w:pPr>
              <w:spacing w:after="0"/>
              <w:rPr>
                <w:sz w:val="18"/>
                <w:szCs w:val="18"/>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Business Combination consummation</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87,474,239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merger consideration of 55,000,000 shares of New Tango common stock issued to Old Tango equity holders consists of 48,593,803 shares issued in exchange for Old Tango common and preferred shares outstanding, included in the table above, as well as 6,406,197 shares issued in exchange for the Old Tango unvested restricted stock awards and unexercised stock options outstanding immediately prior to the effective time of the Business Combination.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Retroactive Application of Recapitalization</w:t>
      </w:r>
    </w:p>
    <w:p>
      <w:pPr>
        <w:spacing w:after="0" w:line="216"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As discussed above, the Business Combination with BCTG, which was consummated on August 10, 2021, is accounted for as a reverse recapitalization of equity structure. Under the reverse recapitalization model, the Business Combination was treated as Old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Old Tango’s stockholders possess a majority of the voting power of the combined company, the combined company comprises all of the ongoing operations of Old Tango, the combined company comprises a majority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governing body of Old Tango, and the combined company’s senior management comprises all of the senior management of Old Tango.</w:t>
      </w:r>
    </w:p>
    <w:p>
      <w:pPr>
        <w:spacing w:after="0" w:line="225" w:lineRule="exact"/>
        <w:rPr>
          <w:sz w:val="20"/>
          <w:szCs w:val="20"/>
          <w:color w:val="auto"/>
        </w:rPr>
      </w:pPr>
    </w:p>
    <w:p>
      <w:pPr>
        <w:ind w:right="800" w:firstLine="509"/>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contain recasted stockholders' equity balances resulting from the retroactive application of reverse recapitalization accounting in accordance with U.S. GAAP.</w:t>
      </w:r>
    </w:p>
    <w:p>
      <w:pPr>
        <w:spacing w:after="0" w:line="16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upon the closing of the Business Combination on August 10, 2021 (the “Effective Time”), each share of Old Tango’s redeemable convertible preferred stock (the “Preferred Stock”) issued and outstanding immediately prior to the Effective Time was converted into a share of the Company’s common stock using the exchange ratio of 0.34.</w:t>
      </w:r>
    </w:p>
    <w:p>
      <w:pPr>
        <w:spacing w:after="0" w:line="169"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All common shares, as well as previously issued share options and restricted stock awards (“RSAs”), presented in the accompanying unaudited recasted condensed consolidated statements of redeemable convertible preferred stock and stockholders' equity and/or in the related notes are presented on an as-converted basis, converted at the ratio of 0.34. The basic and diluted weighted-average shares of common stock outstanding for the three and six months ended June 30, 2021 has been retroactively converted using the exchange ratio of 0.34. The historical proceeds from the issuance of preferred stock, less the par value of the historical preferred shares that were converted into common shares using the 0.34 ratio at the Effective Time, have been reclassified to additional paid in capital for the three and six months ended June 30, 2021.</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to</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8/10/2021 Merger</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3"/>
                <w:szCs w:val="13"/>
                <w:color w:val="auto"/>
              </w:rPr>
            </w:pPr>
          </w:p>
        </w:tc>
        <w:tc>
          <w:tcPr>
            <w:tcW w:w="21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Convertible Preferred</w:t>
            </w:r>
          </w:p>
        </w:tc>
        <w:tc>
          <w:tcPr>
            <w:tcW w:w="220" w:type="dxa"/>
            <w:vAlign w:val="bottom"/>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Common Exchange</w:t>
            </w:r>
          </w:p>
        </w:tc>
        <w:tc>
          <w:tcPr>
            <w:tcW w:w="22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Recapitalization</w:t>
            </w:r>
          </w:p>
        </w:tc>
        <w:tc>
          <w:tcPr>
            <w:tcW w:w="22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Recapitalization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3/18/2021</w:t>
            </w:r>
          </w:p>
        </w:tc>
        <w:tc>
          <w:tcPr>
            <w:tcW w:w="1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(tranche 2)</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2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weighted-average common shares, basic and diluted, for the three months ended June 30,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4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8/10/2021 Merger</w:t>
            </w:r>
          </w:p>
        </w:tc>
        <w:tc>
          <w:tcPr>
            <w:tcW w:w="220" w:type="dxa"/>
            <w:vAlign w:val="bottom"/>
          </w:tcPr>
          <w:p>
            <w:pPr>
              <w:spacing w:after="0"/>
              <w:rPr>
                <w:sz w:val="12"/>
                <w:szCs w:val="12"/>
                <w:color w:val="auto"/>
              </w:rPr>
            </w:pPr>
          </w:p>
        </w:tc>
        <w:tc>
          <w:tcPr>
            <w:tcW w:w="12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Recapitalized</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 Outstanding</w:t>
            </w:r>
          </w:p>
        </w:tc>
        <w:tc>
          <w:tcPr>
            <w:tcW w:w="120" w:type="dxa"/>
            <w:vAlign w:val="bottom"/>
          </w:tcPr>
          <w:p>
            <w:pPr>
              <w:spacing w:after="0"/>
              <w:rPr>
                <w:sz w:val="12"/>
                <w:szCs w:val="12"/>
                <w:color w:val="auto"/>
              </w:rPr>
            </w:pPr>
          </w:p>
        </w:tc>
        <w:tc>
          <w:tcPr>
            <w:tcW w:w="8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common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40" w:type="dxa"/>
            <w:vAlign w:val="bottom"/>
          </w:tcPr>
          <w:p>
            <w:pPr>
              <w:spacing w:after="0"/>
              <w:rPr>
                <w:sz w:val="16"/>
                <w:szCs w:val="16"/>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Q2 2021</w:t>
            </w:r>
          </w:p>
        </w:tc>
        <w:tc>
          <w:tcPr>
            <w:tcW w:w="120" w:type="dxa"/>
            <w:vAlign w:val="bottom"/>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6/30/2021</w:t>
            </w: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ind w:left="20"/>
              <w:spacing w:after="0" w:line="147" w:lineRule="exact"/>
              <w:rPr>
                <w:sz w:val="20"/>
                <w:szCs w:val="20"/>
                <w:color w:val="auto"/>
              </w:rPr>
            </w:pPr>
            <w:r>
              <w:rPr>
                <w:rFonts w:ascii="Times New Roman" w:cs="Times New Roman" w:eastAsia="Times New Roman" w:hAnsi="Times New Roman"/>
                <w:sz w:val="14"/>
                <w:szCs w:val="14"/>
                <w:color w:val="auto"/>
              </w:rPr>
              <w:t>Weighted-average shares,</w:t>
            </w:r>
          </w:p>
        </w:tc>
        <w:tc>
          <w:tcPr>
            <w:tcW w:w="17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14,485,746</w:t>
            </w:r>
          </w:p>
        </w:tc>
        <w:tc>
          <w:tcPr>
            <w:tcW w:w="1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4,965,270</w:t>
            </w:r>
          </w:p>
        </w:tc>
        <w:tc>
          <w:tcPr>
            <w:tcW w:w="1340" w:type="dxa"/>
            <w:vAlign w:val="bottom"/>
            <w:gridSpan w:val="2"/>
            <w:vMerge w:val="restart"/>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gridSpan w:val="2"/>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4,965,270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780" w:type="dxa"/>
            <w:vAlign w:val="bottom"/>
            <w:gridSpan w:val="3"/>
            <w:vMerge w:val="continue"/>
            <w:shd w:val="clear" w:color="auto" w:fill="CFF0FC"/>
          </w:tcPr>
          <w:p>
            <w:pPr>
              <w:spacing w:after="0"/>
              <w:rPr>
                <w:sz w:val="14"/>
                <w:szCs w:val="14"/>
                <w:color w:val="auto"/>
              </w:rPr>
            </w:pPr>
          </w:p>
        </w:tc>
        <w:tc>
          <w:tcPr>
            <w:tcW w:w="1460" w:type="dxa"/>
            <w:vAlign w:val="bottom"/>
            <w:gridSpan w:val="2"/>
            <w:vMerge w:val="continue"/>
            <w:shd w:val="clear" w:color="auto" w:fill="CFF0FC"/>
          </w:tcPr>
          <w:p>
            <w:pPr>
              <w:spacing w:after="0"/>
              <w:rPr>
                <w:sz w:val="14"/>
                <w:szCs w:val="14"/>
                <w:color w:val="auto"/>
              </w:rPr>
            </w:pPr>
          </w:p>
        </w:tc>
        <w:tc>
          <w:tcPr>
            <w:tcW w:w="1440" w:type="dxa"/>
            <w:vAlign w:val="bottom"/>
            <w:gridSpan w:val="2"/>
            <w:vMerge w:val="continue"/>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12/31/2019</w:t>
            </w:r>
          </w:p>
        </w:tc>
        <w:tc>
          <w:tcPr>
            <w:tcW w:w="12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shares</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55,700,000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18,922,317</w:t>
            </w:r>
          </w:p>
        </w:tc>
        <w:tc>
          <w:tcPr>
            <w:tcW w:w="13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18,922,317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4/7/2020</w:t>
            </w:r>
          </w:p>
        </w:tc>
        <w:tc>
          <w:tcPr>
            <w:tcW w:w="120" w:type="dxa"/>
            <w:vAlign w:val="bottom"/>
            <w:shd w:val="clear" w:color="auto" w:fill="CFF0FC"/>
          </w:tcPr>
          <w:p>
            <w:pPr>
              <w:spacing w:after="0"/>
              <w:rPr>
                <w:sz w:val="15"/>
                <w:szCs w:val="15"/>
                <w:color w:val="auto"/>
              </w:rPr>
            </w:pPr>
          </w:p>
        </w:tc>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B shares</w:t>
            </w:r>
          </w:p>
        </w:tc>
        <w:tc>
          <w:tcPr>
            <w:tcW w:w="1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7,706,443</w:t>
            </w:r>
          </w:p>
        </w:tc>
        <w:tc>
          <w:tcPr>
            <w:tcW w:w="134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7,706,443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8/17/2020</w:t>
            </w:r>
          </w:p>
        </w:tc>
        <w:tc>
          <w:tcPr>
            <w:tcW w:w="12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B-1 shares</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27,152,255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9,223,621</w:t>
            </w:r>
          </w:p>
        </w:tc>
        <w:tc>
          <w:tcPr>
            <w:tcW w:w="13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9,223,621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3/18/2021</w:t>
            </w:r>
          </w:p>
        </w:tc>
        <w:tc>
          <w:tcPr>
            <w:tcW w:w="120" w:type="dxa"/>
            <w:vAlign w:val="bottom"/>
            <w:tcBorders>
              <w:bottom w:val="single" w:sz="8" w:color="CFF0FC"/>
            </w:tcBorders>
            <w:shd w:val="clear" w:color="auto" w:fill="CFF0FC"/>
          </w:tcPr>
          <w:p>
            <w:pPr>
              <w:spacing w:after="0"/>
              <w:rPr>
                <w:sz w:val="15"/>
                <w:szCs w:val="15"/>
                <w:color w:val="auto"/>
              </w:rPr>
            </w:pPr>
          </w:p>
        </w:tc>
        <w:tc>
          <w:tcPr>
            <w:tcW w:w="1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B shares (tranche 2)</w:t>
            </w:r>
          </w:p>
        </w:tc>
        <w:tc>
          <w:tcPr>
            <w:tcW w:w="178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340" w:type="dxa"/>
            <w:vAlign w:val="bottom"/>
            <w:tcBorders>
              <w:bottom w:val="single" w:sz="8" w:color="CFF0FC"/>
            </w:tcBorders>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940" w:type="dxa"/>
            <w:vAlign w:val="bottom"/>
            <w:gridSpan w:val="11"/>
          </w:tcPr>
          <w:p>
            <w:pPr>
              <w:ind w:left="100"/>
              <w:spacing w:after="0" w:line="155" w:lineRule="exact"/>
              <w:rPr>
                <w:sz w:val="20"/>
                <w:szCs w:val="20"/>
                <w:color w:val="auto"/>
              </w:rPr>
            </w:pPr>
            <w:r>
              <w:rPr>
                <w:rFonts w:ascii="Times New Roman" w:cs="Times New Roman" w:eastAsia="Times New Roman" w:hAnsi="Times New Roman"/>
                <w:sz w:val="14"/>
                <w:szCs w:val="14"/>
                <w:color w:val="auto"/>
              </w:rPr>
              <w:t>Weighted average number of common shares outstanding – basic and diluted for the three months ended June 30, 2021</w:t>
            </w:r>
          </w:p>
        </w:tc>
        <w:tc>
          <w:tcPr>
            <w:tcW w:w="1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48,524,511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weighted-average common shares, basic and diluted, for the six months ended June 30, 2021:</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3"/>
                <w:szCs w:val="13"/>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40" w:type="dxa"/>
            <w:vAlign w:val="bottom"/>
          </w:tcPr>
          <w:p>
            <w:pPr>
              <w:spacing w:after="0"/>
              <w:rPr>
                <w:sz w:val="13"/>
                <w:szCs w:val="13"/>
                <w:color w:val="auto"/>
              </w:rPr>
            </w:pPr>
          </w:p>
        </w:tc>
        <w:tc>
          <w:tcPr>
            <w:tcW w:w="122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8/10/2021 Merger</w:t>
            </w:r>
          </w:p>
        </w:tc>
        <w:tc>
          <w:tcPr>
            <w:tcW w:w="220" w:type="dxa"/>
            <w:vAlign w:val="bottom"/>
          </w:tcPr>
          <w:p>
            <w:pPr>
              <w:spacing w:after="0"/>
              <w:rPr>
                <w:sz w:val="13"/>
                <w:szCs w:val="13"/>
                <w:color w:val="auto"/>
              </w:rPr>
            </w:pPr>
          </w:p>
        </w:tc>
        <w:tc>
          <w:tcPr>
            <w:tcW w:w="120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Recapitalized</w:t>
            </w:r>
          </w:p>
        </w:tc>
        <w:tc>
          <w:tcPr>
            <w:tcW w:w="220" w:type="dxa"/>
            <w:vAlign w:val="bottom"/>
          </w:tcPr>
          <w:p>
            <w:pPr>
              <w:spacing w:after="0"/>
              <w:rPr>
                <w:sz w:val="13"/>
                <w:szCs w:val="13"/>
                <w:color w:val="auto"/>
              </w:rPr>
            </w:pPr>
          </w:p>
        </w:tc>
        <w:tc>
          <w:tcPr>
            <w:tcW w:w="112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in</w:t>
            </w:r>
          </w:p>
        </w:tc>
        <w:tc>
          <w:tcPr>
            <w:tcW w:w="10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average common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40" w:type="dxa"/>
            <w:vAlign w:val="bottom"/>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6/30/2021</w:t>
            </w:r>
          </w:p>
        </w:tc>
        <w:tc>
          <w:tcPr>
            <w:tcW w:w="120" w:type="dxa"/>
            <w:vAlign w:val="bottom"/>
            <w:shd w:val="clear" w:color="auto" w:fill="CFF0FC"/>
          </w:tcPr>
          <w:p>
            <w:pPr>
              <w:spacing w:after="0"/>
              <w:rPr>
                <w:sz w:val="11"/>
                <w:szCs w:val="11"/>
                <w:color w:val="auto"/>
              </w:rPr>
            </w:pPr>
          </w:p>
        </w:tc>
        <w:tc>
          <w:tcPr>
            <w:tcW w:w="16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Weighted-average shares,</w:t>
            </w:r>
          </w:p>
        </w:tc>
        <w:tc>
          <w:tcPr>
            <w:tcW w:w="17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14,214,543</w:t>
            </w:r>
          </w:p>
        </w:tc>
        <w:tc>
          <w:tcPr>
            <w:tcW w:w="1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4,807,132</w:t>
            </w:r>
          </w:p>
        </w:tc>
        <w:tc>
          <w:tcPr>
            <w:tcW w:w="134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181</w:t>
            </w:r>
          </w:p>
        </w:tc>
        <w:tc>
          <w:tcPr>
            <w:tcW w:w="900" w:type="dxa"/>
            <w:vAlign w:val="bottom"/>
            <w:gridSpan w:val="2"/>
            <w:vMerge w:val="restart"/>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4,807,132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2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basic and diluted</w:t>
            </w:r>
          </w:p>
        </w:tc>
        <w:tc>
          <w:tcPr>
            <w:tcW w:w="1700" w:type="dxa"/>
            <w:vAlign w:val="bottom"/>
            <w:gridSpan w:val="3"/>
            <w:vMerge w:val="continue"/>
            <w:shd w:val="clear" w:color="auto" w:fill="CFF0FC"/>
          </w:tcPr>
          <w:p>
            <w:pPr>
              <w:spacing w:after="0"/>
              <w:rPr>
                <w:sz w:val="16"/>
                <w:szCs w:val="16"/>
                <w:color w:val="auto"/>
              </w:rPr>
            </w:pPr>
          </w:p>
        </w:tc>
        <w:tc>
          <w:tcPr>
            <w:tcW w:w="1460" w:type="dxa"/>
            <w:vAlign w:val="bottom"/>
            <w:gridSpan w:val="2"/>
            <w:vMerge w:val="continue"/>
            <w:shd w:val="clear" w:color="auto" w:fill="CFF0FC"/>
          </w:tcPr>
          <w:p>
            <w:pPr>
              <w:spacing w:after="0"/>
              <w:rPr>
                <w:sz w:val="16"/>
                <w:szCs w:val="16"/>
                <w:color w:val="auto"/>
              </w:rPr>
            </w:pPr>
          </w:p>
        </w:tc>
        <w:tc>
          <w:tcPr>
            <w:tcW w:w="1420" w:type="dxa"/>
            <w:vAlign w:val="bottom"/>
            <w:gridSpan w:val="2"/>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12/31/2019</w:t>
            </w:r>
          </w:p>
        </w:tc>
        <w:tc>
          <w:tcPr>
            <w:tcW w:w="12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Series A shares</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55,700,000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18,922,317</w:t>
            </w:r>
          </w:p>
        </w:tc>
        <w:tc>
          <w:tcPr>
            <w:tcW w:w="134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181</w:t>
            </w:r>
          </w:p>
        </w:tc>
        <w:tc>
          <w:tcPr>
            <w:tcW w:w="9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18,922,317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4/7/2020</w:t>
            </w:r>
          </w:p>
        </w:tc>
        <w:tc>
          <w:tcPr>
            <w:tcW w:w="12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shares</w:t>
            </w:r>
          </w:p>
        </w:tc>
        <w:tc>
          <w:tcPr>
            <w:tcW w:w="1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7,706,443</w:t>
            </w:r>
          </w:p>
        </w:tc>
        <w:tc>
          <w:tcPr>
            <w:tcW w:w="134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181</w:t>
            </w:r>
          </w:p>
        </w:tc>
        <w:tc>
          <w:tcPr>
            <w:tcW w:w="90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7,706,443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8/17/2020</w:t>
            </w:r>
          </w:p>
        </w:tc>
        <w:tc>
          <w:tcPr>
            <w:tcW w:w="12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Series B-1 shares</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27,152,255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9,223,621</w:t>
            </w:r>
          </w:p>
        </w:tc>
        <w:tc>
          <w:tcPr>
            <w:tcW w:w="134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181</w:t>
            </w:r>
          </w:p>
        </w:tc>
        <w:tc>
          <w:tcPr>
            <w:tcW w:w="9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9,223,621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3/18/2021</w:t>
            </w:r>
          </w:p>
        </w:tc>
        <w:tc>
          <w:tcPr>
            <w:tcW w:w="120" w:type="dxa"/>
            <w:vAlign w:val="bottom"/>
            <w:tcBorders>
              <w:bottom w:val="single" w:sz="8" w:color="CFF0FC"/>
            </w:tcBorders>
            <w:shd w:val="clear" w:color="auto" w:fill="CFF0FC"/>
          </w:tcPr>
          <w:p>
            <w:pPr>
              <w:spacing w:after="0"/>
              <w:rPr>
                <w:sz w:val="15"/>
                <w:szCs w:val="15"/>
                <w:color w:val="auto"/>
              </w:rPr>
            </w:pPr>
          </w:p>
        </w:tc>
        <w:tc>
          <w:tcPr>
            <w:tcW w:w="1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shares (tranche 2)</w:t>
            </w:r>
          </w:p>
        </w:tc>
        <w:tc>
          <w:tcPr>
            <w:tcW w:w="17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340" w:type="dxa"/>
            <w:vAlign w:val="bottom"/>
            <w:tcBorders>
              <w:bottom w:val="single" w:sz="8" w:color="CFF0FC"/>
            </w:tcBorders>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105</w:t>
            </w:r>
          </w:p>
        </w:tc>
        <w:tc>
          <w:tcPr>
            <w:tcW w:w="900" w:type="dxa"/>
            <w:vAlign w:val="bottom"/>
            <w:tcBorders>
              <w:bottom w:val="single" w:sz="8" w:color="CFF0FC"/>
            </w:tcBorders>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4,428,922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gridSpan w:val="11"/>
          </w:tcPr>
          <w:p>
            <w:pPr>
              <w:ind w:left="80"/>
              <w:spacing w:after="0" w:line="155" w:lineRule="exact"/>
              <w:rPr>
                <w:sz w:val="20"/>
                <w:szCs w:val="20"/>
                <w:color w:val="auto"/>
              </w:rPr>
            </w:pPr>
            <w:r>
              <w:rPr>
                <w:rFonts w:ascii="Times New Roman" w:cs="Times New Roman" w:eastAsia="Times New Roman" w:hAnsi="Times New Roman"/>
                <w:sz w:val="14"/>
                <w:szCs w:val="14"/>
                <w:color w:val="auto"/>
              </w:rPr>
              <w:t>Weighted average number of common shares outstanding – basic and diluted for the six months ended June 30, 2021</w:t>
            </w:r>
          </w:p>
        </w:tc>
        <w:tc>
          <w:tcPr>
            <w:tcW w:w="1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45,088,434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-145415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ind w:left="520" w:right="8700" w:hanging="512"/>
        <w:spacing w:after="0" w:line="524" w:lineRule="auto"/>
        <w:tabs>
          <w:tab w:leader="none" w:pos="5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Collaboration Agreements </w:t>
      </w:r>
      <w:r>
        <w:rPr>
          <w:rFonts w:ascii="Times New Roman" w:cs="Times New Roman" w:eastAsia="Times New Roman" w:hAnsi="Times New Roman"/>
          <w:sz w:val="17"/>
          <w:szCs w:val="17"/>
          <w:b w:val="1"/>
          <w:bCs w:val="1"/>
          <w:i w:val="1"/>
          <w:iCs w:val="1"/>
          <w:color w:val="auto"/>
        </w:rPr>
        <w:t>2018 Gilead Agreement</w:t>
      </w:r>
    </w:p>
    <w:p>
      <w:pPr>
        <w:spacing w:after="0" w:line="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89"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 xml:space="preserve">The Company assessed this arrangement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8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Gilead Agreement</w:t>
      </w:r>
    </w:p>
    <w:p>
      <w:pPr>
        <w:spacing w:after="0" w:line="229"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In August 2020, Gilead made an equity investment of $20.0 million into the Company as a participant in the Company’s Series B-1 preferred stock offering. At the time of the original investment, as well as of the June 30, 2022 balance sheet date, Gilead maintains an ownership of less than 10% of the Company's common stock and is thus not considered to be a related party to the Company.</w:t>
      </w:r>
    </w:p>
    <w:p>
      <w:pPr>
        <w:spacing w:after="0" w:line="190"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82" w:lineRule="exact"/>
        <w:rPr>
          <w:sz w:val="20"/>
          <w:szCs w:val="20"/>
          <w:color w:val="auto"/>
        </w:rPr>
      </w:pPr>
    </w:p>
    <w:p>
      <w:pPr>
        <w:ind w:left="1020" w:right="3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67" w:lineRule="exact"/>
        <w:rPr>
          <w:rFonts w:ascii="Times New Roman" w:cs="Times New Roman" w:eastAsia="Times New Roman" w:hAnsi="Times New Roman"/>
          <w:sz w:val="18"/>
          <w:szCs w:val="18"/>
          <w:color w:val="auto"/>
        </w:rPr>
      </w:pPr>
    </w:p>
    <w:p>
      <w:pPr>
        <w:ind w:left="1020" w:right="7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54" w:lineRule="exact"/>
        <w:rPr>
          <w:rFonts w:ascii="Times New Roman" w:cs="Times New Roman" w:eastAsia="Times New Roman" w:hAnsi="Times New Roman"/>
          <w:sz w:val="18"/>
          <w:szCs w:val="18"/>
          <w:color w:val="auto"/>
        </w:rPr>
      </w:pPr>
    </w:p>
    <w:p>
      <w:pPr>
        <w:jc w:val="both"/>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40"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6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48"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extension, and clinical, regulatory, and commercial milestones and royalties on future sales of commercialized products, if any.</w:t>
      </w:r>
    </w:p>
    <w:p>
      <w:pPr>
        <w:spacing w:after="0" w:line="176"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research term. As a result, the Company’s progress towards completing its research services to Gilead over the seven-year term of the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16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extensions is paid to the Company in equal quarterly installment payments over an agreed upon payment schedule. Although future research installment payments are not payable in the event of scientific failure, the Company determined that the variable consideration of $12.0 million for each of the extensions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81"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April 2021, Gilead licensed a program for an $11.0 million license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June 30, 2022. The total transaction price was comprised of the $50.0 million upfront payment pursuant to the 2018 Gilead Agreement, the $125.0 million upfront payment pursuant to the Gilead Agreement, the $12.0 million payment pursuant to the research extension fee in December 2020, and the $12.0 million payment pursuant to the research extension fee in September 2021. During the six months ended June 30, 2022 and 2021, the Company recognized $11.5 million and $13.5 million, respectively, of collaboration revenue associated with the Gilead agreements based on performance completed during each period.</w:t>
      </w:r>
    </w:p>
    <w:p>
      <w:pPr>
        <w:spacing w:after="0" w:line="181"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June 30, 2022 and December 31, 2021, the Company had short-term deferred revenue of $28.2 million and $26.0 million, respectively, and long-term deferred revenue of $105.0 million and $114.7 million, respectively, related to the Gilead collaboration. The remaining long-term revenue is expected to be recognized proportionally to the completed obligations over an expected remaining contractual term of approximately 5.1 years.</w:t>
      </w:r>
    </w:p>
    <w:p>
      <w:pPr>
        <w:spacing w:after="0" w:line="180" w:lineRule="exact"/>
        <w:rPr>
          <w:sz w:val="20"/>
          <w:szCs w:val="20"/>
          <w:color w:val="auto"/>
        </w:rPr>
      </w:pPr>
    </w:p>
    <w:p>
      <w:pPr>
        <w:ind w:right="320" w:firstLine="509"/>
        <w:spacing w:after="0" w:line="246"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unaudited condensed consolidated balance sheets. As of June 30, 2022, $6.0 million of the ongoing research extension fee total of $12.0 million had been received, $2.0 million had been recorded as accounts receivable and the remaining $4.0 million was determined to be conditional upon the satisfaction of additional research obligations, and thus a contract asset. The contract asset balance is presented net of the deferred revenue contract liability.</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Agreements are recorded as research and development expense.</w:t>
      </w:r>
    </w:p>
    <w:p>
      <w:pPr>
        <w:spacing w:after="0" w:line="20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1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236,359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236,359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39,303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324,667</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363,970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15"/>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-513715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-496570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-513715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-496570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-513715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-496570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100" w:type="dxa"/>
            <w:vAlign w:val="bottom"/>
          </w:tcPr>
          <w:p>
            <w:pPr>
              <w:spacing w:after="0"/>
              <w:rPr>
                <w:sz w:val="18"/>
                <w:szCs w:val="18"/>
                <w:color w:val="auto"/>
              </w:rPr>
            </w:pP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380,943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443,187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six months ended June 30, 2022.</w:t>
      </w:r>
    </w:p>
    <w:p>
      <w:pPr>
        <w:spacing w:after="0" w:line="20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2022</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ind w:left="16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37"/>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960" w:type="dxa"/>
            <w:vAlign w:val="bottom"/>
          </w:tcPr>
          <w:p>
            <w:pPr>
              <w:jc w:val="center"/>
              <w:ind w:left="165"/>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3"/>
                <w:szCs w:val="13"/>
                <w:color w:val="auto"/>
              </w:rPr>
            </w:pPr>
          </w:p>
        </w:tc>
        <w:tc>
          <w:tcPr>
            <w:tcW w:w="840" w:type="dxa"/>
            <w:vAlign w:val="bottom"/>
          </w:tcPr>
          <w:p>
            <w:pPr>
              <w:jc w:val="center"/>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r>
      <w:tr>
        <w:trPr>
          <w:trHeight w:val="189"/>
        </w:trPr>
        <w:tc>
          <w:tcPr>
            <w:tcW w:w="5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960" w:type="dxa"/>
            <w:vAlign w:val="bottom"/>
            <w:tcBorders>
              <w:bottom w:val="single" w:sz="8" w:color="auto"/>
            </w:tcBorders>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3"/>
          </w:tcPr>
          <w:p>
            <w:pPr>
              <w:jc w:val="center"/>
              <w:ind w:right="659"/>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0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239,660</w:t>
            </w:r>
          </w:p>
        </w:tc>
        <w:tc>
          <w:tcPr>
            <w:tcW w:w="1200" w:type="dxa"/>
            <w:vAlign w:val="bottom"/>
            <w:gridSpan w:val="2"/>
          </w:tcPr>
          <w:p>
            <w:pPr>
              <w:jc w:val="right"/>
              <w:ind w:right="78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center"/>
              <w:ind w:left="7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236,359</w:t>
            </w:r>
          </w:p>
        </w:tc>
        <w:tc>
          <w:tcPr>
            <w:tcW w:w="100" w:type="dxa"/>
            <w:vAlign w:val="bottom"/>
          </w:tcPr>
          <w:p>
            <w:pPr>
              <w:spacing w:after="0"/>
              <w:rPr>
                <w:sz w:val="18"/>
                <w:szCs w:val="18"/>
                <w:color w:val="auto"/>
              </w:rPr>
            </w:pPr>
          </w:p>
        </w:tc>
      </w:tr>
      <w:tr>
        <w:trPr>
          <w:trHeight w:val="216"/>
        </w:trPr>
        <w:tc>
          <w:tcPr>
            <w:tcW w:w="50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76,461</w:t>
            </w:r>
          </w:p>
        </w:tc>
        <w:tc>
          <w:tcPr>
            <w:tcW w:w="24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(1,052 )</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75,415</w:t>
            </w:r>
          </w:p>
        </w:tc>
        <w:tc>
          <w:tcPr>
            <w:tcW w:w="100" w:type="dxa"/>
            <w:vAlign w:val="bottom"/>
            <w:shd w:val="clear" w:color="auto" w:fill="CFF0FC"/>
          </w:tcPr>
          <w:p>
            <w:pPr>
              <w:spacing w:after="0"/>
              <w:rPr>
                <w:sz w:val="18"/>
                <w:szCs w:val="18"/>
                <w:color w:val="auto"/>
              </w:rPr>
            </w:pPr>
          </w:p>
        </w:tc>
      </w:tr>
      <w:tr>
        <w:trPr>
          <w:trHeight w:val="20"/>
        </w:trPr>
        <w:tc>
          <w:tcPr>
            <w:tcW w:w="50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316,121</w:t>
            </w:r>
          </w:p>
        </w:tc>
        <w:tc>
          <w:tcPr>
            <w:tcW w:w="240" w:type="dxa"/>
            <w:vAlign w:val="bottom"/>
          </w:tcPr>
          <w:p>
            <w:pPr>
              <w:spacing w:after="0"/>
              <w:rPr>
                <w:sz w:val="18"/>
                <w:szCs w:val="18"/>
                <w:color w:val="auto"/>
              </w:rPr>
            </w:pP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311,774</w:t>
            </w:r>
          </w:p>
        </w:tc>
        <w:tc>
          <w:tcPr>
            <w:tcW w:w="10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5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ind w:left="12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4"/>
                <w:szCs w:val="14"/>
                <w:color w:val="auto"/>
              </w:rPr>
            </w:pPr>
          </w:p>
        </w:tc>
        <w:tc>
          <w:tcPr>
            <w:tcW w:w="960" w:type="dxa"/>
            <w:vAlign w:val="bottom"/>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r>
      <w:tr>
        <w:trPr>
          <w:trHeight w:val="187"/>
        </w:trPr>
        <w:tc>
          <w:tcPr>
            <w:tcW w:w="5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96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3"/>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0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287,699</w:t>
            </w:r>
          </w:p>
        </w:tc>
        <w:tc>
          <w:tcPr>
            <w:tcW w:w="1200" w:type="dxa"/>
            <w:vAlign w:val="bottom"/>
            <w:gridSpan w:val="2"/>
          </w:tcPr>
          <w:p>
            <w:pPr>
              <w:jc w:val="right"/>
              <w:ind w:right="80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tcPr>
          <w:p>
            <w:pPr>
              <w:jc w:val="center"/>
              <w:ind w:left="5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100" w:type="dxa"/>
            <w:vAlign w:val="bottom"/>
          </w:tcPr>
          <w:p>
            <w:pPr>
              <w:spacing w:after="0"/>
              <w:rPr>
                <w:sz w:val="18"/>
                <w:szCs w:val="18"/>
                <w:color w:val="auto"/>
              </w:rPr>
            </w:pPr>
          </w:p>
        </w:tc>
      </w:tr>
      <w:tr>
        <w:trPr>
          <w:trHeight w:val="216"/>
        </w:trPr>
        <w:tc>
          <w:tcPr>
            <w:tcW w:w="50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55,576</w:t>
            </w:r>
          </w:p>
        </w:tc>
        <w:tc>
          <w:tcPr>
            <w:tcW w:w="24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(189 )</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100" w:type="dxa"/>
            <w:vAlign w:val="bottom"/>
            <w:shd w:val="clear" w:color="auto" w:fill="CFF0FC"/>
          </w:tcPr>
          <w:p>
            <w:pPr>
              <w:spacing w:after="0"/>
              <w:rPr>
                <w:sz w:val="18"/>
                <w:szCs w:val="18"/>
                <w:color w:val="auto"/>
              </w:rPr>
            </w:pPr>
          </w:p>
        </w:tc>
      </w:tr>
      <w:tr>
        <w:trPr>
          <w:trHeight w:val="20"/>
        </w:trPr>
        <w:tc>
          <w:tcPr>
            <w:tcW w:w="50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343,275</w:t>
            </w:r>
          </w:p>
        </w:tc>
        <w:tc>
          <w:tcPr>
            <w:tcW w:w="240" w:type="dxa"/>
            <w:vAlign w:val="bottom"/>
          </w:tcPr>
          <w:p>
            <w:pPr>
              <w:spacing w:after="0"/>
              <w:rPr>
                <w:sz w:val="18"/>
                <w:szCs w:val="18"/>
                <w:color w:val="auto"/>
              </w:rPr>
            </w:pPr>
          </w:p>
        </w:tc>
        <w:tc>
          <w:tcPr>
            <w:tcW w:w="960" w:type="dxa"/>
            <w:vAlign w:val="bottom"/>
          </w:tcPr>
          <w:p>
            <w:pPr>
              <w:jc w:val="right"/>
              <w:ind w:right="805"/>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342,510</w:t>
            </w:r>
          </w:p>
        </w:tc>
        <w:tc>
          <w:tcPr>
            <w:tcW w:w="10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-1430655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-1430655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-1430655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-1430655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Company holds marketable debt securities with an aggregate fair value of $89.4 million as of June 30, 2022 with contractual maturity dates greater than one year.</w:t>
      </w:r>
    </w:p>
    <w:p>
      <w:pPr>
        <w:spacing w:after="0" w:line="17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Company holds investment grade marketable securities, with $4.4 million of U.S. Treasury bills and U.S. government agency bonds considered to be in an unrealized loss position as of June 30, 2022 and $0.8 million considered to be in an unrealized loss position as of December 31, 2021. Although these marketable securities are held at an unrealized loss position at June 30, 2022, the Company does not intend to sell the marketable securities prior to the value of the securities being recovered. Further,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As a result, the Company did not record any impairments to marketable securities or reserves for credit losses related to its marketable debt securities during the periods then ended. Marketable securities include $0.3 million in accrued interest at June 30, 2022 and $0.2 million in accrued interest at December 31, 2021.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6" w:name="page17"/>
    <w:bookmarkEnd w:id="16"/>
    <w:p>
      <w:pPr>
        <w:ind w:left="520" w:right="7480" w:hanging="512"/>
        <w:spacing w:after="0" w:line="495" w:lineRule="auto"/>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as of June 30, 2022 and December 31, 2021 consists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tcBorders>
              <w:bottom w:val="single" w:sz="8" w:color="auto"/>
            </w:tcBorders>
            <w:gridSpan w:val="3"/>
          </w:tcPr>
          <w:p>
            <w:pPr>
              <w:jc w:val="center"/>
              <w:ind w:right="713"/>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4"/>
                <w:szCs w:val="14"/>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8"/>
                <w:szCs w:val="18"/>
                <w:color w:val="auto"/>
              </w:rPr>
            </w:pPr>
          </w:p>
        </w:tc>
      </w:tr>
      <w:tr>
        <w:trPr>
          <w:trHeight w:val="210"/>
        </w:trPr>
        <w:tc>
          <w:tcPr>
            <w:tcW w:w="5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8"/>
                <w:szCs w:val="18"/>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(3,143 )</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(2,529 )</w:t>
            </w:r>
          </w:p>
        </w:tc>
      </w:tr>
      <w:tr>
        <w:trPr>
          <w:trHeight w:val="249"/>
        </w:trPr>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$0.6 million and $0.4 million for the six months ended June 30, 2022 and 2021, respectively.</w:t>
      </w:r>
    </w:p>
    <w:p>
      <w:pPr>
        <w:spacing w:after="0" w:line="212"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At June 30, 2022, the balance of construction in process includes construction costs for lessee-owned improvements and costs associated with laboratory equipment under installation at the leased office and laboratory premises at 201 Brookline Avenue. The in-progress construction projects are expected to be completed and the 201 Brookline Avenue lease is expected to commence in the third quarter of 2022.</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as of June 30, 2022 and December 31, 2021 include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tcBorders>
              <w:bottom w:val="single" w:sz="8" w:color="auto"/>
            </w:tcBorders>
            <w:gridSpan w:val="3"/>
          </w:tcPr>
          <w:p>
            <w:pPr>
              <w:jc w:val="center"/>
              <w:ind w:right="71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4"/>
                <w:szCs w:val="14"/>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340" w:type="dxa"/>
            <w:vAlign w:val="bottom"/>
            <w:gridSpan w:val="2"/>
            <w:shd w:val="clear" w:color="auto" w:fill="CFF0FC"/>
          </w:tcPr>
          <w:p>
            <w:pPr>
              <w:jc w:val="center"/>
              <w:ind w:lef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8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34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-170815</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16"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and 2021, the Company maintained a restricted cash balance of $4.0 million and $2.3 million, respectively, all of which was related to security deposits associated with the Company’s facility leases. The cash will remain restricted in accordance with the lease agreements absent the event of a lease termination or modification. The reconciliation of cash and cash equivalents and restricted cash to amounts presented in the condensed consolidated statements of cash flows are as follows:</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3"/>
                <w:szCs w:val="13"/>
                <w:color w:val="auto"/>
              </w:rPr>
            </w:pPr>
          </w:p>
        </w:tc>
      </w:tr>
      <w:tr>
        <w:trPr>
          <w:trHeight w:val="187"/>
        </w:trPr>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tcBorders>
              <w:bottom w:val="single" w:sz="8" w:color="auto"/>
            </w:tcBorders>
            <w:gridSpan w:val="3"/>
          </w:tcPr>
          <w:p>
            <w:pPr>
              <w:jc w:val="center"/>
              <w:ind w:right="717"/>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4"/>
                <w:szCs w:val="14"/>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104,582</w:t>
            </w:r>
          </w:p>
        </w:tc>
        <w:tc>
          <w:tcPr>
            <w:tcW w:w="42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50,902</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Pr>
          <w:p>
            <w:pPr>
              <w:spacing w:after="0"/>
              <w:rPr>
                <w:sz w:val="18"/>
                <w:szCs w:val="18"/>
                <w:color w:val="auto"/>
              </w:rPr>
            </w:pPr>
          </w:p>
        </w:tc>
      </w:tr>
      <w:tr>
        <w:trPr>
          <w:trHeight w:val="25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108,572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76" w:lineRule="exact"/>
        <w:rPr>
          <w:sz w:val="20"/>
          <w:szCs w:val="20"/>
          <w:color w:val="auto"/>
        </w:rPr>
      </w:pPr>
    </w:p>
    <w:p>
      <w:pPr>
        <w:ind w:left="520" w:right="8100" w:hanging="512"/>
        <w:spacing w:after="0" w:line="524" w:lineRule="auto"/>
        <w:tabs>
          <w:tab w:leader="none" w:pos="5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Other Funding Commitments</w:t>
      </w:r>
    </w:p>
    <w:p>
      <w:pPr>
        <w:spacing w:after="0" w:line="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ongoing preclinical and clinical studies. The Company enters into contracts in the normal course of business with contract research organizations in connection with the operation and preparation for clinical trials,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17" w:name="page18"/>
    <w:bookmarkEnd w:id="17"/>
    <w:p>
      <w:pPr>
        <w:ind w:right="200"/>
        <w:spacing w:after="0" w:line="282" w:lineRule="auto"/>
        <w:rPr>
          <w:sz w:val="20"/>
          <w:szCs w:val="20"/>
          <w:color w:val="auto"/>
        </w:rPr>
      </w:pPr>
      <w:r>
        <w:rPr>
          <w:rFonts w:ascii="Times New Roman" w:cs="Times New Roman" w:eastAsia="Times New Roman" w:hAnsi="Times New Roman"/>
          <w:sz w:val="18"/>
          <w:szCs w:val="18"/>
          <w:color w:val="auto"/>
        </w:rPr>
        <w:t>professional consultants for expert advice and other vendors for clinical supply manufacturing or other preclinical services. These contracts are generally cancellable, with notice, at the Company's option and do not have significant cancellation penalties.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16"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color w:val="auto"/>
        </w:rPr>
        <w:t>The Company, from time to time, may be party to litigation arising in the ordinary course of business. The Company was not subject to any material legal proceedings as of June 30, 2022,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381"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March 2021, Old Tango sold 22,686,025 additional shares of Series B stock at a price of $1.32 per share upon the achievement of specified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milestones in connection with the second tranche of the Series B stock purchase agreement. Proceeds from this issuance totaled $30.0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issuance costs associated with the March 2021 issuance of Series B preferred stock was less than $0.1 million.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Redeemable Convertible Preferred Stock</w:t>
      </w:r>
    </w:p>
    <w:p>
      <w:pPr>
        <w:spacing w:after="0" w:line="216"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Pursuant to the terms of the Merger Agreement, upon the Effective Time, each share of Old Tango’s Preferred Stock issued and outstanding immediately prior to the Effective Time was converted into a share of Old Tango’s common stock and subsequently converted into shares of New Tango common stock using an exchange ratio of 0.34. A retroactive adjustment has been applied to all periods presented to reflect the Business Combination and reverse recapitalization, therefore, resulting in no outstanding Preferred Stock as of June 30, 2022 and 2021. Refer to Note 3 for additional discussion.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June 30, 2022. The shares of preferred stock are currently undesignated.</w:t>
      </w:r>
    </w:p>
    <w:p>
      <w:pPr>
        <w:spacing w:after="0" w:line="186" w:lineRule="exact"/>
        <w:rPr>
          <w:sz w:val="20"/>
          <w:szCs w:val="20"/>
          <w:color w:val="auto"/>
        </w:rPr>
      </w:pPr>
    </w:p>
    <w:p>
      <w:pPr>
        <w:ind w:left="520" w:right="8600" w:hanging="512"/>
        <w:spacing w:after="0" w:line="516" w:lineRule="auto"/>
        <w:tabs>
          <w:tab w:leader="none" w:pos="5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Incentive Plan</w:t>
      </w:r>
    </w:p>
    <w:p>
      <w:pPr>
        <w:jc w:val="both"/>
        <w:ind w:right="440" w:firstLine="509"/>
        <w:spacing w:after="0" w:line="258" w:lineRule="auto"/>
        <w:rPr>
          <w:sz w:val="20"/>
          <w:szCs w:val="20"/>
          <w:color w:val="auto"/>
        </w:rPr>
      </w:pPr>
      <w:r>
        <w:rPr>
          <w:rFonts w:ascii="Times New Roman" w:cs="Times New Roman" w:eastAsia="Times New Roman" w:hAnsi="Times New Roman"/>
          <w:sz w:val="18"/>
          <w:szCs w:val="18"/>
          <w:color w:val="auto"/>
        </w:rPr>
        <w:t>In March 2017, Old Tango's stockholders approved the 2017 Stock Option and Grant Plan, pursuant to which Old Tango issued stock options, restricted stock awards (“RSAs”), unrestricted stock awards, restricted stock units, or any combination of the forgoing to eligible employees, officers, directors, consultants, or other key persons who provide services to the Company.</w:t>
      </w:r>
    </w:p>
    <w:p>
      <w:pPr>
        <w:spacing w:after="0" w:line="16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2021 Stock Option and Incentive Plan (the “2021 Plan”) became effective upon the closing of the Business Combination and replaced the 2017 Stock Option and Grant Plan. The 2021 Plan allows the Company to make equity and equity-based incentive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8" w:name="page19"/>
    <w:bookmarkEnd w:id="18"/>
    <w:p>
      <w:pPr>
        <w:ind w:right="520"/>
        <w:spacing w:after="0" w:line="282" w:lineRule="auto"/>
        <w:rPr>
          <w:sz w:val="20"/>
          <w:szCs w:val="20"/>
          <w:color w:val="auto"/>
        </w:rPr>
      </w:pPr>
      <w:r>
        <w:rPr>
          <w:rFonts w:ascii="Times New Roman" w:cs="Times New Roman" w:eastAsia="Times New Roman" w:hAnsi="Times New Roman"/>
          <w:sz w:val="18"/>
          <w:szCs w:val="18"/>
          <w:color w:val="auto"/>
        </w:rPr>
        <w:t>awards to officers, employees, non-employee directors and consultants. As of June 30, 2022, the Company had 7,049,248 shares available for future issuance under the 2021 Plan.</w:t>
      </w:r>
    </w:p>
    <w:p>
      <w:pPr>
        <w:spacing w:after="0" w:line="148"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in its accompanying condensed consolidated statements of operations:</w:t>
      </w:r>
    </w:p>
    <w:p>
      <w:pPr>
        <w:sectPr>
          <w:pgSz w:w="11900" w:h="16838" w:orient="portrait"/>
          <w:cols w:equalWidth="0" w:num="1">
            <w:col w:w="11200"/>
          </w:cols>
          <w:pgMar w:left="320" w:top="540" w:right="379" w:bottom="1440" w:gutter="0" w:footer="0" w:header="0"/>
        </w:sectPr>
      </w:pPr>
    </w:p>
    <w:p>
      <w:pPr>
        <w:spacing w:after="0" w:line="18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6" w:lineRule="exact"/>
        <w:rPr>
          <w:sz w:val="20"/>
          <w:szCs w:val="20"/>
          <w:color w:val="auto"/>
        </w:rPr>
      </w:pPr>
    </w:p>
    <w:tbl>
      <w:tblPr>
        <w:tblLayout w:type="fixed"/>
        <w:tblInd w:w="4840" w:type="dxa"/>
        <w:tblCellMar>
          <w:top w:w="0" w:type="dxa"/>
          <w:left w:w="0" w:type="dxa"/>
          <w:bottom w:w="0" w:type="dxa"/>
          <w:right w:w="0" w:type="dxa"/>
        </w:tblCellMar>
      </w:tblPr>
      <w:tr>
        <w:trPr>
          <w:trHeight w:val="169"/>
        </w:trPr>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86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w w:val="91"/>
              </w:rPr>
              <w:t>thousands)</w:t>
            </w: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16510</wp:posOffset>
            </wp:positionV>
            <wp:extent cx="1714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15875</wp:posOffset>
            </wp:positionV>
            <wp:extent cx="1714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5" w:lineRule="exact"/>
        <w:rPr>
          <w:sz w:val="20"/>
          <w:szCs w:val="20"/>
          <w:color w:val="auto"/>
        </w:rPr>
      </w:pPr>
    </w:p>
    <w:p>
      <w:pPr>
        <w:sectPr>
          <w:pgSz w:w="11900" w:h="16838" w:orient="portrait"/>
          <w:cols w:equalWidth="0" w:num="2">
            <w:col w:w="7640" w:space="660"/>
            <w:col w:w="2900"/>
          </w:cols>
          <w:pgMar w:left="320" w:top="540" w:right="379" w:bottom="1440" w:gutter="0" w:footer="0" w:header="0"/>
          <w:type w:val="continuous"/>
        </w:sectPr>
      </w:pPr>
    </w:p>
    <w:tbl>
      <w:tblPr>
        <w:tblLayout w:type="fixed"/>
        <w:tblInd w:w="580" w:type="dxa"/>
        <w:tblCellMar>
          <w:top w:w="0" w:type="dxa"/>
          <w:left w:w="0" w:type="dxa"/>
          <w:bottom w:w="0" w:type="dxa"/>
          <w:right w:w="0" w:type="dxa"/>
        </w:tblCellMar>
      </w:tblPr>
      <w:tr>
        <w:trPr>
          <w:trHeight w:val="20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780" w:type="dxa"/>
            <w:vAlign w:val="bottom"/>
            <w:tcBorders>
              <w:top w:val="single" w:sz="8" w:color="auto"/>
            </w:tcBorders>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740" w:type="dxa"/>
            <w:vAlign w:val="bottom"/>
            <w:tcBorders>
              <w:top w:val="single" w:sz="8" w:color="auto"/>
            </w:tcBorders>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8"/>
                <w:szCs w:val="18"/>
                <w:color w:val="auto"/>
              </w:rPr>
            </w:pPr>
          </w:p>
        </w:tc>
      </w:tr>
      <w:tr>
        <w:trPr>
          <w:trHeight w:val="250"/>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the Business Combination, upon the Closing Date, each option to purchase Old Tango’s common stock became an option to purchase shares of common stock of the surviving entity and was subsequently adjusted using an exchange ratio of 0.34. A retroactive adjustment has been applied to all periods presented to reflect the Business Combination and reverse recapitalization as discussed further in Note 3.</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six months ended June 30, 2022:</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left="24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12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90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4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2021</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9,372,993</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4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5.59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51,415,394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4,132,175</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8.88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(357,212 )</w:t>
            </w: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2.01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(713,745 )</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June 30, 2022</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12,434,211</w:t>
            </w: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74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6.56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9,642,834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exercisable as of June 30,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3,096,025</w:t>
            </w:r>
          </w:p>
        </w:tc>
        <w:tc>
          <w:tcPr>
            <w:tcW w:w="260" w:type="dxa"/>
            <w:vAlign w:val="bottom"/>
          </w:tcPr>
          <w:p>
            <w:pPr>
              <w:spacing w:after="0"/>
              <w:rPr>
                <w:sz w:val="20"/>
                <w:szCs w:val="20"/>
                <w:color w:val="auto"/>
              </w:rPr>
            </w:pPr>
          </w:p>
        </w:tc>
        <w:tc>
          <w:tcPr>
            <w:tcW w:w="900" w:type="dxa"/>
            <w:vAlign w:val="bottom"/>
          </w:tcPr>
          <w:p>
            <w:pPr>
              <w:jc w:val="right"/>
              <w:ind w:right="74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total unrecognized compensation expense related to stock options was $42.5 million, which the Company expects to recognize over a remaining weighted-average period of 2.9 years.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upon the closing of the Business Combination. During the six months ended June 30, 2022, the Company issued 42,553 shares of common stock under the 2021 ESPP.</w:t>
      </w:r>
    </w:p>
    <w:p>
      <w:pPr>
        <w:spacing w:after="0" w:line="16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1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64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580" w:type="dxa"/>
            <w:vAlign w:val="bottom"/>
            <w:tcBorders>
              <w:top w:val="single" w:sz="8" w:color="auto"/>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540" w:type="dxa"/>
            <w:vAlign w:val="bottom"/>
            <w:tcBorders>
              <w:top w:val="single" w:sz="8" w:color="auto"/>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(24,858 )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(4,493 )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(50,066 )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(16,599 )</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Weighted-average common stock outstanding – basic</w:t>
            </w: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87,839,804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48,524,511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87,775,440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45,088,434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have been excluded from the computation of diluted net loss per share as the effect would be to reduce the net loss per share. Therefore, the</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type w:val="continuous"/>
        </w:sectPr>
      </w:pPr>
    </w:p>
    <w:bookmarkStart w:id="19" w:name="page20"/>
    <w:bookmarkEnd w:id="19"/>
    <w:p>
      <w:pPr>
        <w:ind w:right="40"/>
        <w:spacing w:after="0" w:line="250" w:lineRule="auto"/>
        <w:rPr>
          <w:sz w:val="20"/>
          <w:szCs w:val="20"/>
          <w:color w:val="auto"/>
        </w:rPr>
      </w:pPr>
      <w:r>
        <w:rPr>
          <w:rFonts w:ascii="Times New Roman" w:cs="Times New Roman" w:eastAsia="Times New Roman" w:hAnsi="Times New Roman"/>
          <w:sz w:val="18"/>
          <w:szCs w:val="18"/>
          <w:color w:val="auto"/>
        </w:rPr>
        <w:t>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19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14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12,434,211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6,494,737</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9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80" w:type="dxa"/>
            <w:vAlign w:val="bottom"/>
          </w:tcPr>
          <w:p>
            <w:pPr>
              <w:spacing w:after="0"/>
              <w:rPr>
                <w:sz w:val="18"/>
                <w:szCs w:val="18"/>
                <w:color w:val="auto"/>
              </w:rPr>
            </w:pPr>
          </w:p>
        </w:tc>
      </w:tr>
      <w:tr>
        <w:trPr>
          <w:trHeight w:val="209"/>
        </w:trPr>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12,434,211</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6,500,261</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-8255</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68"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1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Company’s effective income tax rate was 0.0% and -0.3% for the three months ended June 30, 2022 and 2021, respectively, and 0.0% and -0.3% for the six months ended June 30, 2022 and 2021, respectively. The income tax provision was $3 thousand and the income tax benefit was $21 thousand for the three months ended June 30, 2022 and 2021, respectively, and the income tax provision was $3 thousand and $53 thousand for the six months ended June 30, 2022 and 2021, respectively. The change in the provision for income taxes for the three and six months ended June 30, 2022 compared to the three and six months ended June 30, 2021 was primarily due to taxable deferred revenue in 2021 partially offset by the utilization of federal and state net operating losses and federal and state tax credits. For 2022, the Company assessed the new requirement to capitalize and amortize research and experimentation expenditures for U.S. tax purposes, which became effective as of January 1, 2022. The Company is forecasting a taxable loss position in 2022 for which no tax benefit is recorded due to the valuation allowance maintained against the Company’s deferred tax assets.</w:t>
      </w:r>
    </w:p>
    <w:p>
      <w:pPr>
        <w:spacing w:after="0" w:line="20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and six months ended June 30, 2022 and 2021 differed from the federal statutory rate primarily due to the valuation allowance maintained against the Company’s deferred tax assets.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firstLine="495"/>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2021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73"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Unless otherwise indicated, references in this Management’s Discussion and Analysis of Financial Condition and Results of Operations section to “Tango,” “we,” “us,” “our” and other similar terms refer to our wholly-owned subsidiary Tango Therapeutics Sub, Inc. and its subsidiary prior to the closing of the business combination with BCTG Acquisition Corp. and to Tango Therapeutics, Inc. and its consolidated subsidiaries after giving effect to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8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lead program, TNG908, a protein arginine methyl transferase 5, or PRMT5, inhibitor is synthetic lethal with MTAP deletion,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In the first quarter of 2022, the U.S. Food and Drug Administration (FDA) cleared the Investigational New Drug (IND) application for the Phase 1/2 clinical trial and granted Fast Track designation to TNG908. Additionally, in the third quarter of 2022, the FDA granted Orphan Drug Designation to TNG908 for the treatment of malignant peripheral nerve sheath tumors (MPNST). Patients are actively being enrolled in the Phase 1/2 clinical trial which will evaluate safety and efficacy in multiple indications, with specific cohorts for non-small cell lung cancer, MPNST, mesothelioma and cholangiocarcinoma, with glioblastoma planned for the dose expansion phase. The clinical trial also includes a histology-agnostic cohort for all other MTAP-deleted solid tumors. We expect to have initial safety and efficacy data in the first half of 2023.</w:t>
      </w:r>
    </w:p>
    <w:p>
      <w:pPr>
        <w:spacing w:after="0" w:line="201"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Given the large number of patients with MTAP-deleted cancers, we are investing in our PRMT5 franchise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We plan to file an IND for TNG462 in the first half of 2023. The clinical development path for TNG462 is expected to be similar to TNG908, evaluating safety and efficacy in multiple tumor types in a Phase 1/2 clinical trial. Glioblastoma will be excluded from the clinical trial as TNG462 does not cross the blood-brain barrier in preclinical non-human primate models.</w:t>
      </w:r>
    </w:p>
    <w:p>
      <w:pPr>
        <w:spacing w:after="0" w:line="195"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Our development candidate, TNG260, an inhibitor of an undisclosed synthetic lethal target (Target 3), reverses the immune evasion effect of serine-threonine kinase 11 (STK11) loss-of-function mutations. In syngeneic models with an STK11 mutation and an intact immune system, the combination of TNG260 with an anti</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PD1 antibody resulted in sustained complete tumor regressions and the induction of immune memory against re-implantation of tumors. We expect to file an IND for TNG260 in the first half 2023.</w:t>
      </w:r>
    </w:p>
    <w:p>
      <w:pPr>
        <w:spacing w:after="0" w:line="193" w:lineRule="exact"/>
        <w:rPr>
          <w:sz w:val="20"/>
          <w:szCs w:val="20"/>
          <w:color w:val="auto"/>
        </w:rPr>
      </w:pPr>
    </w:p>
    <w:p>
      <w:pPr>
        <w:ind w:right="120" w:firstLine="509"/>
        <w:spacing w:after="0" w:line="251" w:lineRule="auto"/>
        <w:rPr>
          <w:sz w:val="20"/>
          <w:szCs w:val="20"/>
          <w:color w:val="auto"/>
        </w:rPr>
      </w:pPr>
      <w:r>
        <w:rPr>
          <w:rFonts w:ascii="Times New Roman" w:cs="Times New Roman" w:eastAsia="Times New Roman" w:hAnsi="Times New Roman"/>
          <w:sz w:val="18"/>
          <w:szCs w:val="18"/>
          <w:color w:val="auto"/>
        </w:rPr>
        <w:t xml:space="preserve">We are also developing a ubiquitin-specific protease 1, or USP1, inhibitor that is synthetic lethal with BRCA1 and BRCA2-mutant tumors.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data for USP1 demonstrated potent anti-tumor activity. We expect this molecule to have both single agent activity in PARPi-naïve and PARPi-resistant BRCA1/2 mutant cancers and to synergize with PARP inhibitors. We anticipate declaring a development candidate in the second half of 2022 and filing an IND for this program in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On April 13, 2021, the Company, BCTG Merger Sub Inc., a Delaware corporation, and Tango Therapeutics, Inc. (now known as Tango Therapeutics Sub, Inc., or “Old Tango”) signed a definitive merger agreement, or the Merger Agreement, memorializing the terms of BCTG’s acquisition of 100% of Old Tango’s issued and outstanding equity securities in exchange for $550.0 million worth of consideration in the form of BCTG common stock, or the Business Combination. The Business Combination was approved on August 9, 2021 by shareholders of BCTG, resulting in BCTG acquiring 100% of our issued and outstanding equity securities on August 10, 2021. Upon the closing of the Business Combination, BCTG Merger Sub Inc. merged with and into Tango, with Tango as the surviving company in the Merger, and BCTG changed its name to “Tango Therapeutics, Inc.”, or New Tango. For additional information on the Business Combination, see Note 3 to the unaudited condensed consolidated financial statements included elsewhere in this Quarterly Report on Form 10-Q.</w:t>
      </w:r>
    </w:p>
    <w:p>
      <w:pPr>
        <w:spacing w:after="0" w:line="186"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We received gross proceeds of $167.1 million upon the closing of the Business Combination. Simultaneous with the closing of the Business Combination, Tango entered into agreements with certain investors, the PIPE Investors, pursuant to which these PIPE Investors purchased 18,610,000 shares of our common stock at $10.00 per share, for aggregate gross proceeds of $186.1 million, upon the closing of the PIPE financing. Total transaction costs and redemptions totaled $26.9 million, resulting in total net proceeds of $326.3 million.</w:t>
      </w:r>
    </w:p>
    <w:p>
      <w:pPr>
        <w:spacing w:after="0" w:line="177"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conversion ratio of 0.34. At the effective time of the Business Combination, each option to purchase Old Tango common stock became an option to purchase shares of New Tango common stock, subject to adjustment in accordance with the exchange ratio.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Since the Company's (Old Tango's)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Sciences, Inc., or Gilead. Since inception, we have raised an aggregate of $166.9 million of gross proceeds from the sale of our preferred shares, $342.1 million in gross proceeds through the closing of the Business Combination and PIPE Financing transactions (as described above) and another $216.1 million through our collaboration with Gilead.</w:t>
      </w:r>
    </w:p>
    <w:p>
      <w:pPr>
        <w:spacing w:after="0" w:line="18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June 30, 2022 of $416.4 million will enable us to fund our operating expenses and capital expenditure requirements at least into the second half of 2024. Since inception, we have incurred significant operating losses. For the six months ended June 30, 2022 and 2021, our net losses were $50.1 million and $16.6 million, respectively. We had an accumulated deficit of $211.4 million as of June 30, 2022. We expect to continue to incur significant and increasing expenses and operating losses for the foreseeable future as we advance our product candidates through preclinical and clinical development and seek regulatory approvals, manufacture drug product and drug supply,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8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2" w:name="page23"/>
    <w:bookmarkEnd w:id="22"/>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14"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6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 August 2020, the 2018 Gilead Agreement was expanded into a broader collaboration via an amended and restated research collaboration and license agreement, or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7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December 2020 and September 2021, Gilead elected to extend two programs for research extension fees totaling $24.0 million, which was added to our estimate of the transaction price to total $199.0 million. A total of $6.0 million of fees related to the research extensions have not been received as of June 30, 2022 as these were determined to be conditional upon the satisfaction of additional research obligations, and thus a contract asset, however, we determined that achievement of the entire research extension fees was probable and that a significant reversal in the amount of cumulative revenue recognized would not occur.</w:t>
      </w:r>
    </w:p>
    <w:p>
      <w:pPr>
        <w:spacing w:after="0" w:line="17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April 2021, Gilead licensed a program for an $11.0 million fee. The $11.0 million license fee was received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6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$61.8 million has been recognized as collaboration revenue related to the upfront and research extension payments from the Gilead agreements.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2022 and 2021, we recognized $5.8 million and $7.2 million, respectively, and during the six months ended June 30, 2022 and 2021 we recognized $11.5 million and $13.5 million, respectively, of collaboration revenue associated with the Gilead agreements based on performance completed during each period.</w:t>
      </w:r>
    </w:p>
    <w:p>
      <w:pPr>
        <w:spacing w:after="0" w:line="169"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Refer to Note 4 to our unaudited condensed consolidated financial statements and related notes appearing elsewhere in this Quarterly Report on Form 10-Q and our audited consolidated financial statements and related notes for the year ended December 31, 2021 included in our Annual Report on Form 10-K for additional information regarding our revenue recognition accounting policy and our collaboration agreement with Gilead.</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68" w:lineRule="exact"/>
        <w:rPr>
          <w:sz w:val="20"/>
          <w:szCs w:val="20"/>
          <w:color w:val="auto"/>
        </w:rPr>
      </w:pPr>
    </w:p>
    <w:p>
      <w:pPr>
        <w:ind w:left="1020" w:right="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4"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utilities and insurance.</w:t>
      </w:r>
    </w:p>
    <w:p>
      <w:pPr>
        <w:spacing w:after="0" w:line="212"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69" w:lineRule="exact"/>
        <w:rPr>
          <w:sz w:val="20"/>
          <w:szCs w:val="20"/>
          <w:color w:val="auto"/>
        </w:rPr>
      </w:pPr>
    </w:p>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3"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59" w:lineRule="exact"/>
        <w:rPr>
          <w:sz w:val="20"/>
          <w:szCs w:val="20"/>
          <w:color w:val="auto"/>
        </w:rPr>
      </w:pPr>
    </w:p>
    <w:tbl>
      <w:tblPr>
        <w:tblLayout w:type="fixed"/>
        <w:tblInd w:w="76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210"/>
        </w:trPr>
        <w:tc>
          <w:tcPr>
            <w:tcW w:w="4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6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USP1 direct program expenses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Pr>
          <w:p>
            <w:pPr>
              <w:spacing w:after="0"/>
              <w:rPr>
                <w:sz w:val="19"/>
                <w:szCs w:val="19"/>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100" w:type="dxa"/>
            <w:vAlign w:val="bottom"/>
            <w:shd w:val="clear" w:color="auto" w:fill="CFF0FC"/>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tcPr>
          <w:p>
            <w:pPr>
              <w:spacing w:after="0"/>
              <w:rPr>
                <w:sz w:val="18"/>
                <w:szCs w:val="18"/>
                <w:color w:val="auto"/>
              </w:rPr>
            </w:pPr>
          </w:p>
        </w:tc>
      </w:tr>
      <w:tr>
        <w:trPr>
          <w:trHeight w:val="250"/>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596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-24765</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-8255</wp:posOffset>
            </wp:positionV>
            <wp:extent cx="59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4" w:name="page25"/>
    <w:bookmarkEnd w:id="24"/>
    <w:p>
      <w:pPr>
        <w:ind w:right="40"/>
        <w:spacing w:after="0" w:line="250" w:lineRule="auto"/>
        <w:rPr>
          <w:sz w:val="20"/>
          <w:szCs w:val="20"/>
          <w:color w:val="auto"/>
        </w:rPr>
      </w:pPr>
      <w:r>
        <w:rPr>
          <w:rFonts w:ascii="Times New Roman" w:cs="Times New Roman" w:eastAsia="Times New Roman" w:hAnsi="Times New Roman"/>
          <w:sz w:val="18"/>
          <w:szCs w:val="18"/>
          <w:color w:val="auto"/>
        </w:rPr>
        <w:t>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69" w:lineRule="exact"/>
        <w:rPr>
          <w:sz w:val="20"/>
          <w:szCs w:val="20"/>
          <w:color w:val="auto"/>
        </w:rPr>
      </w:pPr>
    </w:p>
    <w:p>
      <w:pPr>
        <w:ind w:left="1140" w:right="580" w:hanging="383"/>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12"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clinical trials, we could be required to expend significant additional financial resources and time on the completion of clinical development of that product candidate.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9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consists of miscellaneous expense unrelated to our core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(provision for) benefit from income tax consists of an estimate for U.S. federal and state income taxes based on enacted rates, as adjusted for allowable credits, deductions, uncertain tax positions, changes in deferred tax assets and liabilities and changes in tax law. We recorded an insignificant (provision for) benefit from income taxes for both the three and six months ended June 30, 2022 and for the three and six months ended June 30, 2021.</w:t>
      </w:r>
    </w:p>
    <w:p>
      <w:pPr>
        <w:spacing w:after="0" w:line="19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536" w:right="5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5"/>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32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(1,382 )</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32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(11,000 )</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(25,202 )</w:t>
            </w:r>
          </w:p>
        </w:tc>
        <w:tc>
          <w:tcPr>
            <w:tcW w:w="2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(4,556 )</w:t>
            </w: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(20,646 )</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(62 )</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-1704975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-1704975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-1704975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-1139190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-1139190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-1139190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-582295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-582295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Collaboration revenue of $5.8 million and $7.2 million for the three months ended June 30, 2022 and 2021, respectively, was derived from the Gilead collaboration. The decrease of $1.4 million was due to lower research costs incurred under the collaboration during the three months ended June 30, 2022 resulting in lower collaboration revenue recognized.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14" w:lineRule="exact"/>
        <w:rPr>
          <w:sz w:val="20"/>
          <w:szCs w:val="20"/>
          <w:color w:val="auto"/>
        </w:rPr>
      </w:pPr>
    </w:p>
    <w:p>
      <w:pPr>
        <w:ind w:right="700" w:firstLine="509"/>
        <w:spacing w:after="0" w:line="250" w:lineRule="auto"/>
        <w:rPr>
          <w:sz w:val="20"/>
          <w:szCs w:val="20"/>
          <w:color w:val="auto"/>
        </w:rPr>
      </w:pPr>
      <w:r>
        <w:rPr>
          <w:rFonts w:ascii="Times New Roman" w:cs="Times New Roman" w:eastAsia="Times New Roman" w:hAnsi="Times New Roman"/>
          <w:sz w:val="18"/>
          <w:szCs w:val="18"/>
          <w:color w:val="auto"/>
        </w:rPr>
        <w:t>License revenue of $0 and $11.0 million for the three months ended June 30, 2022 and 2021, respectively, was derived from the Gilead collaboration. The decrease of $11.0 million is primarily due to Gilead licensing a program for $11.0 million during the second quarter of 2021 as compared to no programs being licensed during the three months ended June 30, 2022.</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 was $23.7 million for the three months ended June 30, 2022 compared to $19.1 million for the three months ended June 30, 2021. The increase of $4.7 million was primarily due to increased spend relating to the advancement of our TNG462 and TNG260 programs. Additionally, personnel-related costs increased $2.5 million primarily due to an increase of share-based compensation expense and additional headcount to support our research and development activities.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was $7.2 million for the three months ended June 30, 2022 compared to $3.6 million for the three months ended June 30, 2021. The increase of $3.6 million was primarily due to a $2.3 million increase in personnel-related costs due to an increase in share-based compensation expense and additional headcount.</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$0.3 million for the three months ended June 30, 2022 compared to interest income of $0.1 million for the three months ended June 30, 2021. Interest income and expense were not significant for each of the three months ended June 30, 2022 and 2021.</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less than $0.1 million for the three months ended June 30, 2022 compared to other expense, net of less than $0.1 million for the three months ended June 30, 2021. Other income and other expense were not significant for both the three months ended June 30, 2022 and 2021.</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22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Provision for income taxes was less than $0.1 million for the three months ended June 30, 2022 compared to the benefit from income taxes of less than $0.1 million for the three months ended June 30, 2021. The tax provision in the period ended June 30, 2022 is primarily attributable to taxable deferred revenue partially offset by the utilization of federal and state net operating losses and federal and state tax credits.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2021:</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32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(2,010 )</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34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(11,000 )</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(50,581 )</w:t>
            </w:r>
          </w:p>
        </w:tc>
        <w:tc>
          <w:tcPr>
            <w:tcW w:w="2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(16,637 )</w:t>
            </w: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(33,944 )</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(117 )</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(16,546</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(53 )</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(50,066</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-1704975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-1704975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-1704975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-1139190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-1139190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-1139190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-582295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-582295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Collaboration revenue of $11.5 million and $13.5 million for the six months ended June 30, 2022 and 2021, respectively, was derived from the Gilead collaboration. The decrease of $2.0 million was due to lower research costs incurred under the collaboration during the six months ended June 30, 2022 resulting in lower collaboration revenue recognized.</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License revenue of $0 and $11.0 million for the six months ended June 30, 2022 and 2021, respectively, was derived from the Gilead collaboration. The decrease of $11.0 million is primarily due to Gilead licensing a program for $11.0 million during the second quarter of 2021 as compared to no programs being licensed during the six months ended June 30, 2022.</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 was $48.1 million for the six months ended June 30, 2022 compared to $34.1 million for the six months ended June 30, 2021. The increase of $14.0 million was primarily due to increased spend relating to the advancement of our TNG462 and TNG260 programs. Additionally, personnel-related costs increased $4.8 million primarily due to an increase of share-based compensation expense and additional headcount to support our research and development activities.</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8" w:right="4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was $14.0 million for the six months ended June 30, 2022 compared to $7.1 million for the six months ended June 30, 2021. The increase of $6.9 million was primarily due to a $4.3 million increase in personnel-related costs due to an increase in share-based compensation expense and additional headcount.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Interest income was $0.5 million for the six months ended June 30, 2022 compared to interest income of $0.2 million for the six months ended June 30, 2021. Interest income was not significant for each of the six months ended June 30, 2022 and 2021.</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less than $0.1 million for the six months ended June 30, 2022 compared to other expense, net of $0.1 million for the six months ended June 30, 2021. Other income and other expense were not significant for both the six months ended June 30, 2022 and 2021.</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Provision for income taxes was less than $0.1 million for both the six months ended June 30, 2022 and 2021. The tax provision recorded in each period is primarily attributable to taxable deferred revenue partially offset by the utilization of federal and state net operating losses and federal and state tax credits.</w:t>
      </w:r>
    </w:p>
    <w:p>
      <w:pPr>
        <w:spacing w:after="0" w:line="186" w:lineRule="exact"/>
        <w:rPr>
          <w:sz w:val="20"/>
          <w:szCs w:val="20"/>
          <w:color w:val="auto"/>
        </w:rPr>
      </w:pPr>
    </w:p>
    <w:p>
      <w:pPr>
        <w:jc w:val="center"/>
        <w:ind w:right="86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approximately $166.9 million of gross proceeds from the private placement of preferred shares, $342.1 million of gross proceeds from the Business Combination and PIPE Financing transactions, and $216.1 million through the collaboration with Gilead. As of June 30, 2022, we had cash and cash equivalents and marketable securities of $416.4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June 30, 2022 of $416.4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six month periods presented:</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10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(61,203 )</w:t>
            </w:r>
          </w:p>
        </w:tc>
        <w:tc>
          <w:tcPr>
            <w:tcW w:w="420" w:type="dxa"/>
            <w:vAlign w:val="bottom"/>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(21,131 )</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(40,072 )</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(28,690 )</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(36,452 )</w:t>
            </w:r>
          </w:p>
        </w:tc>
        <w:tc>
          <w:tcPr>
            <w:tcW w:w="4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(58,973 )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-170815</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8" w:right="419" w:bottom="1440" w:gutter="0" w:footer="0" w:header="0"/>
        </w:sectPr>
      </w:pPr>
    </w:p>
    <w:bookmarkStart w:id="29" w:name="page30"/>
    <w:bookmarkEnd w:id="29"/>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14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was $61.2 million for the six months ended June 30, 2022 compared to net cash used in operating activities of $21.1 million for the six months ended June 30, 2021. The increase in net cash used in operating activities for the six months ended June 30, 2022 was primarily due to an increase to the net loss as a direct result of higher operating expenses related to the advancement of our programs and personnel-related costs. The increase was partially offset by higher non-cash expenses, including stock compensation.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Net cash provided by investing activities was $23.8 million for the six months ended June 30, 2022 compared to net cash provided by investing activities of $14.0 million for the six months ended June 30, 2021. The increase in net cash provided by investing activities was primarily due to a decrease in purchases of marketable securities partially offset by decreased sales and maturities of marketable securities as compared to the six months ended June 30, 2021.</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$1.0 million for the six months ended June 30, 2022 compared to net cash provided by financing activities of $29.7 million for the six months ended June 30, 2021. The decrease in net cash provided by financing activities was a result of $30.0 million in net proceeds related to the issuance of shares of redeemable convertible Series B preferred stock in March 2021. The cash provided by financing activities for the six months ended June 30, 2022 was the result of cash provided from the exercises of stock options and ESPP purchases.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June 30, 2022 and the effects that such obligations are expected to have on our liquidity and cash flows in future periods:</w:t>
      </w:r>
    </w:p>
    <w:p>
      <w:pPr>
        <w:spacing w:after="0" w:line="169"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241"/>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-153670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-153670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-153670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-153670</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commitment amounts in the table above reflect the minimum payments due under our operating lease for office and laboratory space at our 100 Binney Street, Cambridge, Massachusetts location. These commitments are also recognized as operating lease liabilities in our balance sheet at June 30, 2022. In November 2021, we entered into a lease termination agreement for the leased office and laboratory space at 100 Binney Street in Cambridge, Massachusetts. The lease termination agreement, as amended in July of 2022, is a modification of the lease agreement for these premises that provides, among other things, the acceleration of the expiration of the original term of the lease from June 30, 2026 to an earlier lease termination date, which earlier date shall be no earlier than August 31, 2022.</w:t>
      </w:r>
    </w:p>
    <w:p>
      <w:pPr>
        <w:spacing w:after="0" w:line="18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table does not include the minimum payments due under our new operating lease for office and laboratory space at 201 Brookline Avenue, Boston, Massachusetts as we have not occupied the premises and the lease payments in connection with this lease are yet to commence as of June 30, 2022. Commitments pertaining to the 201 Brookline Avenue lease will be added to the table above, and also recognized as operating lease liabilities on our balance sheet upon achievement of the new lease commencement date. The fixed annual rent payable under the lease is $5.1 million, increasing by 3% annually from the rent commencement date.</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14"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June 30, 2022.</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June 30, 2022 and December 31, 2021, we were unable to estimate the timing or likelihood of achieving these milestones or generating future product sales. Refer to Note 9 of our audited consolidated financial statements and related notes for the year ended December 31, 2021 included in our Annual Report on Form 10-K for a description of our license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1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201"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our Annual Report on Form 10-K for the year ended December 31, 2021, we believe that the following accounting policies are those most critical to the judgments and estimates used in the preparation of our financial statements.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1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4" w:lineRule="exact"/>
        <w:rPr>
          <w:sz w:val="20"/>
          <w:szCs w:val="20"/>
          <w:color w:val="auto"/>
        </w:rPr>
      </w:pPr>
    </w:p>
    <w:p>
      <w:pPr>
        <w:ind w:right="140" w:firstLine="509"/>
        <w:spacing w:after="0" w:line="241"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2"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31" w:name="page32"/>
    <w:bookmarkEnd w:id="31"/>
    <w:p>
      <w:pPr>
        <w:ind w:firstLine="509"/>
        <w:spacing w:after="0" w:line="242"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202" w:lineRule="exact"/>
        <w:rPr>
          <w:sz w:val="20"/>
          <w:szCs w:val="20"/>
          <w:color w:val="auto"/>
        </w:rPr>
      </w:pPr>
    </w:p>
    <w:p>
      <w:pPr>
        <w:ind w:right="320" w:firstLine="509"/>
        <w:spacing w:after="0" w:line="244"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9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77"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69"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200"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2" w:name="page33"/>
    <w:bookmarkEnd w:id="32"/>
    <w:p>
      <w:pPr>
        <w:spacing w:after="0" w:line="246" w:lineRule="auto"/>
        <w:rPr>
          <w:sz w:val="20"/>
          <w:szCs w:val="20"/>
          <w:color w:val="auto"/>
        </w:rPr>
      </w:pPr>
      <w:r>
        <w:rPr>
          <w:rFonts w:ascii="Times New Roman" w:cs="Times New Roman" w:eastAsia="Times New Roman" w:hAnsi="Times New Roman"/>
          <w:sz w:val="18"/>
          <w:szCs w:val="18"/>
          <w:color w:val="auto"/>
        </w:rPr>
        <w:t>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16"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We estimate the fair value of our stock option awards using the Black 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The fair value of each share of common stock underlying stock-based awards is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185"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p>
    <w:p>
      <w:pPr>
        <w:spacing w:after="0" w:line="169"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 xml:space="preserve">Prior to the consummation of the Business Combination, as there was not a public market for our common stock prior to becoming publicly traded in August 2021,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Our common stock valuations were prepared using either an option pricing method, or 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95"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9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3" w:name="page34"/>
    <w:bookmarkEnd w:id="33"/>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16"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87" w:lineRule="exact"/>
        <w:rPr>
          <w:sz w:val="20"/>
          <w:szCs w:val="20"/>
          <w:color w:val="auto"/>
        </w:rPr>
      </w:pPr>
    </w:p>
    <w:p>
      <w:pPr>
        <w:ind w:left="1020" w:right="4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 in our periodic reports and registration statements;</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25"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95"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1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had cash, cash equivalents and marketable securities of $416.4 million and $485.3 million as of June 30, 2022 and December 31, 2021,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1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Our operations may be subject to inflation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June 30,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340" w:firstLine="8"/>
        <w:spacing w:after="0" w:line="245"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occurred during the quarter ended June 30, 2022 that materially affected, or were reasonably likely to materially affect, the Company’s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35" w:name="page36"/>
    <w:bookmarkEnd w:id="3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6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0"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576"/>
        <w:spacing w:after="0" w:line="242"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other information in this Quarterly Report on Form 10-Q,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precision oncology company with a limited operating history.</w:t>
      </w:r>
    </w:p>
    <w:p>
      <w:pPr>
        <w:spacing w:after="0" w:line="108"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first investigational new drug, or IND, application, for TNG908, was cleared by the FDA in the first quarter of 2022. Other than TNG908, all of our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our stockholders’ equity and working capital.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08"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For the six months ended June 30, 2022, our net loss was $50.1 million. As of June 30, 2022, we had an accumulated deficit of $211.4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1" w:lineRule="exact"/>
        <w:rPr>
          <w:sz w:val="20"/>
          <w:szCs w:val="20"/>
          <w:color w:val="auto"/>
        </w:rPr>
      </w:pPr>
    </w:p>
    <w:p>
      <w:pPr>
        <w:ind w:right="120" w:firstLine="576"/>
        <w:spacing w:after="0" w:line="250"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77" w:lineRule="exact"/>
        <w:rPr>
          <w:sz w:val="20"/>
          <w:szCs w:val="20"/>
          <w:color w:val="auto"/>
        </w:rPr>
      </w:pPr>
    </w:p>
    <w:p>
      <w:pPr>
        <w:ind w:right="20" w:firstLine="230"/>
        <w:spacing w:after="0" w:line="266" w:lineRule="auto"/>
        <w:rPr>
          <w:sz w:val="20"/>
          <w:szCs w:val="20"/>
          <w:color w:val="auto"/>
        </w:rPr>
      </w:pPr>
      <w:r>
        <w:rPr>
          <w:rFonts w:ascii="Times New Roman" w:cs="Times New Roman" w:eastAsia="Times New Roman" w:hAnsi="Times New Roman"/>
          <w:sz w:val="18"/>
          <w:szCs w:val="18"/>
          <w:color w:val="auto"/>
        </w:rPr>
        <w:t>the timing and success or failure of ongoing and future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7" w:name="page38"/>
    <w:bookmarkEnd w:id="37"/>
    <w:p>
      <w:pPr>
        <w:ind w:right="100" w:firstLine="230"/>
        <w:spacing w:after="0" w:line="254" w:lineRule="auto"/>
        <w:rPr>
          <w:sz w:val="20"/>
          <w:szCs w:val="20"/>
          <w:color w:val="auto"/>
        </w:rPr>
      </w:pPr>
      <w:r>
        <w:rPr>
          <w:rFonts w:ascii="Times New Roman" w:cs="Times New Roman" w:eastAsia="Times New Roman" w:hAnsi="Times New Roman"/>
          <w:sz w:val="18"/>
          <w:szCs w:val="18"/>
          <w:color w:val="auto"/>
        </w:rPr>
        <w:t>our ability to obtain INDs for our pipeline product candidates, successfully open clinical trial sites and recruit and retain subjects for clinical trials, and any delays caused by difficulties in such efforts;</w:t>
      </w:r>
    </w:p>
    <w:p>
      <w:pPr>
        <w:spacing w:after="0" w:line="234" w:lineRule="auto"/>
        <w:rPr>
          <w:sz w:val="20"/>
          <w:szCs w:val="20"/>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ind w:right="600" w:firstLine="230"/>
        <w:spacing w:after="0" w:line="242" w:lineRule="auto"/>
        <w:rPr>
          <w:sz w:val="20"/>
          <w:szCs w:val="20"/>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and any future product candidates and research-stage programs, which may change from time to time;</w:t>
      </w:r>
    </w:p>
    <w:p>
      <w:pPr>
        <w:spacing w:after="0" w:line="1" w:lineRule="exact"/>
        <w:rPr>
          <w:sz w:val="20"/>
          <w:szCs w:val="20"/>
          <w:color w:val="auto"/>
        </w:rPr>
      </w:pPr>
    </w:p>
    <w:p>
      <w:pPr>
        <w:ind w:right="100" w:firstLine="230"/>
        <w:spacing w:after="0" w:line="241" w:lineRule="auto"/>
        <w:rPr>
          <w:sz w:val="20"/>
          <w:szCs w:val="20"/>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our ability to attract, hire and retain qualified personnel;</w:t>
      </w:r>
    </w:p>
    <w:p>
      <w:pPr>
        <w:spacing w:after="0" w:line="234" w:lineRule="auto"/>
        <w:rPr>
          <w:sz w:val="20"/>
          <w:szCs w:val="20"/>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34" w:lineRule="auto"/>
        <w:rPr>
          <w:sz w:val="20"/>
          <w:szCs w:val="20"/>
          <w:color w:val="auto"/>
        </w:rPr>
      </w:pPr>
      <w:r>
        <w:rPr>
          <w:rFonts w:ascii="Times New Roman" w:cs="Times New Roman" w:eastAsia="Times New Roman" w:hAnsi="Times New Roman"/>
          <w:sz w:val="18"/>
          <w:szCs w:val="18"/>
          <w:color w:val="auto"/>
        </w:rPr>
        <w:t>the level of demand for our product candidates should they receive regulatory approval, which may vary significantly;</w:t>
      </w:r>
    </w:p>
    <w:p>
      <w:pPr>
        <w:ind w:right="800" w:firstLine="230"/>
        <w:spacing w:after="0" w:line="242" w:lineRule="auto"/>
        <w:rPr>
          <w:sz w:val="20"/>
          <w:szCs w:val="20"/>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 w:lineRule="exact"/>
        <w:rPr>
          <w:sz w:val="20"/>
          <w:szCs w:val="20"/>
          <w:color w:val="auto"/>
        </w:rPr>
      </w:pPr>
    </w:p>
    <w:p>
      <w:pPr>
        <w:ind w:left="240" w:right="2240"/>
        <w:spacing w:after="0" w:line="243" w:lineRule="auto"/>
        <w:rPr>
          <w:sz w:val="20"/>
          <w:szCs w:val="20"/>
          <w:color w:val="auto"/>
        </w:rPr>
      </w:pPr>
      <w:r>
        <w:rPr>
          <w:rFonts w:ascii="Times New Roman" w:cs="Times New Roman" w:eastAsia="Times New Roman" w:hAnsi="Times New Roman"/>
          <w:sz w:val="18"/>
          <w:szCs w:val="18"/>
          <w:color w:val="auto"/>
        </w:rPr>
        <w:t>the changing and volatile U.S. and global economic environments, including as a result of the COVID-19 pandemic; and future accounting pronouncements or changes in our accounting policies.</w:t>
      </w:r>
    </w:p>
    <w:p>
      <w:pPr>
        <w:spacing w:after="0" w:line="195"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The individual or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08"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complete our planned preclinical studies for our novel precision oncology development programs;</w:t>
      </w:r>
    </w:p>
    <w:p>
      <w:pPr>
        <w:spacing w:after="0" w:line="15" w:lineRule="exact"/>
        <w:rPr>
          <w:sz w:val="20"/>
          <w:szCs w:val="20"/>
          <w:color w:val="auto"/>
        </w:rPr>
      </w:pPr>
    </w:p>
    <w:p>
      <w:pPr>
        <w:ind w:left="240" w:right="2240"/>
        <w:spacing w:after="0" w:line="242" w:lineRule="auto"/>
        <w:rPr>
          <w:sz w:val="20"/>
          <w:szCs w:val="20"/>
          <w:color w:val="auto"/>
        </w:rPr>
      </w:pPr>
      <w:r>
        <w:rPr>
          <w:rFonts w:ascii="Times New Roman" w:cs="Times New Roman" w:eastAsia="Times New Roman" w:hAnsi="Times New Roman"/>
          <w:sz w:val="18"/>
          <w:szCs w:val="18"/>
          <w:color w:val="auto"/>
        </w:rPr>
        <w:t>timely file INDs for our programs, and clearance of these INDs to allow for commencement of such future clinical trials; timely patient enrollment and patient dosing in our TNG908 clinical trial;</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successfully complete our TNG908 clinical trial and any future clinical trials;</w:t>
      </w:r>
    </w:p>
    <w:p>
      <w:pPr>
        <w:ind w:left="240" w:right="340"/>
        <w:spacing w:after="0" w:line="242" w:lineRule="auto"/>
        <w:rPr>
          <w:sz w:val="20"/>
          <w:szCs w:val="20"/>
          <w:color w:val="auto"/>
        </w:rPr>
      </w:pPr>
      <w:r>
        <w:rPr>
          <w:rFonts w:ascii="Times New Roman" w:cs="Times New Roman" w:eastAsia="Times New Roman" w:hAnsi="Times New Roman"/>
          <w:sz w:val="18"/>
          <w:szCs w:val="18"/>
          <w:color w:val="auto"/>
        </w:rPr>
        <w:t>initiate and successfully complete all safety and efficacy studies required to obtain U.S. and foreign regulatory approval for our product candidates; make and maintain arrangements with third-party manufacturers for clinical supply and commercial manufacturing;</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rPr>
          <w:sz w:val="20"/>
          <w:szCs w:val="20"/>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7" w:lineRule="exact"/>
        <w:rPr>
          <w:sz w:val="20"/>
          <w:szCs w:val="20"/>
          <w:color w:val="auto"/>
        </w:rPr>
      </w:pPr>
    </w:p>
    <w:p>
      <w:pPr>
        <w:ind w:left="240" w:right="1520"/>
        <w:spacing w:after="0" w:line="235" w:lineRule="auto"/>
        <w:rPr>
          <w:sz w:val="20"/>
          <w:szCs w:val="20"/>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 position our products to effectively compete with other therapies;</w:t>
      </w:r>
    </w:p>
    <w:p>
      <w:pPr>
        <w:spacing w:after="0" w:line="1" w:lineRule="exact"/>
        <w:rPr>
          <w:sz w:val="20"/>
          <w:szCs w:val="20"/>
          <w:color w:val="auto"/>
        </w:rPr>
      </w:pPr>
    </w:p>
    <w:p>
      <w:pPr>
        <w:ind w:left="240" w:right="3020"/>
        <w:spacing w:after="0" w:line="242" w:lineRule="auto"/>
        <w:rPr>
          <w:sz w:val="20"/>
          <w:szCs w:val="20"/>
          <w:color w:val="auto"/>
        </w:rPr>
      </w:pPr>
      <w:r>
        <w:rPr>
          <w:rFonts w:ascii="Times New Roman" w:cs="Times New Roman" w:eastAsia="Times New Roman" w:hAnsi="Times New Roman"/>
          <w:sz w:val="18"/>
          <w:szCs w:val="18"/>
          <w:color w:val="auto"/>
        </w:rPr>
        <w:t>obtain and maintain healthcare coverage and adequate reimbursement for our products, if and when approved; enforce and defend intellectual property rights and claims;</w:t>
      </w:r>
    </w:p>
    <w:p>
      <w:pPr>
        <w:spacing w:after="0" w:line="1" w:lineRule="exact"/>
        <w:rPr>
          <w:sz w:val="20"/>
          <w:szCs w:val="20"/>
          <w:color w:val="auto"/>
        </w:rPr>
      </w:pPr>
    </w:p>
    <w:p>
      <w:pPr>
        <w:ind w:right="420" w:firstLine="230"/>
        <w:spacing w:after="0" w:line="241" w:lineRule="auto"/>
        <w:rPr>
          <w:sz w:val="20"/>
          <w:szCs w:val="20"/>
          <w:color w:val="auto"/>
        </w:rPr>
      </w:pPr>
      <w:r>
        <w:rPr>
          <w:rFonts w:ascii="Times New Roman" w:cs="Times New Roman" w:eastAsia="Times New Roman" w:hAnsi="Times New Roman"/>
          <w:sz w:val="18"/>
          <w:szCs w:val="18"/>
          <w:color w:val="auto"/>
        </w:rPr>
        <w:t>implement measures to help minimize the risk and disruption of COVID-19 to our employees as well as patients and subjects to be enrolled in our clinical trials;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193"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If we do not achieve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or we may be required to sell or license assets to third parties on terms that are not favorable to us, if at all.</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38" w:name="page39"/>
    <w:bookmarkEnd w:id="38"/>
    <w:p>
      <w:pPr>
        <w:ind w:firstLine="576"/>
        <w:spacing w:after="0" w:line="243" w:lineRule="auto"/>
        <w:rPr>
          <w:sz w:val="20"/>
          <w:szCs w:val="20"/>
          <w:color w:val="auto"/>
        </w:rPr>
      </w:pPr>
      <w:r>
        <w:rPr>
          <w:rFonts w:ascii="Times New Roman" w:cs="Times New Roman" w:eastAsia="Times New Roman" w:hAnsi="Times New Roman"/>
          <w:sz w:val="18"/>
          <w:szCs w:val="18"/>
          <w:color w:val="auto"/>
        </w:rPr>
        <w:t>Further, our most advanced program is a PRMT5 inhibitor, TNG908. Given the large number of patients with MTAP-deleted cancers, we are investing in our PRMT5 franchise beyond TNG908 with the goal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The clinical development path for TNG462 is expected to be similar to TNG908, evaluating safety and efficacy in multiple tumor types in a Phase 1/2 clinical trial. Glioblastoma will be excluded from the clinical trial as TNG462 does not cross the blood-brain barrier in preclinical non-human primate models. If additional preclinical or clinical evaluation of our next-generation compounds supports this hypothesis, we may elect to promote TNG462 as our lead PRMT5 inhibitor, which may result in a delay to our development timeline for the lead PRMT5 program of approximately 12 to 18 months (in this case, we would continue clinical development of TNG908, however, the focus would be on glioblastoma, which constitutes only a subset of the larger MTAP-deleted cancer patient population). If we elect to promote this next-generation compound, it may result in the delay in receiving potential revenue from product sales, if approved by regulatory authorities.</w:t>
      </w:r>
    </w:p>
    <w:p>
      <w:pPr>
        <w:spacing w:after="0" w:line="2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37"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precision oncology programs through clinical and preclinical development. We received FDA clearance of our IND application for TNG908 in the first quarter of 2022 and we are actively enrolling patients in the Phase 1/2 clinical trial. We plan to file an IND for TNG462, our next generation PRMT5 inhibitor, in the first half of 2023. Additionally, we plan to file INDs for TNG260, our inhibitor of an undisclosed target for STK11-mutant cancers (Target 3) in the first half of 2023 and for our USP1 inhibitor program in 2023. Consequently, we expect our expenses to significantly increase in connection with our ongoing activities, particularly as we continue the research and development of, initiate and complete clinical trials of, and seek regulatory approval for, our product candidates.</w:t>
      </w:r>
    </w:p>
    <w:p>
      <w:pPr>
        <w:spacing w:after="0" w:line="72" w:lineRule="exact"/>
        <w:rPr>
          <w:sz w:val="20"/>
          <w:szCs w:val="20"/>
          <w:color w:val="auto"/>
        </w:rPr>
      </w:pPr>
    </w:p>
    <w:p>
      <w:pPr>
        <w:ind w:right="400" w:firstLine="576"/>
        <w:spacing w:after="0" w:line="245" w:lineRule="auto"/>
        <w:rPr>
          <w:sz w:val="20"/>
          <w:szCs w:val="20"/>
          <w:color w:val="auto"/>
        </w:rPr>
      </w:pPr>
      <w:r>
        <w:rPr>
          <w:rFonts w:ascii="Times New Roman" w:cs="Times New Roman" w:eastAsia="Times New Roman" w:hAnsi="Times New Roman"/>
          <w:sz w:val="18"/>
          <w:szCs w:val="18"/>
          <w:color w:val="auto"/>
        </w:rPr>
        <w:t>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81" w:lineRule="exact"/>
        <w:rPr>
          <w:sz w:val="20"/>
          <w:szCs w:val="20"/>
          <w:color w:val="auto"/>
        </w:rPr>
      </w:pPr>
    </w:p>
    <w:p>
      <w:pPr>
        <w:ind w:right="80" w:firstLine="584"/>
        <w:spacing w:after="0" w:line="258"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will fund our projected operating requirements at least into the second half of 2024. However, our future capital requirements will depend on and could increase significantly as a result of many factors (which may result in exhausting such cash resources prior to the second half of 2024), including: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progress, results and costs of product discovery, preclinical and clinical development, and clinical trials for our product candidates;</w:t>
      </w:r>
    </w:p>
    <w:p>
      <w:pPr>
        <w:spacing w:after="0" w:line="15" w:lineRule="exact"/>
        <w:rPr>
          <w:sz w:val="20"/>
          <w:szCs w:val="20"/>
          <w:color w:val="auto"/>
        </w:rPr>
      </w:pPr>
    </w:p>
    <w:p>
      <w:pPr>
        <w:ind w:left="240" w:right="320"/>
        <w:spacing w:after="0" w:line="242" w:lineRule="auto"/>
        <w:rPr>
          <w:sz w:val="20"/>
          <w:szCs w:val="20"/>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the COVID-19 pandemic; the scope, prioritization and number of our research and development programs;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rPr>
          <w:sz w:val="20"/>
          <w:szCs w:val="20"/>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7" w:lineRule="exact"/>
        <w:rPr>
          <w:sz w:val="20"/>
          <w:szCs w:val="20"/>
          <w:color w:val="auto"/>
        </w:rPr>
      </w:pPr>
    </w:p>
    <w:p>
      <w:pPr>
        <w:ind w:right="80" w:firstLine="230"/>
        <w:spacing w:after="0" w:line="235" w:lineRule="auto"/>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agreements or any additional collaboration agreements we may establish;</w:t>
      </w:r>
    </w:p>
    <w:p>
      <w:pPr>
        <w:spacing w:after="0" w:line="1" w:lineRule="exact"/>
        <w:rPr>
          <w:sz w:val="20"/>
          <w:szCs w:val="20"/>
          <w:color w:val="auto"/>
        </w:rPr>
      </w:pPr>
    </w:p>
    <w:p>
      <w:pPr>
        <w:ind w:right="240" w:firstLine="230"/>
        <w:spacing w:after="0"/>
        <w:rPr>
          <w:sz w:val="20"/>
          <w:szCs w:val="20"/>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the costs of preparing, filing and prosecuting patent applications, maintaining and enforcing our intellectual property rights and defending intellectual property-related claims;</w:t>
      </w:r>
    </w:p>
    <w:p>
      <w:pPr>
        <w:ind w:left="240" w:right="4520"/>
        <w:spacing w:after="0" w:line="256" w:lineRule="auto"/>
        <w:rPr>
          <w:sz w:val="20"/>
          <w:szCs w:val="20"/>
          <w:color w:val="auto"/>
        </w:rPr>
      </w:pPr>
      <w:r>
        <w:rPr>
          <w:rFonts w:ascii="Times New Roman" w:cs="Times New Roman" w:eastAsia="Times New Roman" w:hAnsi="Times New Roman"/>
          <w:sz w:val="17"/>
          <w:szCs w:val="17"/>
          <w:color w:val="auto"/>
        </w:rPr>
        <w:t>the extent to which we acquire or in-license other product candidates and technologies; the costs of securing manufacturing arrangements for clinical and commercial production;</w:t>
      </w:r>
    </w:p>
    <w:p>
      <w:pPr>
        <w:spacing w:after="0" w:line="1" w:lineRule="exact"/>
        <w:rPr>
          <w:sz w:val="20"/>
          <w:szCs w:val="20"/>
          <w:color w:val="auto"/>
        </w:rPr>
      </w:pPr>
    </w:p>
    <w:p>
      <w:pPr>
        <w:ind w:left="240" w:right="1380"/>
        <w:spacing w:after="0" w:line="243" w:lineRule="auto"/>
        <w:rPr>
          <w:sz w:val="20"/>
          <w:szCs w:val="20"/>
          <w:color w:val="auto"/>
        </w:rPr>
      </w:pPr>
      <w:r>
        <w:rPr>
          <w:rFonts w:ascii="Times New Roman" w:cs="Times New Roman" w:eastAsia="Times New Roman" w:hAnsi="Times New Roman"/>
          <w:sz w:val="18"/>
          <w:szCs w:val="18"/>
          <w:color w:val="auto"/>
        </w:rPr>
        <w:t>our ability to hire and retain skilled scientific and operational personnel to meet our development, clinical and commercial objectives; costs related to the development of any companion diagnostics we may use in the future; 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225" w:lineRule="exact"/>
        <w:rPr>
          <w:sz w:val="20"/>
          <w:szCs w:val="20"/>
          <w:color w:val="auto"/>
        </w:rPr>
      </w:pPr>
    </w:p>
    <w:p>
      <w:pPr>
        <w:ind w:right="80" w:firstLine="576"/>
        <w:spacing w:after="0" w:line="24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181"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As a result of disruptions in the financial markets in general, and the recent decrease in biopharmaceutical stock prices and market capitalizations in particular, as well as the ongoing COVID-19 pandemic, equity and debt financing may be more difficult to obtain and may have a material adverse effect on our ability to meet our fundraising needs. We cannot guarantee that future financing will be available in sufficient amounts or on terms acceptable to us, if at all.</w:t>
      </w:r>
    </w:p>
    <w:p>
      <w:pPr>
        <w:spacing w:after="0" w:line="195" w:lineRule="exact"/>
        <w:rPr>
          <w:sz w:val="20"/>
          <w:szCs w:val="20"/>
          <w:color w:val="auto"/>
        </w:rPr>
      </w:pPr>
    </w:p>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81"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3" w:lineRule="exact"/>
        <w:rPr>
          <w:sz w:val="20"/>
          <w:szCs w:val="20"/>
          <w:color w:val="auto"/>
        </w:rPr>
      </w:pPr>
    </w:p>
    <w:p>
      <w:pPr>
        <w:ind w:right="140" w:firstLine="576"/>
        <w:spacing w:after="0" w:line="24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92" w:lineRule="exact"/>
        <w:rPr>
          <w:sz w:val="20"/>
          <w:szCs w:val="20"/>
          <w:color w:val="auto"/>
        </w:rPr>
      </w:pPr>
    </w:p>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Precision Oncology and Other Programs and Product Candidates</w:t>
      </w:r>
    </w:p>
    <w:p>
      <w:pPr>
        <w:spacing w:after="0" w:line="2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37" w:lineRule="exact"/>
        <w:rPr>
          <w:sz w:val="20"/>
          <w:szCs w:val="20"/>
          <w:color w:val="auto"/>
        </w:rPr>
      </w:pPr>
    </w:p>
    <w:p>
      <w:pPr>
        <w:ind w:right="160" w:firstLine="576"/>
        <w:spacing w:after="0" w:line="246" w:lineRule="auto"/>
        <w:rPr>
          <w:sz w:val="20"/>
          <w:szCs w:val="20"/>
          <w:color w:val="auto"/>
        </w:rPr>
      </w:pPr>
      <w:r>
        <w:rPr>
          <w:rFonts w:ascii="Times New Roman" w:cs="Times New Roman" w:eastAsia="Times New Roman" w:hAnsi="Times New Roman"/>
          <w:sz w:val="18"/>
          <w:szCs w:val="18"/>
          <w:color w:val="auto"/>
        </w:rPr>
        <w:t>We have not yet demonstrated our ability to successfully register, initiate, enroll and complete clinical trials, including large-scale, pivotal clinical trials, obtain regulatory approvals, manufacture a commercial scale product or arrange for a third party to do so on our behalf, or conduct sales and marketing activities necessary for successful commercialization. We received FDA clearance of our IND application for TNG908 in the first quarter of 2022 and are actively enrolling patients in the trial. Other than TNG908, our programs are still in preclinical development and may never advance to clinical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 w:name="page41"/>
    <w:bookmarkEnd w:id="40"/>
    <w:p>
      <w:pPr>
        <w:spacing w:after="0" w:line="242" w:lineRule="auto"/>
        <w:rPr>
          <w:sz w:val="20"/>
          <w:szCs w:val="20"/>
          <w:color w:val="auto"/>
        </w:rPr>
      </w:pPr>
      <w:r>
        <w:rPr>
          <w:rFonts w:ascii="Times New Roman" w:cs="Times New Roman" w:eastAsia="Times New Roman" w:hAnsi="Times New Roman"/>
          <w:sz w:val="18"/>
          <w:szCs w:val="18"/>
          <w:color w:val="auto"/>
        </w:rPr>
        <w:t>development. We plan to file an IND for TNG462, our next generation PRMT5 inhibitor, in the first half of 2023. Additionally, we plan to file an IND for TNG260, our inhibitor of an undisclosed target for STK11-mutant cancers (Target 3), in the first half of 2023, and an IND for our USP1 inhibitor program in 2023. We may not be able to file such INDs or INDs for any of our other product candidates on the timelines we expect, if at all. Further, timelines for developing and filing INDs are subject to significant uncertainties and projected timelines can be improved upon or delayed. For example, we extended the timeline for filing an IND for our USP1 inhibitor program as we continue to work on a development candidate that has improved pharmaceutical properties. Moreover, we cannot be sure that submission of an IND will result in the U.S. Food and Drug Administration, or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 Marketing Authorization Application, or MAA, to the European Medicines Agency, or EMA, or other marketing applications to regulatory authorities in other jurisdictions, for each product candidate and, consequently, the regulatory approval of each product candidate. While the IND for our lead program, TNG908, was cleared by the FDA, it is possible that an adequate number of patients may not be enrolled on a timely basis, or at all, and the study may not be completed (and preliminary, initial or final trial results may not be available) on time. Similarly, future clinical trials may not begin on time or be completed on schedule, if at all.</w:t>
      </w:r>
    </w:p>
    <w:p>
      <w:pPr>
        <w:spacing w:after="0" w:line="143" w:lineRule="exact"/>
        <w:rPr>
          <w:sz w:val="20"/>
          <w:szCs w:val="20"/>
          <w:color w:val="auto"/>
        </w:rPr>
      </w:pPr>
    </w:p>
    <w:p>
      <w:pPr>
        <w:ind w:firstLine="585"/>
        <w:spacing w:after="0" w:line="250"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82" w:lineRule="exact"/>
        <w:rPr>
          <w:sz w:val="20"/>
          <w:szCs w:val="20"/>
          <w:color w:val="auto"/>
        </w:rPr>
      </w:pPr>
    </w:p>
    <w:p>
      <w:pPr>
        <w:ind w:left="240" w:right="5860"/>
        <w:spacing w:after="0" w:line="246" w:lineRule="auto"/>
        <w:rPr>
          <w:sz w:val="20"/>
          <w:szCs w:val="20"/>
          <w:color w:val="auto"/>
        </w:rPr>
      </w:pPr>
      <w:r>
        <w:rPr>
          <w:rFonts w:ascii="Times New Roman" w:cs="Times New Roman" w:eastAsia="Times New Roman" w:hAnsi="Times New Roman"/>
          <w:sz w:val="18"/>
          <w:szCs w:val="18"/>
          <w:color w:val="auto"/>
        </w:rPr>
        <w:t>be delayed in obtaining regulatory approval for our product candidates; not obtain regulatory approval at all;</w:t>
      </w:r>
    </w:p>
    <w:p>
      <w:pPr>
        <w:ind w:left="240" w:right="3200"/>
        <w:spacing w:after="0" w:line="242" w:lineRule="auto"/>
        <w:rPr>
          <w:sz w:val="20"/>
          <w:szCs w:val="20"/>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 continue to be subject to post-marketing testing requirements;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product removed from the market after obtaining regulatory approval.</w:t>
      </w:r>
    </w:p>
    <w:p>
      <w:pPr>
        <w:spacing w:after="0" w:line="29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6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large enough to allow us to successfully obtain approval for each such mutation and commercialize our product candidates and achieve profitability.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08" w:lineRule="exact"/>
        <w:rPr>
          <w:sz w:val="20"/>
          <w:szCs w:val="20"/>
          <w:color w:val="auto"/>
        </w:rPr>
      </w:pPr>
    </w:p>
    <w:p>
      <w:pPr>
        <w:ind w:right="120" w:firstLine="576"/>
        <w:spacing w:after="0" w:line="245" w:lineRule="auto"/>
        <w:rPr>
          <w:sz w:val="20"/>
          <w:szCs w:val="20"/>
          <w:color w:val="auto"/>
        </w:rPr>
      </w:pPr>
      <w:r>
        <w:rPr>
          <w:rFonts w:ascii="Times New Roman" w:cs="Times New Roman" w:eastAsia="Times New Roman" w:hAnsi="Times New Roman"/>
          <w:sz w:val="18"/>
          <w:szCs w:val="18"/>
          <w:color w:val="auto"/>
        </w:rPr>
        <w:t>Our preclinical studies, our TNG908 clinical trial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(or be indicative of safety and efficacy if commercialized and used in a</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1" w:name="page42"/>
    <w:bookmarkEnd w:id="41"/>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broader population).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clinical trials may not be successful.</w:t>
      </w:r>
    </w:p>
    <w:p>
      <w:pPr>
        <w:spacing w:after="0" w:line="27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60"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8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7"/>
          <w:szCs w:val="17"/>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29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initial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0"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initial data from our current and future clinical trials, which is based on a preliminary analysis of then-available data, and the results and related findings and conclusions are subject to change following a more comprehensive review of the data and as results from additional clinical trial participants become available and trial participants spend additional time on therapy. For example, we may report responses in certain patients that are unconfirmed at the time and which do not ultimately result in confirmed responses to treatment after follow-up evaluations. We may also make assumptions, estimations, calculations and conclusions as part of our analyses of data, and we may not have received or had the opportunity to fully and carefully evaluate all data. As a result, the interim, top-line or initial results that we report may differ from future results of the same trials, or different conclusions or considerations may qualify such results, once additional data have been received and fully evaluated. Initial, interim or top-line data also remain subject to audit and verification procedures that may result in the final data being materially different from the interim data we previously published. As a result, initial, interim and top-line data should be viewed with caution until the final data are available. In addition, we may report interim analyses of only certain endpoints rather than all endpoints. Interim data from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2" w:name="page43"/>
    <w:bookmarkEnd w:id="42"/>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 and may cause the price of our common stock to fluctuate or decline.</w:t>
      </w:r>
    </w:p>
    <w:p>
      <w:pPr>
        <w:spacing w:after="0" w:line="169" w:lineRule="exact"/>
        <w:rPr>
          <w:sz w:val="20"/>
          <w:szCs w:val="20"/>
          <w:color w:val="auto"/>
        </w:rPr>
      </w:pPr>
    </w:p>
    <w:p>
      <w:pPr>
        <w:ind w:right="200" w:firstLine="576"/>
        <w:spacing w:after="0" w:line="250"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77"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If the initial,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294" w:lineRule="exact"/>
        <w:rPr>
          <w:sz w:val="20"/>
          <w:szCs w:val="20"/>
          <w:color w:val="auto"/>
        </w:rPr>
      </w:pPr>
    </w:p>
    <w:p>
      <w:pPr>
        <w:ind w:right="1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0"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272" w:lineRule="exact"/>
        <w:rPr>
          <w:sz w:val="20"/>
          <w:szCs w:val="20"/>
          <w:color w:val="auto"/>
        </w:rPr>
      </w:pPr>
    </w:p>
    <w:p>
      <w:pPr>
        <w:ind w:firstLine="230"/>
        <w:spacing w:after="0" w:line="254" w:lineRule="auto"/>
        <w:rPr>
          <w:sz w:val="20"/>
          <w:szCs w:val="20"/>
          <w:color w:val="auto"/>
        </w:rPr>
      </w:pPr>
      <w:r>
        <w:rPr>
          <w:rFonts w:ascii="Times New Roman" w:cs="Times New Roman" w:eastAsia="Times New Roman" w:hAnsi="Times New Roman"/>
          <w:sz w:val="18"/>
          <w:szCs w:val="18"/>
          <w:color w:val="auto"/>
        </w:rPr>
        <w:t>we may receive feedback from regulatory authorities that require us to modify the design or implementation of our preclinical studies or clinical trials or to delay or terminate a clinical trial;</w:t>
      </w:r>
    </w:p>
    <w:p>
      <w:pPr>
        <w:ind w:right="180" w:firstLine="230"/>
        <w:spacing w:after="0" w:line="241" w:lineRule="auto"/>
        <w:rPr>
          <w:sz w:val="20"/>
          <w:szCs w:val="20"/>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 w:lineRule="exact"/>
        <w:rPr>
          <w:sz w:val="20"/>
          <w:szCs w:val="20"/>
          <w:color w:val="auto"/>
        </w:rPr>
      </w:pPr>
    </w:p>
    <w:p>
      <w:pPr>
        <w:ind w:right="440" w:firstLine="230"/>
        <w:spacing w:after="0" w:line="235" w:lineRule="auto"/>
        <w:rPr>
          <w:sz w:val="20"/>
          <w:szCs w:val="20"/>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1" w:lineRule="exact"/>
        <w:rPr>
          <w:sz w:val="20"/>
          <w:szCs w:val="20"/>
          <w:color w:val="auto"/>
        </w:rPr>
      </w:pPr>
    </w:p>
    <w:p>
      <w:pPr>
        <w:jc w:val="both"/>
        <w:ind w:right="140" w:firstLine="230"/>
        <w:spacing w:after="0"/>
        <w:rPr>
          <w:sz w:val="20"/>
          <w:szCs w:val="20"/>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ind w:right="540" w:firstLine="230"/>
        <w:spacing w:after="0" w:line="241"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tumor types or indications;</w:t>
      </w:r>
    </w:p>
    <w:p>
      <w:pPr>
        <w:spacing w:after="0" w:line="1" w:lineRule="exact"/>
        <w:rPr>
          <w:sz w:val="20"/>
          <w:szCs w:val="20"/>
          <w:color w:val="auto"/>
        </w:rPr>
      </w:pPr>
    </w:p>
    <w:p>
      <w:pPr>
        <w:ind w:right="200" w:firstLine="230"/>
        <w:spacing w:after="0"/>
        <w:rPr>
          <w:sz w:val="20"/>
          <w:szCs w:val="20"/>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ind w:right="20" w:firstLine="230"/>
        <w:spacing w:after="0"/>
        <w:rPr>
          <w:sz w:val="20"/>
          <w:szCs w:val="20"/>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ind w:right="20" w:firstLine="185"/>
        <w:spacing w:after="0" w:line="235" w:lineRule="auto"/>
        <w:rPr>
          <w:sz w:val="20"/>
          <w:szCs w:val="20"/>
          <w:color w:val="auto"/>
        </w:rPr>
      </w:pPr>
      <w:r>
        <w:rPr>
          <w:rFonts w:ascii="Times New Roman" w:cs="Times New Roman" w:eastAsia="Times New Roman" w:hAnsi="Times New Roman"/>
          <w:sz w:val="18"/>
          <w:szCs w:val="18"/>
          <w:color w:val="auto"/>
        </w:rPr>
        <w:t>our clinical trial sites or investigators may deviate from the clinical trial protocol or drop out of the trial, which may require that we add new clinical trial sites or investigators;</w:t>
      </w:r>
    </w:p>
    <w:p>
      <w:pPr>
        <w:spacing w:after="0" w:line="1" w:lineRule="exact"/>
        <w:rPr>
          <w:sz w:val="20"/>
          <w:szCs w:val="20"/>
          <w:color w:val="auto"/>
        </w:rPr>
      </w:pPr>
    </w:p>
    <w:p>
      <w:pPr>
        <w:jc w:val="both"/>
        <w:ind w:right="320" w:firstLine="230"/>
        <w:spacing w:after="0"/>
        <w:rPr>
          <w:sz w:val="20"/>
          <w:szCs w:val="20"/>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234" w:lineRule="auto"/>
        <w:rPr>
          <w:sz w:val="20"/>
          <w:szCs w:val="20"/>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rPr>
          <w:sz w:val="20"/>
          <w:szCs w:val="20"/>
          <w:color w:val="auto"/>
        </w:rPr>
      </w:pPr>
      <w:r>
        <w:rPr>
          <w:rFonts w:ascii="Times New Roman" w:cs="Times New Roman" w:eastAsia="Times New Roman" w:hAnsi="Times New Roman"/>
          <w:sz w:val="18"/>
          <w:szCs w:val="18"/>
          <w:color w:val="auto"/>
        </w:rPr>
        <w:t>clinical trials of our product candidates may be delayed due to complications associated with the evolving COVID-19 pandemic;</w:t>
      </w:r>
    </w:p>
    <w:p>
      <w:pPr>
        <w:spacing w:after="0" w:line="7" w:lineRule="exact"/>
        <w:rPr>
          <w:sz w:val="20"/>
          <w:szCs w:val="20"/>
          <w:color w:val="auto"/>
        </w:rPr>
      </w:pPr>
    </w:p>
    <w:p>
      <w:pPr>
        <w:ind w:right="280" w:firstLine="230"/>
        <w:spacing w:after="0" w:line="245" w:lineRule="auto"/>
        <w:rPr>
          <w:sz w:val="20"/>
          <w:szCs w:val="20"/>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3" w:name="page44"/>
    <w:bookmarkEnd w:id="43"/>
    <w:p>
      <w:pPr>
        <w:ind w:right="340" w:firstLine="230"/>
        <w:spacing w:after="0" w:line="247" w:lineRule="auto"/>
        <w:rPr>
          <w:sz w:val="20"/>
          <w:szCs w:val="20"/>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7" w:lineRule="exact"/>
        <w:rPr>
          <w:sz w:val="20"/>
          <w:szCs w:val="20"/>
          <w:color w:val="auto"/>
        </w:rPr>
      </w:pPr>
    </w:p>
    <w:p>
      <w:pPr>
        <w:ind w:right="300" w:firstLine="230"/>
        <w:spacing w:after="0" w:line="245" w:lineRule="auto"/>
        <w:rPr>
          <w:sz w:val="20"/>
          <w:szCs w:val="20"/>
          <w:color w:val="auto"/>
        </w:rPr>
      </w:pPr>
      <w:r>
        <w:rPr>
          <w:rFonts w:ascii="Times New Roman" w:cs="Times New Roman" w:eastAsia="Times New Roman" w:hAnsi="Times New Roman"/>
          <w:sz w:val="18"/>
          <w:szCs w:val="18"/>
          <w:color w:val="auto"/>
        </w:rPr>
        <w:t>regulatory developments with respect to our competitors’ products, including any developments, litigation or public concern about the safety of such products.</w:t>
      </w:r>
    </w:p>
    <w:p>
      <w:pPr>
        <w:spacing w:after="0" w:line="180" w:lineRule="exact"/>
        <w:rPr>
          <w:sz w:val="20"/>
          <w:szCs w:val="20"/>
          <w:color w:val="auto"/>
        </w:rPr>
      </w:pPr>
    </w:p>
    <w:p>
      <w:pPr>
        <w:ind w:right="80" w:firstLine="576"/>
        <w:spacing w:after="0" w:line="24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5"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Moreover, principal investigators for our current or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1"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current or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8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3"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8"/>
          <w:szCs w:val="18"/>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are orphan indications that have small populations, our ability to enroll eligible patients may be limited or may result in slower enrollment than we anticipate. For example, following the FDA's clearance of our IND application for the Phase 1/2 clinical trial of TNG908, we and our third-party CRO have initiated multiple clinical trial sites, and we are actively enrolling patients in the trial. While we expect to continue to enroll patients in our TNG908 clinical trial, we may experience slower than expected enrollment, due to limited site resources resulting from COVID-19, limited trial populations due to competitive trials or other factors beyond our control. Delays in enrollment may effect the timing of results from the TNG908 Phase 1/2 trials (as well as the timing for dose escalation and dose expansion) and therefore the regulatory approval (if any) for TNG908 may extend beyond the period we have targeted or beyond the timeline expected by investors.</w:t>
      </w:r>
    </w:p>
    <w:p>
      <w:pPr>
        <w:spacing w:after="0" w:line="186" w:lineRule="exact"/>
        <w:rPr>
          <w:sz w:val="20"/>
          <w:szCs w:val="20"/>
          <w:color w:val="auto"/>
        </w:rPr>
      </w:pPr>
    </w:p>
    <w:p>
      <w:pPr>
        <w:ind w:right="40" w:firstLine="584"/>
        <w:spacing w:after="0" w:line="250" w:lineRule="auto"/>
        <w:rPr>
          <w:sz w:val="20"/>
          <w:szCs w:val="20"/>
          <w:color w:val="auto"/>
        </w:rPr>
      </w:pPr>
      <w:r>
        <w:rPr>
          <w:rFonts w:ascii="Times New Roman" w:cs="Times New Roman" w:eastAsia="Times New Roman" w:hAnsi="Times New Roman"/>
          <w:sz w:val="18"/>
          <w:szCs w:val="18"/>
          <w:color w:val="auto"/>
        </w:rPr>
        <w:t>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also rely on the willingness and ability of clinicians to screen their patients for biomarkers to indicate which patients may be eligible for enrollment in our clinical trials.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ind w:firstLine="576"/>
        <w:spacing w:after="0" w:line="247"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(for example, three INDs have been cleared by the FDA for clinical trials of MTA-cooperative PRMT5 inhibitors for the treatment of cancer patients, such trials have already enrolled patients and those trials are using some of the same clinical trial sites that we use). Furthermore, as noted above, our ability to enroll patients may be significantly delayed by the ongoing COVID-19 pandemic (including due to lack of resources and personnel at trial sites), and we cannot accurately predict the extent and scope of such delays at this point.</w:t>
      </w:r>
    </w:p>
    <w:p>
      <w:pPr>
        <w:spacing w:after="0" w:line="180" w:lineRule="exact"/>
        <w:rPr>
          <w:sz w:val="20"/>
          <w:szCs w:val="20"/>
          <w:color w:val="auto"/>
        </w:rPr>
      </w:pPr>
    </w:p>
    <w:p>
      <w:pPr>
        <w:ind w:right="80" w:firstLine="576"/>
        <w:spacing w:after="0" w:line="245" w:lineRule="auto"/>
        <w:rPr>
          <w:sz w:val="20"/>
          <w:szCs w:val="20"/>
          <w:color w:val="auto"/>
        </w:rPr>
      </w:pPr>
      <w:r>
        <w:rPr>
          <w:rFonts w:ascii="Times New Roman" w:cs="Times New Roman" w:eastAsia="Times New Roman" w:hAnsi="Times New Roman"/>
          <w:sz w:val="18"/>
          <w:szCs w:val="18"/>
          <w:color w:val="auto"/>
        </w:rPr>
        <w:t>In addition to the competitive trial environment, the eligibility criteria of our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reporting initial and final trial results and obtaining regulatory approval of potential products may be delayed.</w:t>
      </w:r>
    </w:p>
    <w:p>
      <w:pPr>
        <w:spacing w:after="0" w:line="181"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severity of the disease under investigation;</w:t>
      </w:r>
    </w:p>
    <w:p>
      <w:pPr>
        <w:spacing w:after="0" w:line="27" w:lineRule="exact"/>
        <w:rPr>
          <w:sz w:val="20"/>
          <w:szCs w:val="20"/>
          <w:color w:val="auto"/>
        </w:rPr>
      </w:pPr>
    </w:p>
    <w:p>
      <w:pPr>
        <w:ind w:left="240" w:right="3900"/>
        <w:spacing w:after="0" w:line="235" w:lineRule="auto"/>
        <w:rPr>
          <w:sz w:val="20"/>
          <w:szCs w:val="20"/>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 the ability to monitor patients adequately during and after treatment;</w:t>
      </w:r>
    </w:p>
    <w:p>
      <w:pPr>
        <w:spacing w:after="0" w:line="1" w:lineRule="exact"/>
        <w:rPr>
          <w:sz w:val="20"/>
          <w:szCs w:val="20"/>
          <w:color w:val="auto"/>
        </w:rPr>
      </w:pPr>
    </w:p>
    <w:p>
      <w:pPr>
        <w:ind w:left="240" w:right="4000"/>
        <w:spacing w:after="0" w:line="242" w:lineRule="auto"/>
        <w:rPr>
          <w:sz w:val="20"/>
          <w:szCs w:val="20"/>
          <w:color w:val="auto"/>
        </w:rPr>
      </w:pPr>
      <w:r>
        <w:rPr>
          <w:rFonts w:ascii="Times New Roman" w:cs="Times New Roman" w:eastAsia="Times New Roman" w:hAnsi="Times New Roman"/>
          <w:sz w:val="18"/>
          <w:szCs w:val="18"/>
          <w:color w:val="auto"/>
        </w:rPr>
        <w:t>the ability to recruit clinical trial investigators with the appropriate competencies and experience; reporting of the initial results of any of our clinical trials; and</w:t>
      </w:r>
    </w:p>
    <w:p>
      <w:pPr>
        <w:spacing w:after="0" w:line="1" w:lineRule="exact"/>
        <w:rPr>
          <w:sz w:val="20"/>
          <w:szCs w:val="20"/>
          <w:color w:val="auto"/>
        </w:rPr>
      </w:pPr>
    </w:p>
    <w:p>
      <w:pPr>
        <w:ind w:right="480" w:firstLine="230"/>
        <w:spacing w:after="0" w:line="243" w:lineRule="auto"/>
        <w:rPr>
          <w:sz w:val="20"/>
          <w:szCs w:val="20"/>
          <w:color w:val="auto"/>
        </w:rPr>
      </w:pPr>
      <w:r>
        <w:rPr>
          <w:rFonts w:ascii="Times New Roman" w:cs="Times New Roman" w:eastAsia="Times New Roman" w:hAnsi="Times New Roman"/>
          <w:sz w:val="18"/>
          <w:szCs w:val="18"/>
          <w:color w:val="auto"/>
        </w:rPr>
        <w:t>factors we may not be able to control, including the impacts of the COVID-19 pandemic, that may limit patients, principal investigators or staff or clinical site availability.</w:t>
      </w:r>
    </w:p>
    <w:p>
      <w:pPr>
        <w:spacing w:after="0" w:line="28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60"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Certain of our current product candidates and any future product candidates may have the potential to be administered in combination with existing standards of care such as checkpoint inhibitor immunotherapies, chemotherapies, targeted therapies or radiotherapy.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80" w:lineRule="exact"/>
        <w:rPr>
          <w:sz w:val="20"/>
          <w:szCs w:val="20"/>
          <w:color w:val="auto"/>
        </w:rPr>
      </w:pPr>
    </w:p>
    <w:p>
      <w:pPr>
        <w:ind w:right="60" w:firstLine="576"/>
        <w:spacing w:after="0" w:line="250" w:lineRule="auto"/>
        <w:rPr>
          <w:sz w:val="20"/>
          <w:szCs w:val="20"/>
          <w:color w:val="auto"/>
        </w:rPr>
      </w:pPr>
      <w:r>
        <w:rPr>
          <w:rFonts w:ascii="Times New Roman" w:cs="Times New Roman" w:eastAsia="Times New Roman" w:hAnsi="Times New Roman"/>
          <w:sz w:val="18"/>
          <w:szCs w:val="18"/>
          <w:color w:val="auto"/>
        </w:rPr>
        <w:t>Any failure to maintain or enter into new successful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91"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other therapy and not our current product candidates and any future product candidates. Even if successful, such trials may cause delays in the time to obtain regulatory approval, thereby limiting any exclusive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5" w:name="page46"/>
    <w:bookmarkEnd w:id="45"/>
    <w:p>
      <w:pPr>
        <w:ind w:right="40"/>
        <w:spacing w:after="0" w:line="247" w:lineRule="auto"/>
        <w:rPr>
          <w:sz w:val="20"/>
          <w:szCs w:val="20"/>
          <w:color w:val="auto"/>
        </w:rPr>
      </w:pPr>
      <w:r>
        <w:rPr>
          <w:rFonts w:ascii="Times New Roman" w:cs="Times New Roman" w:eastAsia="Times New Roman" w:hAnsi="Times New Roman"/>
          <w:sz w:val="18"/>
          <w:szCs w:val="18"/>
          <w:color w:val="auto"/>
        </w:rPr>
        <w:t>periods we have to market the product candidate.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80"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29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66"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0"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9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50"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We received clearance of our IND application for TNG908 in the first quarter of 2022 and we are actively enrolling patients in our Phase 1/2 clinical trial. We also plan to file an IND for TNG462, our next generation PRMT5 inhibitor, in the first half of 2023. Additionally, we plan to file INDs for TNG260, our inhibitor of an undisclosed target for STK11-mutant cancers (Target 3) in the first half of 2023, and for our USP1 inhibitor program in 2023. However, we may not be able to file such INDs or INDs for future product candidates for our precision oncology or other programs on the timelines we expect. We have in the past, for example, extended the timeline for filing an IND for our USP1 inhibitor program as we continue to work on a development candidate that has improved pharmacologic properties.</w:t>
      </w:r>
    </w:p>
    <w:p>
      <w:pPr>
        <w:spacing w:after="0" w:line="72" w:lineRule="exact"/>
        <w:rPr>
          <w:sz w:val="20"/>
          <w:szCs w:val="20"/>
          <w:color w:val="auto"/>
        </w:rPr>
      </w:pPr>
    </w:p>
    <w:p>
      <w:pPr>
        <w:ind w:right="80" w:firstLine="576"/>
        <w:spacing w:after="0" w:line="247" w:lineRule="auto"/>
        <w:rPr>
          <w:sz w:val="20"/>
          <w:szCs w:val="20"/>
          <w:color w:val="auto"/>
        </w:rPr>
      </w:pPr>
      <w:r>
        <w:rPr>
          <w:rFonts w:ascii="Times New Roman" w:cs="Times New Roman" w:eastAsia="Times New Roman" w:hAnsi="Times New Roman"/>
          <w:sz w:val="18"/>
          <w:szCs w:val="18"/>
          <w:color w:val="auto"/>
        </w:rPr>
        <w:t>Further,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28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6" w:name="page47"/>
    <w:bookmarkEnd w:id="46"/>
    <w:p>
      <w:pPr>
        <w:ind w:firstLine="576"/>
        <w:spacing w:after="0" w:line="24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(the latter can be expensive to defend and result in significant damages and harm to our reputation). While we do have insurance to cover certain product liability claims, including in connection with injury during clinical trials, the coverage may not be sufficient to cover all expenses related to any injury and we may be required to pay damages from our own resources.</w:t>
      </w:r>
    </w:p>
    <w:p>
      <w:pPr>
        <w:spacing w:after="0" w:line="128"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114"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our clinical trial for TNG908 or in any of our other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38"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60" w:lineRule="exact"/>
        <w:rPr>
          <w:sz w:val="20"/>
          <w:szCs w:val="20"/>
          <w:color w:val="auto"/>
        </w:rPr>
      </w:pPr>
    </w:p>
    <w:p>
      <w:pPr>
        <w:ind w:right="240" w:firstLine="576"/>
        <w:spacing w:after="0" w:line="250"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is compelling biological rationale. We explore new programs based on extensive preclinical data analysis which sometimes cannot predict efficacy or safety in humans.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7" w:name="page48"/>
    <w:bookmarkEnd w:id="47"/>
    <w:p>
      <w:pPr>
        <w:ind w:right="60" w:firstLine="576"/>
        <w:spacing w:after="0" w:line="243" w:lineRule="auto"/>
        <w:rPr>
          <w:sz w:val="20"/>
          <w:szCs w:val="20"/>
          <w:color w:val="auto"/>
        </w:rPr>
      </w:pPr>
      <w:r>
        <w:rPr>
          <w:rFonts w:ascii="Times New Roman" w:cs="Times New Roman" w:eastAsia="Times New Roman" w:hAnsi="Times New Roman"/>
          <w:sz w:val="18"/>
          <w:szCs w:val="18"/>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32" w:lineRule="exact"/>
        <w:rPr>
          <w:sz w:val="20"/>
          <w:szCs w:val="20"/>
          <w:color w:val="auto"/>
        </w:rPr>
      </w:pPr>
    </w:p>
    <w:p>
      <w:pPr>
        <w:ind w:right="20" w:firstLine="576"/>
        <w:spacing w:after="0" w:line="244" w:lineRule="auto"/>
        <w:rPr>
          <w:sz w:val="20"/>
          <w:szCs w:val="20"/>
          <w:color w:val="auto"/>
        </w:rPr>
      </w:pPr>
      <w:r>
        <w:rPr>
          <w:rFonts w:ascii="Times New Roman" w:cs="Times New Roman" w:eastAsia="Times New Roman" w:hAnsi="Times New Roman"/>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28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37"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We plan to conduct certain clinical trials outside the United States, and these jurisdictions may include countries in Europe, Australia or other foreign jurisdictions.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93"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0"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The ongoing success of businesses in the biopharmaceutical industry depend, to a large extent, on the ability to continue to introduce new products, especially as exclusivity rights to given therapies or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screening technology and research programs may initially show promise in identifying potential indications and/or product candidates, yet fail to yield results for clinical development for a number of reasons, including:</w:t>
      </w:r>
    </w:p>
    <w:p>
      <w:pPr>
        <w:spacing w:after="0" w:line="73" w:lineRule="exact"/>
        <w:rPr>
          <w:sz w:val="20"/>
          <w:szCs w:val="20"/>
          <w:color w:val="auto"/>
        </w:rPr>
      </w:pPr>
    </w:p>
    <w:p>
      <w:pPr>
        <w:ind w:right="200" w:firstLine="230"/>
        <w:spacing w:after="0" w:line="282" w:lineRule="auto"/>
        <w:rPr>
          <w:sz w:val="20"/>
          <w:szCs w:val="20"/>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 (or the development of a chemical compound or formulation that has the desired effect cannot be developed);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8" w:name="page49"/>
    <w:bookmarkEnd w:id="48"/>
    <w:p>
      <w:pPr>
        <w:ind w:right="100" w:firstLine="230"/>
        <w:spacing w:after="0" w:line="254" w:lineRule="auto"/>
        <w:rPr>
          <w:sz w:val="20"/>
          <w:szCs w:val="20"/>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ind w:firstLine="230"/>
        <w:spacing w:after="0" w:line="246" w:lineRule="auto"/>
        <w:rPr>
          <w:sz w:val="20"/>
          <w:szCs w:val="20"/>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81" w:lineRule="exact"/>
        <w:rPr>
          <w:sz w:val="20"/>
          <w:szCs w:val="20"/>
          <w:color w:val="auto"/>
        </w:rPr>
      </w:pPr>
    </w:p>
    <w:p>
      <w:pPr>
        <w:ind w:right="100" w:firstLine="576"/>
        <w:spacing w:after="0" w:line="250"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7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73" w:lineRule="exact"/>
        <w:rPr>
          <w:sz w:val="20"/>
          <w:szCs w:val="20"/>
          <w:color w:val="auto"/>
        </w:rPr>
      </w:pPr>
    </w:p>
    <w:p>
      <w:pPr>
        <w:jc w:val="both"/>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63"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We received clearance of our IND application for TNG908 in the first quarter of 2022 and we are actively enrolling patients in our Phase 1/2 clinical trial, otherwise, all of our product candidates are in discovery or preclinical development.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90"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78" w:lineRule="exact"/>
        <w:rPr>
          <w:sz w:val="20"/>
          <w:szCs w:val="20"/>
          <w:color w:val="auto"/>
        </w:rPr>
      </w:pPr>
    </w:p>
    <w:p>
      <w:pPr>
        <w:ind w:left="240" w:right="2100"/>
        <w:spacing w:after="0" w:line="254" w:lineRule="auto"/>
        <w:rPr>
          <w:sz w:val="20"/>
          <w:szCs w:val="20"/>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we may not be able to enroll a sufficient number of patients in our clinical studies;</w:t>
      </w:r>
    </w:p>
    <w:p>
      <w:pPr>
        <w:ind w:right="580" w:firstLine="230"/>
        <w:spacing w:after="0" w:line="243" w:lineRule="auto"/>
        <w:rPr>
          <w:sz w:val="20"/>
          <w:szCs w:val="20"/>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9" w:name="page50"/>
    <w:bookmarkEnd w:id="49"/>
    <w:p>
      <w:pPr>
        <w:ind w:right="540" w:firstLine="230"/>
        <w:spacing w:after="0" w:line="254" w:lineRule="auto"/>
        <w:rPr>
          <w:sz w:val="20"/>
          <w:szCs w:val="20"/>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234" w:lineRule="auto"/>
        <w:rPr>
          <w:sz w:val="20"/>
          <w:szCs w:val="20"/>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7" w:lineRule="exact"/>
        <w:rPr>
          <w:sz w:val="20"/>
          <w:szCs w:val="20"/>
          <w:color w:val="auto"/>
        </w:rPr>
      </w:pPr>
    </w:p>
    <w:p>
      <w:pPr>
        <w:ind w:right="300" w:firstLine="230"/>
        <w:spacing w:after="0" w:line="235" w:lineRule="auto"/>
        <w:rPr>
          <w:sz w:val="20"/>
          <w:szCs w:val="20"/>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1" w:lineRule="exact"/>
        <w:rPr>
          <w:sz w:val="20"/>
          <w:szCs w:val="20"/>
          <w:color w:val="auto"/>
        </w:rPr>
      </w:pPr>
    </w:p>
    <w:p>
      <w:pPr>
        <w:ind w:right="300" w:firstLine="230"/>
        <w:spacing w:after="0" w:line="242" w:lineRule="auto"/>
        <w:rPr>
          <w:sz w:val="20"/>
          <w:szCs w:val="20"/>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 w:lineRule="exact"/>
        <w:rPr>
          <w:sz w:val="20"/>
          <w:szCs w:val="20"/>
          <w:color w:val="auto"/>
        </w:rPr>
      </w:pPr>
    </w:p>
    <w:p>
      <w:pPr>
        <w:ind w:right="360" w:firstLine="230"/>
        <w:spacing w:after="0" w:line="243" w:lineRule="auto"/>
        <w:rPr>
          <w:sz w:val="20"/>
          <w:szCs w:val="20"/>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182" w:lineRule="exact"/>
        <w:rPr>
          <w:sz w:val="20"/>
          <w:szCs w:val="20"/>
          <w:color w:val="auto"/>
        </w:rPr>
      </w:pPr>
    </w:p>
    <w:p>
      <w:pPr>
        <w:ind w:right="260" w:firstLine="576"/>
        <w:spacing w:after="0" w:line="250"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7" w:lineRule="exact"/>
        <w:rPr>
          <w:sz w:val="20"/>
          <w:szCs w:val="20"/>
          <w:color w:val="auto"/>
        </w:rPr>
      </w:pPr>
    </w:p>
    <w:p>
      <w:pPr>
        <w:ind w:right="760" w:firstLine="576"/>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8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5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Beginning in 2020 and continuing through the date of this filing, a novel strain of a virus named SARS-CoV-2 (severe acute respiratory syndrome coronavirus 2), or coronavirus, which causes COVID-19 has spread across the world. Despite progress with distribution and administration of vaccines, COVID-19 and its effects continue to evolve, and countries continue to respond the implementation of various responses, including government-imposed quarantines, travel restrictions and other public health safety measures. The extent to which the coronavirus impacts our operations or those of our third-party partners, including our preclinical studies and clinical trial operations, will depend on future developments, which are highly uncertain and cannot be predicted with confidence and could adversely impact our preclinical or clinical trial operations in the United States and our future clinical trial sites in foreign jurisdictions, including our ability to recruit and retain patients and principal investigators and site staff who, as healthcare providers, may have heightened exposure to COVID-19 if an outbreak occurs in their geography.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expect that we will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97"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Additionally, timely enrollment in planned clinical trials and the reporting of clinical trial results is dependent upon clinical trial sites which could be adversely affected by global health matters, such as pandemics. We plan to conduct clinical trials for our product candidates in geographies which are currently affected by the COVID-19 pandemic, including our clinical trial for TNG908, a Phase 1/2 clinical trial in which we are actively enrolling patients in the United States (the impact of the COVID-19 pandemic on the resources at clinical trial sites, among other factors, may impact the enrollment and progression (including dose escalation and dose expansion) of the Phase 1/2 trial for TNG908 and any future clinical trials we may conduct. Some factors from the COVID-19 pandemic that may delay or otherwise adversely affect enrollment in the clinical trials of our product candidates, including TNG908, as well as our business generally, include:</w:t>
      </w:r>
    </w:p>
    <w:p>
      <w:pPr>
        <w:spacing w:after="0" w:line="73" w:lineRule="exact"/>
        <w:rPr>
          <w:sz w:val="20"/>
          <w:szCs w:val="20"/>
          <w:color w:val="auto"/>
        </w:rPr>
      </w:pPr>
    </w:p>
    <w:p>
      <w:pPr>
        <w:ind w:firstLine="230"/>
        <w:spacing w:after="0" w:line="250" w:lineRule="auto"/>
        <w:rPr>
          <w:sz w:val="20"/>
          <w:szCs w:val="20"/>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 limitations on travel that could interrupt key trial and business activities, such as clinical trial site initiations and monitoring, domestic and international travel by employees, contractors or patients to clinical trial sites, including any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ind w:right="340"/>
        <w:spacing w:after="0" w:line="247" w:lineRule="auto"/>
        <w:rPr>
          <w:sz w:val="20"/>
          <w:szCs w:val="20"/>
          <w:color w:val="auto"/>
        </w:rPr>
      </w:pPr>
      <w:r>
        <w:rPr>
          <w:rFonts w:ascii="Times New Roman" w:cs="Times New Roman" w:eastAsia="Times New Roman" w:hAnsi="Times New Roman"/>
          <w:sz w:val="18"/>
          <w:szCs w:val="18"/>
          <w:color w:val="auto"/>
        </w:rPr>
        <w:t>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negative effect on the operations of our third-party manufacturers;</w:t>
      </w:r>
    </w:p>
    <w:p>
      <w:pPr>
        <w:spacing w:after="0" w:line="7" w:lineRule="exact"/>
        <w:rPr>
          <w:sz w:val="20"/>
          <w:szCs w:val="20"/>
          <w:color w:val="auto"/>
        </w:rPr>
      </w:pPr>
    </w:p>
    <w:p>
      <w:pPr>
        <w:ind w:right="200" w:firstLine="230"/>
        <w:spacing w:after="0" w:line="235" w:lineRule="auto"/>
        <w:rPr>
          <w:sz w:val="20"/>
          <w:szCs w:val="20"/>
          <w:color w:val="auto"/>
        </w:rPr>
      </w:pPr>
      <w:r>
        <w:rPr>
          <w:rFonts w:ascii="Times New Roman" w:cs="Times New Roman" w:eastAsia="Times New Roman" w:hAnsi="Times New Roman"/>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1" w:lineRule="exact"/>
        <w:rPr>
          <w:sz w:val="20"/>
          <w:szCs w:val="20"/>
          <w:color w:val="auto"/>
        </w:rPr>
      </w:pPr>
    </w:p>
    <w:p>
      <w:pPr>
        <w:ind w:right="120" w:firstLine="185"/>
        <w:spacing w:after="0" w:line="242" w:lineRule="auto"/>
        <w:rPr>
          <w:sz w:val="20"/>
          <w:szCs w:val="20"/>
          <w:color w:val="auto"/>
        </w:rPr>
      </w:pPr>
      <w:r>
        <w:rPr>
          <w:rFonts w:ascii="Times New Roman" w:cs="Times New Roman" w:eastAsia="Times New Roman" w:hAnsi="Times New Roman"/>
          <w:sz w:val="18"/>
          <w:szCs w:val="18"/>
          <w:color w:val="auto"/>
        </w:rPr>
        <w:t>staffing shortages at clinical trial sites, both healthcare professionals (e.g. physicians, nurses) and support staff, caused by the COVID-19 pandemic and the challenges of finding replacements may adversely impact the timing and on-going performance of a clinical trial;</w:t>
      </w:r>
    </w:p>
    <w:p>
      <w:pPr>
        <w:spacing w:after="0" w:line="1" w:lineRule="exact"/>
        <w:rPr>
          <w:sz w:val="20"/>
          <w:szCs w:val="20"/>
          <w:color w:val="auto"/>
        </w:rPr>
      </w:pPr>
    </w:p>
    <w:p>
      <w:pPr>
        <w:ind w:right="340" w:firstLine="230"/>
        <w:spacing w:after="0" w:line="234" w:lineRule="auto"/>
        <w:rPr>
          <w:sz w:val="20"/>
          <w:szCs w:val="20"/>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and disruptions to or delays in ongoing laboratory experiments;</w:t>
      </w:r>
    </w:p>
    <w:p>
      <w:pPr>
        <w:spacing w:after="0" w:line="1" w:lineRule="exact"/>
        <w:rPr>
          <w:sz w:val="20"/>
          <w:szCs w:val="20"/>
          <w:color w:val="auto"/>
        </w:rPr>
      </w:pPr>
    </w:p>
    <w:p>
      <w:pPr>
        <w:ind w:right="580" w:firstLine="230"/>
        <w:spacing w:after="0" w:line="242" w:lineRule="auto"/>
        <w:rPr>
          <w:sz w:val="20"/>
          <w:szCs w:val="20"/>
          <w:color w:val="auto"/>
        </w:rPr>
      </w:pPr>
      <w:r>
        <w:rPr>
          <w:rFonts w:ascii="Times New Roman" w:cs="Times New Roman" w:eastAsia="Times New Roman" w:hAnsi="Times New Roman"/>
          <w:sz w:val="18"/>
          <w:szCs w:val="18"/>
          <w:color w:val="auto"/>
        </w:rPr>
        <w:t>operations, staffing shortages, travel limitations, global supply chain delays or mass transit disruptions, any of which could adversely impact our business operations or delay necessary interactions with local regulators, ethics committees and other important agencies and contractors;</w:t>
      </w:r>
    </w:p>
    <w:p>
      <w:pPr>
        <w:spacing w:after="0" w:line="1" w:lineRule="exact"/>
        <w:rPr>
          <w:sz w:val="20"/>
          <w:szCs w:val="20"/>
          <w:color w:val="auto"/>
        </w:rPr>
      </w:pPr>
    </w:p>
    <w:p>
      <w:pPr>
        <w:ind w:right="160" w:firstLine="230"/>
        <w:spacing w:after="0" w:line="241" w:lineRule="auto"/>
        <w:rPr>
          <w:sz w:val="20"/>
          <w:szCs w:val="20"/>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93" w:lineRule="exact"/>
        <w:rPr>
          <w:sz w:val="20"/>
          <w:szCs w:val="20"/>
          <w:color w:val="auto"/>
        </w:rPr>
      </w:pPr>
    </w:p>
    <w:p>
      <w:pPr>
        <w:ind w:firstLine="576"/>
        <w:spacing w:after="0" w:line="264" w:lineRule="auto"/>
        <w:rPr>
          <w:sz w:val="20"/>
          <w:szCs w:val="20"/>
          <w:color w:val="auto"/>
        </w:rPr>
      </w:pPr>
      <w:r>
        <w:rPr>
          <w:rFonts w:ascii="Times New Roman" w:cs="Times New Roman" w:eastAsia="Times New Roman" w:hAnsi="Times New Roman"/>
          <w:sz w:val="17"/>
          <w:szCs w:val="17"/>
          <w:color w:val="auto"/>
        </w:rPr>
        <w:t>Our employees, including our lab personnel, are currently working at our office headquarters. We have, in the past,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w:t>
      </w:r>
      <w:r>
        <w:rPr>
          <w:rFonts w:ascii="Times New Roman" w:cs="Times New Roman" w:eastAsia="Times New Roman" w:hAnsi="Times New Roman"/>
          <w:sz w:val="17"/>
          <w:szCs w:val="17"/>
          <w:color w:val="FF0000"/>
        </w:rPr>
        <w:t>.</w:t>
      </w:r>
      <w:r>
        <w:rPr>
          <w:rFonts w:ascii="Times New Roman" w:cs="Times New Roman" w:eastAsia="Times New Roman" w:hAnsi="Times New Roman"/>
          <w:sz w:val="17"/>
          <w:szCs w:val="17"/>
          <w:color w:val="auto"/>
        </w:rPr>
        <w:t xml:space="preserve"> We cannot presently predict the scope and severity of the planned and potential shutdowns or disruptions of businesses and government agencies, such as the SEC or FDA.</w:t>
      </w:r>
    </w:p>
    <w:p>
      <w:pPr>
        <w:spacing w:after="0" w:line="180"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8"/>
          <w:szCs w:val="18"/>
          <w:color w:val="auto"/>
        </w:rPr>
        <w:t>These and other factors arising from COVID-19 (and any future variant of the COVID-19 virus)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operations and financial condition and our clinical trials.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1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37"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Specifically, with respect to TNG908 (for which we recently received FDA clearance of our IND application), we are aware that Mirati Therapeutics, Inc. and Amgen each have a clinical MTA-cooperative PRMT5 inhibitor program, using the same mechanism of action as TNG908 (and there are other indirect competitors in the PRMT5 inhibition space as well).</w:t>
      </w:r>
    </w:p>
    <w:p>
      <w:pPr>
        <w:spacing w:after="0" w:line="72"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We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1" w:name="page52"/>
    <w:bookmarkEnd w:id="51"/>
    <w:p>
      <w:pPr>
        <w:ind w:right="140" w:firstLine="576"/>
        <w:spacing w:after="0" w:line="24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114"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barriers to entry do not remain in place, other companies may be able to more directly or effectively compete with us.</w:t>
      </w:r>
    </w:p>
    <w:p>
      <w:pPr>
        <w:spacing w:after="0" w:line="119" w:lineRule="exact"/>
        <w:rPr>
          <w:sz w:val="20"/>
          <w:szCs w:val="20"/>
          <w:color w:val="auto"/>
        </w:rPr>
      </w:pPr>
    </w:p>
    <w:p>
      <w:pPr>
        <w:ind w:right="160" w:firstLine="576"/>
        <w:spacing w:after="0" w:line="247"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novel competition that utilize the same mechanism of action and availability of reimbursement from government and other third-party payors.</w:t>
      </w:r>
    </w:p>
    <w:p>
      <w:pPr>
        <w:spacing w:after="0" w:line="203" w:lineRule="exact"/>
        <w:rPr>
          <w:sz w:val="20"/>
          <w:szCs w:val="20"/>
          <w:color w:val="auto"/>
        </w:rPr>
      </w:pPr>
    </w:p>
    <w:p>
      <w:pPr>
        <w:ind w:right="2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37"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a genetic alteration which occurs in 10% to 15% of all human tumors, including NSCLC, mesothelioma, cholangiocarcinoma, and GBM, as well as indications where there are limited treatment options with no standard of care, including MPNST. Our next-generation PRMT5 product candidate, TNG462, is being developed for the same patient population as TNG908 with the exception of GMB as TNG462 does not cross the blood-brain barrier in preclinical non-human primate models. Additionally, our undisclosed Target 3 program is being developed for certain patients with STK11 loss-of-function mutations. STK11 loss-of-function mutations are a genetic alteration in approximately 15% of NSCLC, 15% of cervical cancers, 10% carcinoma of unknown primary, 5% of breast cancers and 3% of pancreatic cancers. USP1 is a strong synthetic lethal target for BRCA1/2-mutant, which are present in approximately 15% of ovarian cancers, 10% of breast cancers, 10% of prostate cancers, 5% of endometrial cancers and 5% of pancreatic cancers. Our projections of both the number of people who have these diseases, as well as the subset of people with these diseases who have the potential to benefit from treatment with our programs and product candidates, are based on our estimates.</w:t>
      </w:r>
    </w:p>
    <w:p>
      <w:pPr>
        <w:spacing w:after="0" w:line="121"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285"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63"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2" w:name="page53"/>
    <w:bookmarkEnd w:id="52"/>
    <w:p>
      <w:pPr>
        <w:ind w:right="140"/>
        <w:spacing w:after="0" w:line="244" w:lineRule="auto"/>
        <w:rPr>
          <w:sz w:val="20"/>
          <w:szCs w:val="20"/>
          <w:color w:val="auto"/>
        </w:rPr>
      </w:pPr>
      <w:r>
        <w:rPr>
          <w:rFonts w:ascii="Times New Roman" w:cs="Times New Roman" w:eastAsia="Times New Roman" w:hAnsi="Times New Roman"/>
          <w:sz w:val="18"/>
          <w:szCs w:val="18"/>
          <w:color w:val="auto"/>
        </w:rPr>
        <w:t>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potential future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18"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69" w:lineRule="exact"/>
        <w:rPr>
          <w:sz w:val="20"/>
          <w:szCs w:val="20"/>
          <w:color w:val="auto"/>
        </w:rPr>
      </w:pPr>
    </w:p>
    <w:p>
      <w:pPr>
        <w:ind w:right="620" w:firstLine="230"/>
        <w:spacing w:after="0" w:line="253" w:lineRule="auto"/>
        <w:rPr>
          <w:sz w:val="20"/>
          <w:szCs w:val="20"/>
          <w:color w:val="auto"/>
        </w:rPr>
      </w:pPr>
      <w:r>
        <w:rPr>
          <w:rFonts w:ascii="Times New Roman" w:cs="Times New Roman" w:eastAsia="Times New Roman" w:hAnsi="Times New Roman"/>
          <w:sz w:val="18"/>
          <w:szCs w:val="18"/>
          <w:color w:val="auto"/>
        </w:rPr>
        <w:t>the efficacy of our current product candidates and any future product candidates as single agents and in combination with marketed combination therapies or other therapies that are also pending regulatory approval;</w:t>
      </w:r>
    </w:p>
    <w:p>
      <w:pPr>
        <w:spacing w:after="0" w:line="236" w:lineRule="auto"/>
        <w:rPr>
          <w:sz w:val="20"/>
          <w:szCs w:val="20"/>
          <w:color w:val="auto"/>
        </w:rPr>
      </w:pPr>
      <w:r>
        <w:rPr>
          <w:rFonts w:ascii="Times New Roman" w:cs="Times New Roman" w:eastAsia="Times New Roman" w:hAnsi="Times New Roman"/>
          <w:sz w:val="18"/>
          <w:szCs w:val="18"/>
          <w:color w:val="auto"/>
        </w:rPr>
        <w:t>the commercial success of the checkpoint blockade drugs with which certain of our products may be co-administered;</w:t>
      </w:r>
    </w:p>
    <w:p>
      <w:pPr>
        <w:ind w:right="220" w:firstLine="230"/>
        <w:spacing w:after="0" w:line="241" w:lineRule="auto"/>
        <w:rPr>
          <w:sz w:val="20"/>
          <w:szCs w:val="20"/>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 or those products with which they may be co-administered;</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ind w:right="120" w:firstLine="230"/>
        <w:spacing w:after="0" w:line="238" w:lineRule="auto"/>
        <w:rPr>
          <w:sz w:val="20"/>
          <w:szCs w:val="20"/>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 changes in the standard of care for the targeted indications of our current product candidates and any future product candidates, which could reduce the marketing impact of any claims that we could make following FDA approval or approval by comparable foreign regulatory authorities, if obtained;</w:t>
      </w:r>
    </w:p>
    <w:p>
      <w:pPr>
        <w:spacing w:after="0" w:line="2" w:lineRule="exact"/>
        <w:rPr>
          <w:sz w:val="20"/>
          <w:szCs w:val="20"/>
          <w:color w:val="auto"/>
        </w:rPr>
      </w:pPr>
    </w:p>
    <w:p>
      <w:pPr>
        <w:ind w:right="120" w:firstLine="230"/>
        <w:spacing w:after="0" w:line="241" w:lineRule="auto"/>
        <w:rPr>
          <w:sz w:val="20"/>
          <w:szCs w:val="20"/>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 (including the number of doses required in a given period) and any products with which they are co-administered;</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ind w:right="700" w:firstLine="230"/>
        <w:spacing w:after="0" w:line="241" w:lineRule="auto"/>
        <w:rPr>
          <w:sz w:val="20"/>
          <w:szCs w:val="20"/>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234" w:lineRule="auto"/>
        <w:rPr>
          <w:sz w:val="20"/>
          <w:szCs w:val="20"/>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rPr>
          <w:sz w:val="20"/>
          <w:szCs w:val="20"/>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ind w:firstLine="230"/>
        <w:spacing w:after="0" w:line="241" w:lineRule="auto"/>
        <w:rPr>
          <w:sz w:val="20"/>
          <w:szCs w:val="20"/>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1" w:lineRule="exact"/>
        <w:rPr>
          <w:sz w:val="20"/>
          <w:szCs w:val="20"/>
          <w:color w:val="auto"/>
        </w:rPr>
      </w:pPr>
    </w:p>
    <w:p>
      <w:pPr>
        <w:ind w:left="240" w:right="1280"/>
        <w:spacing w:after="0" w:line="235" w:lineRule="auto"/>
        <w:rPr>
          <w:sz w:val="20"/>
          <w:szCs w:val="20"/>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 our ability to offer our current product candidates and any future product candidates for sale at competitive prices;</w:t>
      </w:r>
    </w:p>
    <w:p>
      <w:pPr>
        <w:spacing w:after="0" w:line="1" w:lineRule="exact"/>
        <w:rPr>
          <w:sz w:val="20"/>
          <w:szCs w:val="20"/>
          <w:color w:val="auto"/>
        </w:rPr>
      </w:pPr>
    </w:p>
    <w:p>
      <w:pPr>
        <w:ind w:left="240" w:right="2840"/>
        <w:spacing w:after="0" w:line="242" w:lineRule="auto"/>
        <w:rPr>
          <w:sz w:val="20"/>
          <w:szCs w:val="20"/>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the extent and strength of our third-party manufacturer and supplier support;</w:t>
      </w:r>
    </w:p>
    <w:p>
      <w:pPr>
        <w:spacing w:after="0" w:line="1" w:lineRule="exact"/>
        <w:rPr>
          <w:sz w:val="20"/>
          <w:szCs w:val="20"/>
          <w:color w:val="auto"/>
        </w:rPr>
      </w:pPr>
    </w:p>
    <w:p>
      <w:pPr>
        <w:ind w:right="980" w:firstLine="230"/>
        <w:spacing w:after="0" w:line="234" w:lineRule="auto"/>
        <w:rPr>
          <w:sz w:val="20"/>
          <w:szCs w:val="20"/>
          <w:color w:val="auto"/>
        </w:rPr>
      </w:pPr>
      <w:r>
        <w:rPr>
          <w:rFonts w:ascii="Times New Roman" w:cs="Times New Roman" w:eastAsia="Times New Roman" w:hAnsi="Times New Roman"/>
          <w:sz w:val="18"/>
          <w:szCs w:val="18"/>
          <w:color w:val="auto"/>
        </w:rPr>
        <w:t>the actions of companies that market any products with which our current product candidates and any future product candidates may be co-administered;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other new products;</w:t>
      </w:r>
    </w:p>
    <w:p>
      <w:pPr>
        <w:spacing w:after="0" w:line="7" w:lineRule="exact"/>
        <w:rPr>
          <w:sz w:val="20"/>
          <w:szCs w:val="20"/>
          <w:color w:val="auto"/>
        </w:rPr>
      </w:pPr>
    </w:p>
    <w:p>
      <w:pPr>
        <w:ind w:right="520" w:firstLine="230"/>
        <w:spacing w:after="0" w:line="235" w:lineRule="auto"/>
        <w:rPr>
          <w:sz w:val="20"/>
          <w:szCs w:val="20"/>
          <w:color w:val="auto"/>
        </w:rPr>
      </w:pPr>
      <w:r>
        <w:rPr>
          <w:rFonts w:ascii="Times New Roman" w:cs="Times New Roman" w:eastAsia="Times New Roman" w:hAnsi="Times New Roman"/>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product liability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3" w:name="page54"/>
    <w:bookmarkEnd w:id="53"/>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0"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Phase 1/2 clinical trial of TNG908, and for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number of reasons, including elements of the design or execution of the trials or safety concerns or other trial results.</w:t>
      </w:r>
    </w:p>
    <w:p>
      <w:pPr>
        <w:spacing w:after="0" w:line="114" w:lineRule="exact"/>
        <w:rPr>
          <w:sz w:val="20"/>
          <w:szCs w:val="20"/>
          <w:color w:val="auto"/>
        </w:rPr>
      </w:pPr>
    </w:p>
    <w:p>
      <w:pPr>
        <w:ind w:right="60" w:firstLine="576"/>
        <w:spacing w:after="0" w:line="245" w:lineRule="auto"/>
        <w:rPr>
          <w:sz w:val="20"/>
          <w:szCs w:val="20"/>
          <w:color w:val="auto"/>
        </w:rPr>
      </w:pPr>
      <w:r>
        <w:rPr>
          <w:rFonts w:ascii="Times New Roman" w:cs="Times New Roman" w:eastAsia="Times New Roman" w:hAnsi="Times New Roman"/>
          <w:sz w:val="18"/>
          <w:szCs w:val="18"/>
          <w:color w:val="auto"/>
        </w:rPr>
        <w:t>We are likely to have certain information rights with respect to the investigator-sponsored trials, including access to and the ability to use and reference the data, including for our own regulatory filings.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14" w:lineRule="exact"/>
        <w:rPr>
          <w:sz w:val="20"/>
          <w:szCs w:val="20"/>
          <w:color w:val="auto"/>
        </w:rPr>
      </w:pPr>
    </w:p>
    <w:p>
      <w:pPr>
        <w:ind w:right="180" w:firstLine="576"/>
        <w:spacing w:after="0" w:line="243" w:lineRule="auto"/>
        <w:rPr>
          <w:sz w:val="20"/>
          <w:szCs w:val="20"/>
          <w:color w:val="auto"/>
        </w:rPr>
      </w:pPr>
      <w:r>
        <w:rPr>
          <w:rFonts w:ascii="Times New Roman" w:cs="Times New Roman" w:eastAsia="Times New Roman" w:hAnsi="Times New Roman"/>
          <w:sz w:val="18"/>
          <w:szCs w:val="18"/>
          <w:color w:val="auto"/>
        </w:rPr>
        <w:t>We rely and expect to continue to rely heavily on third parties for execution of clinical trials for our product candidates and control only certain aspects of their activities (and such control may be based on contractual provisions that may be breached by the third-party). For example, for the Phase 1/2 clinical trial of TNG908, we expect to rely on one CRO for the conduct of the trial and one manufacturer to manufacture the study drug to be used during the course of the trial. We are responsible for ensuring that each of our clinical trials and the study drug is conducted and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119"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generally must be conducted with product candidates produced under current Good Manufacturing Practice, or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22" w:lineRule="exact"/>
        <w:rPr>
          <w:sz w:val="20"/>
          <w:szCs w:val="20"/>
          <w:color w:val="auto"/>
        </w:rPr>
      </w:pPr>
    </w:p>
    <w:p>
      <w:pPr>
        <w:ind w:right="100" w:firstLine="576"/>
        <w:spacing w:after="0" w:line="245" w:lineRule="auto"/>
        <w:rPr>
          <w:sz w:val="20"/>
          <w:szCs w:val="20"/>
          <w:color w:val="auto"/>
        </w:rPr>
      </w:pPr>
      <w:r>
        <w:rPr>
          <w:rFonts w:ascii="Times New Roman" w:cs="Times New Roman" w:eastAsia="Times New Roman" w:hAnsi="Times New Roman"/>
          <w:sz w:val="18"/>
          <w:szCs w:val="18"/>
          <w:color w:val="auto"/>
        </w:rPr>
        <w:t>Although we have designed our Phase 1/2 clinical trial of TNG908 and intend to design the future clinical trials for our product candidates, the operational details of these trials will be executed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4" w:name="page55"/>
    <w:bookmarkEnd w:id="54"/>
    <w:p>
      <w:pPr>
        <w:ind w:right="100" w:firstLine="576"/>
        <w:spacing w:after="0" w:line="24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95"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investigators (or clinical trial sites) and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304"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50" w:lineRule="exact"/>
        <w:rPr>
          <w:sz w:val="20"/>
          <w:szCs w:val="20"/>
          <w:color w:val="auto"/>
        </w:rPr>
      </w:pPr>
    </w:p>
    <w:p>
      <w:pPr>
        <w:ind w:right="500" w:firstLine="576"/>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the existing collaboration that we have with Gilead, are subject to numerous risks, which include the following:</w:t>
      </w:r>
    </w:p>
    <w:p>
      <w:pPr>
        <w:spacing w:after="0" w:line="40" w:lineRule="exact"/>
        <w:rPr>
          <w:sz w:val="20"/>
          <w:szCs w:val="20"/>
          <w:color w:val="auto"/>
        </w:rPr>
      </w:pPr>
    </w:p>
    <w:p>
      <w:pPr>
        <w:ind w:right="260" w:firstLine="230"/>
        <w:spacing w:after="0" w:line="253" w:lineRule="auto"/>
        <w:rPr>
          <w:sz w:val="20"/>
          <w:szCs w:val="20"/>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ind w:firstLine="230"/>
        <w:spacing w:after="0" w:line="235" w:lineRule="auto"/>
        <w:rPr>
          <w:sz w:val="20"/>
          <w:szCs w:val="20"/>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1" w:lineRule="exact"/>
        <w:rPr>
          <w:sz w:val="20"/>
          <w:szCs w:val="20"/>
          <w:color w:val="auto"/>
        </w:rPr>
      </w:pPr>
    </w:p>
    <w:p>
      <w:pPr>
        <w:ind w:right="280" w:firstLine="230"/>
        <w:spacing w:after="0"/>
        <w:rPr>
          <w:sz w:val="20"/>
          <w:szCs w:val="20"/>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ind w:right="160" w:firstLine="230"/>
        <w:spacing w:after="0" w:line="241" w:lineRule="auto"/>
        <w:rPr>
          <w:sz w:val="20"/>
          <w:szCs w:val="20"/>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1" w:lineRule="exact"/>
        <w:rPr>
          <w:sz w:val="20"/>
          <w:szCs w:val="20"/>
          <w:color w:val="auto"/>
        </w:rPr>
      </w:pPr>
    </w:p>
    <w:p>
      <w:pPr>
        <w:ind w:right="160" w:firstLine="230"/>
        <w:spacing w:after="0" w:line="235" w:lineRule="auto"/>
        <w:rPr>
          <w:sz w:val="20"/>
          <w:szCs w:val="20"/>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1" w:lineRule="exact"/>
        <w:rPr>
          <w:sz w:val="20"/>
          <w:szCs w:val="20"/>
          <w:color w:val="auto"/>
        </w:rPr>
      </w:pPr>
    </w:p>
    <w:p>
      <w:pPr>
        <w:ind w:right="260" w:firstLine="230"/>
        <w:spacing w:after="0"/>
        <w:rPr>
          <w:sz w:val="20"/>
          <w:szCs w:val="20"/>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collaborators might not properly maintain or defend our intellectual property rights or might use our intellectual property improperly or in a way that jeopardizes our intellectual property or the potential commercial benefit of our product candidates or exposes us to potential liability;</w:t>
      </w:r>
    </w:p>
    <w:p>
      <w:pPr>
        <w:ind w:right="620" w:firstLine="230"/>
        <w:spacing w:after="0" w:line="242" w:lineRule="auto"/>
        <w:rPr>
          <w:sz w:val="20"/>
          <w:szCs w:val="20"/>
          <w:color w:val="auto"/>
        </w:rPr>
      </w:pPr>
      <w:r>
        <w:rPr>
          <w:rFonts w:ascii="Times New Roman" w:cs="Times New Roman" w:eastAsia="Times New Roman" w:hAnsi="Times New Roman"/>
          <w:sz w:val="18"/>
          <w:szCs w:val="18"/>
          <w:color w:val="auto"/>
        </w:rPr>
        <w:t>disputes might arise regarding the ownership of inventions and know-how resulting from the joint creation or use of intellectual property by our collaborators and us and our partners or with those we engage in connection with sponsored research;</w:t>
      </w:r>
    </w:p>
    <w:p>
      <w:pPr>
        <w:spacing w:after="0" w:line="1" w:lineRule="exact"/>
        <w:rPr>
          <w:sz w:val="20"/>
          <w:szCs w:val="20"/>
          <w:color w:val="auto"/>
        </w:rPr>
      </w:pPr>
    </w:p>
    <w:p>
      <w:pPr>
        <w:ind w:right="140" w:firstLine="230"/>
        <w:spacing w:after="0" w:line="241" w:lineRule="auto"/>
        <w:rPr>
          <w:sz w:val="20"/>
          <w:szCs w:val="20"/>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1" w:lineRule="exact"/>
        <w:rPr>
          <w:sz w:val="20"/>
          <w:szCs w:val="20"/>
          <w:color w:val="auto"/>
        </w:rPr>
      </w:pPr>
    </w:p>
    <w:p>
      <w:pPr>
        <w:jc w:val="both"/>
        <w:ind w:right="200" w:firstLine="230"/>
        <w:spacing w:after="0"/>
        <w:rPr>
          <w:sz w:val="20"/>
          <w:szCs w:val="20"/>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 disputes might arise between a collaborator and us that could cause a delay or termination of the collaboration or result in costly litigation that diverts management attention and resources; and</w:t>
      </w:r>
    </w:p>
    <w:p>
      <w:pPr>
        <w:ind w:right="20" w:firstLine="230"/>
        <w:spacing w:after="0" w:line="245" w:lineRule="auto"/>
        <w:rPr>
          <w:sz w:val="20"/>
          <w:szCs w:val="20"/>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113" w:lineRule="exact"/>
        <w:rPr>
          <w:sz w:val="20"/>
          <w:szCs w:val="20"/>
          <w:color w:val="auto"/>
        </w:rPr>
      </w:pPr>
    </w:p>
    <w:p>
      <w:pPr>
        <w:ind w:right="600" w:firstLine="576"/>
        <w:spacing w:after="0" w:line="250"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5" w:name="page56"/>
    <w:bookmarkEnd w:id="55"/>
    <w:p>
      <w:pPr>
        <w:ind w:right="140" w:firstLine="576"/>
        <w:spacing w:after="0" w:line="247" w:lineRule="auto"/>
        <w:rPr>
          <w:sz w:val="20"/>
          <w:szCs w:val="20"/>
          <w:color w:val="auto"/>
        </w:rPr>
      </w:pPr>
      <w:r>
        <w:rPr>
          <w:rFonts w:ascii="Times New Roman" w:cs="Times New Roman" w:eastAsia="Times New Roman" w:hAnsi="Times New Roman"/>
          <w:sz w:val="18"/>
          <w:szCs w:val="18"/>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80"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25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81" w:lineRule="exact"/>
        <w:rPr>
          <w:sz w:val="20"/>
          <w:szCs w:val="20"/>
          <w:color w:val="auto"/>
        </w:rPr>
      </w:pPr>
    </w:p>
    <w:p>
      <w:pPr>
        <w:ind w:right="40" w:firstLine="576"/>
        <w:spacing w:after="0" w:line="257" w:lineRule="auto"/>
        <w:rPr>
          <w:sz w:val="20"/>
          <w:szCs w:val="20"/>
          <w:color w:val="auto"/>
        </w:rPr>
      </w:pPr>
      <w:r>
        <w:rPr>
          <w:rFonts w:ascii="Times New Roman" w:cs="Times New Roman" w:eastAsia="Times New Roman" w:hAnsi="Times New Roman"/>
          <w:sz w:val="17"/>
          <w:szCs w:val="17"/>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to manufacture our preclinical and clinical products and we exercise limited direct control over this manufacturer (and it would be time consuming and expensive to move production to a new manufacturer, if we were able to do so at all). This reliance on third parties increases the risk that we will not have sufficient quantities of our product candidates or products or such quantities at an acceptable cost or quality, which could delay, prevent or impair our development or</w:t>
      </w:r>
    </w:p>
    <w:p>
      <w:pPr>
        <w:spacing w:after="0" w:line="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commercialization efforts. For example, we rely on a limited number of CROs to perform certain chemistry-related work on our preclinical product candidates. One such CRO is located in Ukraine, which was invaded by Russia in February 2022 and, as a result, their work on our behalf of was interrupted. Another CRO, with operations in Shanghai, was impacted when lock-down procedures were recently implemented due to COVID-19 and was unable to operate at full capacity. Events such as those in Ukraine and China may delay development of our future product candidates, and such delay may materially impact the timing for moving products into development candidate stage and IND-enabling studies, as well as initiating trials.</w:t>
      </w:r>
    </w:p>
    <w:p>
      <w:pPr>
        <w:spacing w:after="0" w:line="14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201" w:lineRule="exact"/>
        <w:rPr>
          <w:sz w:val="20"/>
          <w:szCs w:val="20"/>
          <w:color w:val="auto"/>
        </w:rPr>
      </w:pPr>
    </w:p>
    <w:p>
      <w:pPr>
        <w:ind w:right="20" w:firstLine="576"/>
        <w:spacing w:after="0" w:line="257" w:lineRule="auto"/>
        <w:rPr>
          <w:sz w:val="20"/>
          <w:szCs w:val="20"/>
          <w:color w:val="auto"/>
        </w:rPr>
      </w:pPr>
      <w:r>
        <w:rPr>
          <w:rFonts w:ascii="Times New Roman" w:cs="Times New Roman" w:eastAsia="Times New Roman" w:hAnsi="Times New Roman"/>
          <w:sz w:val="17"/>
          <w:szCs w:val="17"/>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our prior clinical supply used in our clinical trials and that of any new manufacturer. We may be unsuccessful in demonstrating the comparability of clinical supplies which could require the conduct of additional clinical trials.</w:t>
      </w:r>
    </w:p>
    <w:p>
      <w:pPr>
        <w:spacing w:after="0" w:line="148"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77" w:lineRule="exact"/>
        <w:rPr>
          <w:sz w:val="20"/>
          <w:szCs w:val="20"/>
          <w:color w:val="auto"/>
        </w:rPr>
      </w:pPr>
    </w:p>
    <w:p>
      <w:pPr>
        <w:ind w:right="400" w:firstLine="576"/>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third-party manufacturers or do so on acceptable terms. Reliance on third-party manufacturers entails additional risks, including:</w:t>
      </w:r>
    </w:p>
    <w:p>
      <w:pPr>
        <w:spacing w:after="0" w:line="40" w:lineRule="exact"/>
        <w:rPr>
          <w:sz w:val="20"/>
          <w:szCs w:val="20"/>
          <w:color w:val="auto"/>
        </w:rPr>
      </w:pPr>
    </w:p>
    <w:p>
      <w:pPr>
        <w:ind w:left="700" w:right="5080" w:firstLine="8"/>
        <w:spacing w:after="0" w:line="246" w:lineRule="auto"/>
        <w:rPr>
          <w:sz w:val="20"/>
          <w:szCs w:val="20"/>
          <w:color w:val="auto"/>
        </w:rPr>
      </w:pPr>
      <w:r>
        <w:rPr>
          <w:rFonts w:ascii="Times New Roman" w:cs="Times New Roman" w:eastAsia="Times New Roman" w:hAnsi="Times New Roman"/>
          <w:sz w:val="18"/>
          <w:szCs w:val="18"/>
          <w:color w:val="auto"/>
        </w:rPr>
        <w:t>reliance on the third party for regulatory compliance and quality assurance; the possible breach of the manufacturing agreement by the third party;</w:t>
      </w:r>
    </w:p>
    <w:p>
      <w:pPr>
        <w:ind w:left="480"/>
        <w:spacing w:after="0"/>
        <w:rPr>
          <w:sz w:val="20"/>
          <w:szCs w:val="20"/>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93"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15" w:lineRule="exact"/>
        <w:rPr>
          <w:sz w:val="20"/>
          <w:szCs w:val="20"/>
          <w:color w:val="auto"/>
        </w:rPr>
      </w:pPr>
    </w:p>
    <w:p>
      <w:pPr>
        <w:ind w:right="20" w:firstLine="621"/>
        <w:spacing w:after="0" w:line="258"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69" w:lineRule="exact"/>
        <w:rPr>
          <w:sz w:val="20"/>
          <w:szCs w:val="20"/>
          <w:color w:val="auto"/>
        </w:rPr>
      </w:pPr>
    </w:p>
    <w:p>
      <w:pPr>
        <w:ind w:right="380" w:firstLine="576"/>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28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50" w:lineRule="exact"/>
        <w:rPr>
          <w:sz w:val="20"/>
          <w:szCs w:val="20"/>
          <w:color w:val="auto"/>
        </w:rPr>
      </w:pPr>
    </w:p>
    <w:p>
      <w:pPr>
        <w:ind w:right="60" w:firstLine="576"/>
        <w:spacing w:after="0" w:line="244" w:lineRule="auto"/>
        <w:rPr>
          <w:sz w:val="20"/>
          <w:szCs w:val="20"/>
          <w:color w:val="auto"/>
        </w:rPr>
      </w:pPr>
      <w:r>
        <w:rPr>
          <w:rFonts w:ascii="Times New Roman" w:cs="Times New Roman" w:eastAsia="Times New Roman" w:hAnsi="Times New Roman"/>
          <w:sz w:val="18"/>
          <w:szCs w:val="18"/>
          <w:color w:val="auto"/>
        </w:rPr>
        <w:t>The active pharmaceutical ingredients, or API, and drug product we expect to use in all of our product candidates are supplied to us from single-source suppliers. In some cases, both the API and drug product are manufactured and supplied by the same single-source (as is the case with respect to the supply of TNG908 for use in our Phase 1/2 clinical trial). Our ability to successfully develop our product candidates, and to ultimately supply our commercial products in quantities sufficient to meet the market demand (and to meet requirements in connection with our planned clinical trials), depends in part on our ability to obtain the API and drug product for these products in accordance with regulatory requirements and in sufficient quantities for clinical testing and commercialization. We are also unable to predict how changing global economic conditions or global health concerns such as the ongoing COVID-19 pandemic, as well as potential supply chain disruptions or cost increases related thereto, will affect our third-party suppliers and manufacturers. Any negative impact of such matters on our third-party suppliers and manufacturers may also have an adverse impact on our results of operations or financial condition.</w:t>
      </w:r>
    </w:p>
    <w:p>
      <w:pPr>
        <w:spacing w:after="0" w:line="185" w:lineRule="exact"/>
        <w:rPr>
          <w:sz w:val="20"/>
          <w:szCs w:val="20"/>
          <w:color w:val="auto"/>
        </w:rPr>
      </w:pPr>
    </w:p>
    <w:p>
      <w:pPr>
        <w:ind w:right="320" w:firstLine="576"/>
        <w:spacing w:after="0" w:line="247"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0" w:lineRule="exact"/>
        <w:rPr>
          <w:sz w:val="20"/>
          <w:szCs w:val="20"/>
          <w:color w:val="auto"/>
        </w:rPr>
      </w:pPr>
    </w:p>
    <w:p>
      <w:pPr>
        <w:ind w:firstLine="576"/>
        <w:spacing w:after="0" w:line="270" w:lineRule="auto"/>
        <w:rPr>
          <w:sz w:val="20"/>
          <w:szCs w:val="20"/>
          <w:color w:val="auto"/>
        </w:rPr>
      </w:pPr>
      <w:r>
        <w:rPr>
          <w:rFonts w:ascii="Times New Roman" w:cs="Times New Roman" w:eastAsia="Times New Roman" w:hAnsi="Times New Roman"/>
          <w:sz w:val="17"/>
          <w:szCs w:val="17"/>
          <w:color w:val="auto"/>
        </w:rPr>
        <w:t>Establishing additional or replacement suppliers for the API and drug product used in our product candidates,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7" w:name="page58"/>
    <w:bookmarkEnd w:id="57"/>
    <w:p>
      <w:pPr>
        <w:ind w:right="40"/>
        <w:spacing w:after="0" w:line="282" w:lineRule="auto"/>
        <w:rPr>
          <w:sz w:val="20"/>
          <w:szCs w:val="20"/>
          <w:color w:val="auto"/>
        </w:rPr>
      </w:pPr>
      <w:r>
        <w:rPr>
          <w:rFonts w:ascii="Times New Roman" w:cs="Times New Roman" w:eastAsia="Times New Roman" w:hAnsi="Times New Roman"/>
          <w:sz w:val="18"/>
          <w:szCs w:val="18"/>
          <w:color w:val="auto"/>
        </w:rPr>
        <w:t>at acceptable prices in a timely manner could impede, delay, limit or prevent our development efforts, which could harm our business, results of operations, financial condition and prospects.</w:t>
      </w:r>
    </w:p>
    <w:p>
      <w:pPr>
        <w:spacing w:after="0" w:line="252"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3" w:lineRule="exact"/>
        <w:rPr>
          <w:sz w:val="20"/>
          <w:szCs w:val="20"/>
          <w:color w:val="auto"/>
        </w:rPr>
      </w:pPr>
    </w:p>
    <w:p>
      <w:pPr>
        <w:ind w:right="200" w:firstLine="576"/>
        <w:spacing w:after="0" w:line="250"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90" w:lineRule="exact"/>
        <w:rPr>
          <w:sz w:val="20"/>
          <w:szCs w:val="20"/>
          <w:color w:val="auto"/>
        </w:rPr>
      </w:pPr>
    </w:p>
    <w:p>
      <w:pPr>
        <w:ind w:right="80" w:firstLine="576"/>
        <w:spacing w:after="0" w:line="24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as well as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7" w:lineRule="exact"/>
        <w:rPr>
          <w:sz w:val="20"/>
          <w:szCs w:val="20"/>
          <w:color w:val="auto"/>
        </w:rPr>
      </w:pPr>
    </w:p>
    <w:p>
      <w:pPr>
        <w:ind w:right="520" w:firstLine="576"/>
        <w:spacing w:after="0" w:line="258" w:lineRule="auto"/>
        <w:rPr>
          <w:sz w:val="20"/>
          <w:szCs w:val="20"/>
          <w:color w:val="auto"/>
        </w:rPr>
      </w:pPr>
      <w:r>
        <w:rPr>
          <w:rFonts w:ascii="Times New Roman" w:cs="Times New Roman" w:eastAsia="Times New Roman" w:hAnsi="Times New Roman"/>
          <w:sz w:val="18"/>
          <w:szCs w:val="18"/>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9"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181"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60"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8" w:name="page59"/>
    <w:bookmarkEnd w:id="58"/>
    <w:p>
      <w:pPr>
        <w:ind w:right="60"/>
        <w:spacing w:after="0" w:line="245" w:lineRule="auto"/>
        <w:rPr>
          <w:sz w:val="20"/>
          <w:szCs w:val="20"/>
          <w:color w:val="auto"/>
        </w:rPr>
      </w:pPr>
      <w:r>
        <w:rPr>
          <w:rFonts w:ascii="Times New Roman" w:cs="Times New Roman" w:eastAsia="Times New Roman" w:hAnsi="Times New Roman"/>
          <w:sz w:val="18"/>
          <w:szCs w:val="18"/>
          <w:color w:val="auto"/>
        </w:rPr>
        <w:t>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 As of the date of the filing of this Quarterly Report on Form 10-Q, we have multiple filed patent applications for our product candidates.</w:t>
      </w:r>
    </w:p>
    <w:p>
      <w:pPr>
        <w:spacing w:after="0" w:line="195"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the intellectual property protections we may obtain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200"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United States. For example,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86"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8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w:t>
      </w:r>
    </w:p>
    <w:p>
      <w:pPr>
        <w:spacing w:after="0" w:line="2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87" w:lineRule="exact"/>
        <w:rPr>
          <w:sz w:val="20"/>
          <w:szCs w:val="20"/>
          <w:color w:val="auto"/>
        </w:rPr>
      </w:pPr>
    </w:p>
    <w:p>
      <w:pPr>
        <w:ind w:right="60" w:firstLine="576"/>
        <w:spacing w:after="0" w:line="250"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United States and abroad. We may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9" w:name="page60"/>
    <w:bookmarkEnd w:id="59"/>
    <w:p>
      <w:pPr>
        <w:ind w:right="140"/>
        <w:spacing w:after="0" w:line="242" w:lineRule="auto"/>
        <w:rPr>
          <w:sz w:val="20"/>
          <w:szCs w:val="20"/>
          <w:color w:val="auto"/>
        </w:rPr>
      </w:pPr>
      <w:r>
        <w:rPr>
          <w:rFonts w:ascii="Times New Roman" w:cs="Times New Roman" w:eastAsia="Times New Roman" w:hAnsi="Times New Roman"/>
          <w:sz w:val="18"/>
          <w:szCs w:val="18"/>
          <w:color w:val="auto"/>
        </w:rPr>
        <w:t xml:space="preserve">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challenging our patent rights or the patent rights of others from whom we license or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204" w:lineRule="exact"/>
        <w:rPr>
          <w:sz w:val="20"/>
          <w:szCs w:val="20"/>
          <w:color w:val="auto"/>
        </w:rPr>
      </w:pPr>
    </w:p>
    <w:p>
      <w:pPr>
        <w:ind w:right="100" w:firstLine="576"/>
        <w:spacing w:after="0" w:line="244"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5" w:lineRule="exact"/>
        <w:rPr>
          <w:sz w:val="20"/>
          <w:szCs w:val="20"/>
          <w:color w:val="auto"/>
        </w:rPr>
      </w:pPr>
    </w:p>
    <w:p>
      <w:pPr>
        <w:ind w:right="280" w:firstLine="576"/>
        <w:spacing w:after="0" w:line="261" w:lineRule="auto"/>
        <w:rPr>
          <w:sz w:val="20"/>
          <w:szCs w:val="20"/>
          <w:color w:val="auto"/>
        </w:rPr>
      </w:pPr>
      <w:r>
        <w:rPr>
          <w:rFonts w:ascii="Times New Roman" w:cs="Times New Roman" w:eastAsia="Times New Roman" w:hAnsi="Times New Roman"/>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2"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Even if they are unchallenged,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the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82" w:lineRule="exact"/>
        <w:rPr>
          <w:sz w:val="20"/>
          <w:szCs w:val="20"/>
          <w:color w:val="auto"/>
        </w:rPr>
      </w:pPr>
    </w:p>
    <w:p>
      <w:pPr>
        <w:ind w:right="300" w:firstLine="576"/>
        <w:spacing w:after="0" w:line="250"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214"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81" w:lineRule="exact"/>
        <w:rPr>
          <w:sz w:val="20"/>
          <w:szCs w:val="20"/>
          <w:color w:val="auto"/>
        </w:rPr>
      </w:pPr>
    </w:p>
    <w:p>
      <w:pPr>
        <w:ind w:right="80" w:firstLine="576"/>
        <w:spacing w:after="0" w:line="242"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60" w:name="page61"/>
    <w:bookmarkEnd w:id="60"/>
    <w:p>
      <w:pPr>
        <w:ind w:right="60"/>
        <w:spacing w:after="0" w:line="282" w:lineRule="auto"/>
        <w:rPr>
          <w:sz w:val="20"/>
          <w:szCs w:val="20"/>
          <w:color w:val="auto"/>
        </w:rPr>
      </w:pPr>
      <w:r>
        <w:rPr>
          <w:rFonts w:ascii="Times New Roman" w:cs="Times New Roman" w:eastAsia="Times New Roman" w:hAnsi="Times New Roman"/>
          <w:sz w:val="18"/>
          <w:szCs w:val="18"/>
          <w:color w:val="auto"/>
        </w:rPr>
        <w:t>such an event, our competitors might be able to enter the market with similar or identical products or platforms, which could have a material adverse effect on our business prospects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08"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Further we have not, and may not, register for trademark protection in every potential jurisdiction where we may conduct business or sell products (if approved). During the trademark registration process, we have in the past received and may in the future receive Office Actions from the USPTO or from comparable agencies in foreign jurisdictions objecting to the registration of our trademark. Although we may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do not seek registered trademarks, or establish name recognition based on our trademarks and trade names, we may not be able to compete effectively and our business may be adversely affected.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08" w:lineRule="exact"/>
        <w:rPr>
          <w:sz w:val="20"/>
          <w:szCs w:val="20"/>
          <w:color w:val="auto"/>
        </w:rPr>
      </w:pPr>
    </w:p>
    <w:p>
      <w:pPr>
        <w:ind w:right="100" w:firstLine="576"/>
        <w:spacing w:after="0" w:line="243"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200"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1" w:name="page62"/>
    <w:bookmarkEnd w:id="61"/>
    <w:p>
      <w:pPr>
        <w:spacing w:after="0" w:line="250" w:lineRule="auto"/>
        <w:rPr>
          <w:sz w:val="20"/>
          <w:szCs w:val="20"/>
          <w:color w:val="auto"/>
        </w:rPr>
      </w:pPr>
      <w:r>
        <w:rPr>
          <w:rFonts w:ascii="Times New Roman" w:cs="Times New Roman" w:eastAsia="Times New Roman" w:hAnsi="Times New Roman"/>
          <w:sz w:val="18"/>
          <w:szCs w:val="18"/>
          <w:color w:val="auto"/>
        </w:rPr>
        <w:t>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or proprietary information to third parties, we will not be able to establish or maintain a competitive advantage in our market, which could materially adversely affect our business, financial condition, results of operations and future prospects.</w:t>
      </w:r>
    </w:p>
    <w:p>
      <w:pPr>
        <w:spacing w:after="0" w:line="110" w:lineRule="exact"/>
        <w:rPr>
          <w:sz w:val="20"/>
          <w:szCs w:val="20"/>
          <w:color w:val="auto"/>
        </w:rPr>
      </w:pPr>
    </w:p>
    <w:p>
      <w:pPr>
        <w:ind w:right="120" w:firstLine="576"/>
        <w:spacing w:after="0" w:line="242"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19"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among other things,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and consultants, the agreements provide that all inventions conceived by the individual, and which are related to our current or planned business or research and development or made during normal working hours (or during the course of performing services in the case of consultants), on our premises or using our equipment or proprietary information, are our exclusive property. Although we require all of our employees and consultants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37"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(and we may not be able to prevent the commercialization of the competitor product).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and may negatively impact our stock price.</w:t>
      </w:r>
    </w:p>
    <w:p>
      <w:pPr>
        <w:spacing w:after="0" w:line="122"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2" w:name="page63"/>
    <w:bookmarkEnd w:id="62"/>
    <w:p>
      <w:pPr>
        <w:spacing w:after="0" w:line="243" w:lineRule="auto"/>
        <w:rPr>
          <w:sz w:val="20"/>
          <w:szCs w:val="20"/>
          <w:color w:val="auto"/>
        </w:rPr>
      </w:pPr>
      <w:r>
        <w:rPr>
          <w:rFonts w:ascii="Times New Roman" w:cs="Times New Roman" w:eastAsia="Times New Roman" w:hAnsi="Times New Roman"/>
          <w:sz w:val="18"/>
          <w:szCs w:val="18"/>
          <w:color w:val="auto"/>
        </w:rPr>
        <w:t>current patent applications)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w:t>
      </w:r>
    </w:p>
    <w:p>
      <w:pPr>
        <w:spacing w:after="0" w:line="119" w:lineRule="exact"/>
        <w:rPr>
          <w:sz w:val="20"/>
          <w:szCs w:val="20"/>
          <w:color w:val="auto"/>
        </w:rPr>
      </w:pPr>
    </w:p>
    <w:p>
      <w:pPr>
        <w:ind w:right="60" w:firstLine="576"/>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0" w:lineRule="exact"/>
        <w:rPr>
          <w:sz w:val="20"/>
          <w:szCs w:val="20"/>
          <w:color w:val="auto"/>
        </w:rPr>
      </w:pPr>
    </w:p>
    <w:p>
      <w:pPr>
        <w:ind w:right="80" w:firstLine="576"/>
        <w:spacing w:after="0" w:line="246"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9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0"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initiate and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30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3"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3" w:name="page64"/>
    <w:bookmarkEnd w:id="63"/>
    <w:p>
      <w:pPr>
        <w:ind w:right="20"/>
        <w:spacing w:after="0" w:line="244" w:lineRule="auto"/>
        <w:rPr>
          <w:sz w:val="20"/>
          <w:szCs w:val="20"/>
          <w:color w:val="auto"/>
        </w:rPr>
      </w:pPr>
      <w:r>
        <w:rPr>
          <w:rFonts w:ascii="Times New Roman" w:cs="Times New Roman" w:eastAsia="Times New Roman" w:hAnsi="Times New Roman"/>
          <w:sz w:val="18"/>
          <w:szCs w:val="18"/>
          <w:color w:val="auto"/>
        </w:rPr>
        <w:t>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85"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If such actions are successful, the third party may be able to, among other things, prevent launch of a product (which may happen only after the significant expense of development and clinical trials).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202" w:lineRule="exact"/>
        <w:rPr>
          <w:sz w:val="20"/>
          <w:szCs w:val="20"/>
          <w:color w:val="auto"/>
        </w:rPr>
      </w:pPr>
    </w:p>
    <w:p>
      <w:pPr>
        <w:ind w:right="640" w:firstLine="576"/>
        <w:spacing w:after="0" w:line="266"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right="140" w:firstLine="230"/>
        <w:spacing w:after="0" w:line="254" w:lineRule="auto"/>
        <w:rPr>
          <w:sz w:val="20"/>
          <w:szCs w:val="20"/>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ind w:right="220" w:firstLine="230"/>
        <w:spacing w:after="0" w:line="239" w:lineRule="auto"/>
        <w:rPr>
          <w:sz w:val="20"/>
          <w:szCs w:val="20"/>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ind w:right="580" w:firstLine="230"/>
        <w:spacing w:after="0"/>
        <w:rPr>
          <w:sz w:val="20"/>
          <w:szCs w:val="20"/>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w:t>
      </w:r>
    </w:p>
    <w:p>
      <w:pPr>
        <w:ind w:right="500" w:firstLine="230"/>
        <w:spacing w:after="0"/>
        <w:rPr>
          <w:sz w:val="20"/>
          <w:szCs w:val="20"/>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ind w:right="420" w:firstLine="230"/>
        <w:spacing w:after="0" w:line="235" w:lineRule="auto"/>
        <w:rPr>
          <w:sz w:val="20"/>
          <w:szCs w:val="20"/>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1" w:lineRule="exact"/>
        <w:rPr>
          <w:sz w:val="20"/>
          <w:szCs w:val="20"/>
          <w:color w:val="auto"/>
        </w:rPr>
      </w:pPr>
    </w:p>
    <w:p>
      <w:pPr>
        <w:ind w:firstLine="230"/>
        <w:spacing w:after="0" w:line="244" w:lineRule="auto"/>
        <w:rPr>
          <w:sz w:val="20"/>
          <w:szCs w:val="20"/>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0"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4" w:name="page65"/>
    <w:bookmarkEnd w:id="64"/>
    <w:p>
      <w:pPr>
        <w:ind w:firstLine="576"/>
        <w:spacing w:after="0" w:line="24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United States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196"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launch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290"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65" w:name="page66"/>
    <w:bookmarkEnd w:id="65"/>
    <w:p>
      <w:pPr>
        <w:ind w:right="160"/>
        <w:spacing w:after="0" w:line="258" w:lineRule="auto"/>
        <w:rPr>
          <w:sz w:val="20"/>
          <w:szCs w:val="20"/>
          <w:color w:val="auto"/>
        </w:rPr>
      </w:pPr>
      <w:r>
        <w:rPr>
          <w:rFonts w:ascii="Times New Roman" w:cs="Times New Roman" w:eastAsia="Times New Roman" w:hAnsi="Times New Roman"/>
          <w:sz w:val="18"/>
          <w:szCs w:val="18"/>
          <w:color w:val="auto"/>
        </w:rPr>
        <w:t>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69"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ind w:right="100" w:firstLine="576"/>
        <w:spacing w:after="0" w:line="24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9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50" w:lineRule="exact"/>
        <w:rPr>
          <w:sz w:val="20"/>
          <w:szCs w:val="20"/>
          <w:color w:val="auto"/>
        </w:rPr>
      </w:pPr>
    </w:p>
    <w:p>
      <w:pPr>
        <w:ind w:right="80" w:firstLine="576"/>
        <w:spacing w:after="0" w:line="242"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Like many companies in the biopharmaceutical industry we have, and may in the future, receive offers to license or acquire certain technologies or intellectual property rights from third parties in connection with the manufacturing and/or commercializing product candidates.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301"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0"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8"/>
          <w:szCs w:val="18"/>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6" w:name="page67"/>
    <w:bookmarkEnd w:id="66"/>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7" w:lineRule="exact"/>
        <w:rPr>
          <w:sz w:val="20"/>
          <w:szCs w:val="20"/>
          <w:color w:val="auto"/>
        </w:rPr>
      </w:pPr>
    </w:p>
    <w:p>
      <w:pPr>
        <w:ind w:right="240" w:firstLine="230"/>
        <w:spacing w:after="0" w:line="235" w:lineRule="auto"/>
        <w:rPr>
          <w:sz w:val="20"/>
          <w:szCs w:val="20"/>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ind w:firstLine="230"/>
        <w:spacing w:after="0" w:line="242" w:lineRule="auto"/>
        <w:rPr>
          <w:sz w:val="20"/>
          <w:szCs w:val="20"/>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priority of invention of any patented technology; and</w:t>
      </w:r>
    </w:p>
    <w:p>
      <w:pPr>
        <w:ind w:right="600" w:firstLine="230"/>
        <w:spacing w:after="0" w:line="258" w:lineRule="auto"/>
        <w:rPr>
          <w:sz w:val="20"/>
          <w:szCs w:val="20"/>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future licensors and us and our partners.</w:t>
      </w:r>
    </w:p>
    <w:p>
      <w:pPr>
        <w:spacing w:after="0" w:line="115" w:lineRule="exact"/>
        <w:rPr>
          <w:sz w:val="20"/>
          <w:szCs w:val="20"/>
          <w:color w:val="auto"/>
        </w:rPr>
      </w:pPr>
    </w:p>
    <w:p>
      <w:pPr>
        <w:ind w:right="20" w:firstLine="584"/>
        <w:spacing w:after="0" w:line="24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31"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66"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8"/>
          <w:szCs w:val="18"/>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post grant review and equivalent proceedings in foreign jurisdictions (such as opposition proceedings). Such proceedings could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7" w:name="page68"/>
    <w:bookmarkEnd w:id="67"/>
    <w:p>
      <w:pPr>
        <w:ind w:right="120"/>
        <w:spacing w:after="0" w:line="250" w:lineRule="auto"/>
        <w:rPr>
          <w:sz w:val="20"/>
          <w:szCs w:val="20"/>
          <w:color w:val="auto"/>
        </w:rPr>
      </w:pPr>
      <w:r>
        <w:rPr>
          <w:rFonts w:ascii="Times New Roman" w:cs="Times New Roman" w:eastAsia="Times New Roman" w:hAnsi="Times New Roman"/>
          <w:sz w:val="18"/>
          <w:szCs w:val="18"/>
          <w:color w:val="auto"/>
        </w:rPr>
        <w:t>example, we cannot be certain that there is no invalidating prior art, of which we or our current and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164"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08"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An adverse determination in any such submission or proceeding could reduce the scope or enforceability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22" w:lineRule="exact"/>
        <w:rPr>
          <w:sz w:val="20"/>
          <w:szCs w:val="20"/>
          <w:color w:val="auto"/>
        </w:rPr>
      </w:pPr>
    </w:p>
    <w:p>
      <w:pPr>
        <w:jc w:val="both"/>
        <w:ind w:right="100" w:firstLine="576"/>
        <w:spacing w:after="0" w:line="250" w:lineRule="auto"/>
        <w:rPr>
          <w:sz w:val="20"/>
          <w:szCs w:val="20"/>
          <w:color w:val="auto"/>
        </w:rPr>
      </w:pPr>
      <w:r>
        <w:rPr>
          <w:rFonts w:ascii="Times New Roman" w:cs="Times New Roman" w:eastAsia="Times New Roman" w:hAnsi="Times New Roman"/>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109" w:lineRule="exact"/>
        <w:rPr>
          <w:sz w:val="20"/>
          <w:szCs w:val="20"/>
          <w:color w:val="auto"/>
        </w:rPr>
      </w:pPr>
    </w:p>
    <w:p>
      <w:pPr>
        <w:ind w:right="200" w:firstLine="576"/>
        <w:spacing w:after="0" w:line="247"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37"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8" w:name="page69"/>
    <w:bookmarkEnd w:id="68"/>
    <w:p>
      <w:pPr>
        <w:ind w:right="80"/>
        <w:spacing w:after="0" w:line="258" w:lineRule="auto"/>
        <w:rPr>
          <w:sz w:val="20"/>
          <w:szCs w:val="20"/>
          <w:color w:val="auto"/>
        </w:rPr>
      </w:pPr>
      <w:r>
        <w:rPr>
          <w:rFonts w:ascii="Times New Roman" w:cs="Times New Roman" w:eastAsia="Times New Roman" w:hAnsi="Times New Roman"/>
          <w:sz w:val="17"/>
          <w:szCs w:val="17"/>
          <w:color w:val="auto"/>
        </w:rPr>
        <w:t>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05" w:lineRule="exact"/>
        <w:rPr>
          <w:sz w:val="20"/>
          <w:szCs w:val="20"/>
          <w:color w:val="auto"/>
        </w:rPr>
      </w:pPr>
    </w:p>
    <w:p>
      <w:pPr>
        <w:ind w:right="60" w:firstLine="576"/>
        <w:spacing w:after="0" w:line="247"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3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37"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challenged and held invalid or unenforceable;</w:t>
      </w:r>
    </w:p>
    <w:p>
      <w:pPr>
        <w:jc w:val="both"/>
        <w:ind w:right="280" w:firstLine="230"/>
        <w:spacing w:after="0"/>
        <w:rPr>
          <w:sz w:val="20"/>
          <w:szCs w:val="20"/>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234" w:lineRule="auto"/>
        <w:rPr>
          <w:sz w:val="20"/>
          <w:szCs w:val="20"/>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ind w:right="80" w:firstLine="230"/>
        <w:spacing w:after="0" w:line="242"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ind w:right="600" w:firstLine="230"/>
        <w:spacing w:after="0" w:line="242" w:lineRule="auto"/>
        <w:rPr>
          <w:sz w:val="20"/>
          <w:szCs w:val="20"/>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1" w:lineRule="exact"/>
        <w:rPr>
          <w:sz w:val="20"/>
          <w:szCs w:val="20"/>
          <w:color w:val="auto"/>
        </w:rPr>
      </w:pPr>
    </w:p>
    <w:p>
      <w:pPr>
        <w:jc w:val="both"/>
        <w:ind w:right="520" w:firstLine="230"/>
        <w:spacing w:after="0"/>
        <w:rPr>
          <w:sz w:val="20"/>
          <w:szCs w:val="20"/>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234" w:lineRule="auto"/>
        <w:rPr>
          <w:sz w:val="20"/>
          <w:szCs w:val="20"/>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ind w:right="300" w:firstLine="230"/>
        <w:spacing w:after="0" w:line="241" w:lineRule="auto"/>
        <w:rPr>
          <w:sz w:val="20"/>
          <w:szCs w:val="20"/>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 w:lineRule="exact"/>
        <w:rPr>
          <w:sz w:val="20"/>
          <w:szCs w:val="20"/>
          <w:color w:val="auto"/>
        </w:rPr>
      </w:pPr>
    </w:p>
    <w:p>
      <w:pPr>
        <w:ind w:right="40" w:firstLine="230"/>
        <w:spacing w:after="0" w:line="235" w:lineRule="auto"/>
        <w:rPr>
          <w:sz w:val="20"/>
          <w:szCs w:val="20"/>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1" w:lineRule="exact"/>
        <w:rPr>
          <w:sz w:val="20"/>
          <w:szCs w:val="20"/>
          <w:color w:val="auto"/>
        </w:rPr>
      </w:pPr>
    </w:p>
    <w:p>
      <w:pPr>
        <w:ind w:left="240" w:right="3560"/>
        <w:spacing w:after="0" w:line="242" w:lineRule="auto"/>
        <w:rPr>
          <w:sz w:val="20"/>
          <w:szCs w:val="20"/>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 we may not develop or in-license additional proprietary technologies that are patentable;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12"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20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30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0"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date of filing,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304"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0"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 In the third quarter of 2022, the FDA granted Orphan Drug Designation to TNG908 for the treatment of malignant peripheral nerve sheath tumors (MPNST).</w:t>
      </w:r>
    </w:p>
    <w:p>
      <w:pPr>
        <w:spacing w:after="0" w:line="179"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Similarly, in Europe, the European Commission, upon the recommendation of the EMA’s Committee for Orphan Medicinal Products, grants orphan drug designation to promote the development of drugs that are intended for the diagnosis,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0" w:name="page71"/>
    <w:bookmarkEnd w:id="70"/>
    <w:p>
      <w:pPr>
        <w:ind w:right="100"/>
        <w:spacing w:after="0" w:line="250" w:lineRule="auto"/>
        <w:rPr>
          <w:sz w:val="20"/>
          <w:szCs w:val="20"/>
          <w:color w:val="auto"/>
        </w:rPr>
      </w:pPr>
      <w:r>
        <w:rPr>
          <w:rFonts w:ascii="Times New Roman" w:cs="Times New Roman" w:eastAsia="Times New Roman" w:hAnsi="Times New Roman"/>
          <w:sz w:val="18"/>
          <w:szCs w:val="18"/>
          <w:color w:val="auto"/>
        </w:rPr>
        <w:t>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77" w:lineRule="exact"/>
        <w:rPr>
          <w:sz w:val="20"/>
          <w:szCs w:val="20"/>
          <w:color w:val="auto"/>
        </w:rPr>
      </w:pPr>
    </w:p>
    <w:p>
      <w:pPr>
        <w:ind w:right="160" w:firstLine="576"/>
        <w:spacing w:after="0" w:line="246"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exclusivity period in the European Union can be reduced to six years if a product no longer meets the criteria for orphan drug designation or if the product is sufficiently profitable so that market exclusivity is no longer justified.</w:t>
      </w:r>
    </w:p>
    <w:p>
      <w:pPr>
        <w:spacing w:after="0" w:line="181"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23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89" w:lineRule="exact"/>
        <w:rPr>
          <w:sz w:val="20"/>
          <w:szCs w:val="20"/>
          <w:color w:val="auto"/>
        </w:rPr>
      </w:pPr>
    </w:p>
    <w:p>
      <w:pPr>
        <w:ind w:right="40" w:firstLine="576"/>
        <w:spacing w:after="0" w:line="244" w:lineRule="auto"/>
        <w:rPr>
          <w:sz w:val="20"/>
          <w:szCs w:val="20"/>
          <w:color w:val="auto"/>
        </w:rPr>
      </w:pPr>
      <w:r>
        <w:rPr>
          <w:rFonts w:ascii="Times New Roman" w:cs="Times New Roman" w:eastAsia="Times New Roman" w:hAnsi="Times New Roman"/>
          <w:sz w:val="18"/>
          <w:szCs w:val="18"/>
          <w:color w:val="auto"/>
        </w:rPr>
        <w:t>We may also seek fast track designation for some of our product candidates and, in the case of TNG908, we were granted fast track designation by the FDA in the first quarter of 2022. 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1" w:name="page72"/>
    <w:bookmarkEnd w:id="71"/>
    <w:p>
      <w:pPr>
        <w:ind w:right="540"/>
        <w:spacing w:after="0" w:line="282" w:lineRule="auto"/>
        <w:rPr>
          <w:sz w:val="20"/>
          <w:szCs w:val="20"/>
          <w:color w:val="auto"/>
        </w:rPr>
      </w:pPr>
      <w:r>
        <w:rPr>
          <w:rFonts w:ascii="Times New Roman" w:cs="Times New Roman" w:eastAsia="Times New Roman" w:hAnsi="Times New Roman"/>
          <w:sz w:val="18"/>
          <w:szCs w:val="18"/>
          <w:color w:val="auto"/>
        </w:rPr>
        <w:t>believes that the designation is no longer supported by data from our clinical development program. Fast track designation alone does not guarantee qualification for the FDA’s priority review procedures.</w:t>
      </w:r>
    </w:p>
    <w:p>
      <w:pPr>
        <w:spacing w:after="0" w:line="17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60"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5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0"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7"/>
          <w:szCs w:val="17"/>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2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government agencies or the EMA or comparable foreign regulatory authorities,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6" w:lineRule="exact"/>
        <w:rPr>
          <w:sz w:val="20"/>
          <w:szCs w:val="20"/>
          <w:color w:val="auto"/>
        </w:rPr>
      </w:pPr>
    </w:p>
    <w:p>
      <w:pPr>
        <w:ind w:right="100" w:firstLine="576"/>
        <w:spacing w:after="0" w:line="250" w:lineRule="auto"/>
        <w:rPr>
          <w:sz w:val="20"/>
          <w:szCs w:val="20"/>
          <w:color w:val="auto"/>
        </w:rPr>
      </w:pPr>
      <w:r>
        <w:rPr>
          <w:rFonts w:ascii="Times New Roman" w:cs="Times New Roman" w:eastAsia="Times New Roman" w:hAnsi="Times New Roman"/>
          <w:sz w:val="18"/>
          <w:szCs w:val="18"/>
          <w:color w:val="auto"/>
        </w:rPr>
        <w:t>The ability of the FDA, the EMA or comparable foreign regulatory authorities to review and approve new products can be affected by a variety of factors, including government budget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23"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Disruptions at the FDA, the EMA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72" w:name="page73"/>
    <w:bookmarkEnd w:id="72"/>
    <w:p>
      <w:pPr>
        <w:ind w:right="120"/>
        <w:spacing w:after="0" w:line="250" w:lineRule="auto"/>
        <w:rPr>
          <w:sz w:val="20"/>
          <w:szCs w:val="20"/>
          <w:color w:val="auto"/>
        </w:rPr>
      </w:pPr>
      <w:r>
        <w:rPr>
          <w:rFonts w:ascii="Times New Roman" w:cs="Times New Roman" w:eastAsia="Times New Roman" w:hAnsi="Times New Roman"/>
          <w:sz w:val="18"/>
          <w:szCs w:val="18"/>
          <w:color w:val="auto"/>
        </w:rPr>
        <w:t>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1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Separately, since March 2020 when foreign and domestic inspections were largely placed on hold due to the COVID-19 pandemic,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w:t>
      </w:r>
    </w:p>
    <w:p>
      <w:pPr>
        <w:spacing w:after="0" w:line="120" w:lineRule="exact"/>
        <w:rPr>
          <w:sz w:val="20"/>
          <w:szCs w:val="20"/>
          <w:color w:val="auto"/>
        </w:rPr>
      </w:pPr>
    </w:p>
    <w:p>
      <w:pPr>
        <w:ind w:right="580" w:firstLine="576"/>
        <w:spacing w:after="0" w:line="282" w:lineRule="auto"/>
        <w:rPr>
          <w:sz w:val="20"/>
          <w:szCs w:val="20"/>
          <w:color w:val="auto"/>
        </w:rPr>
      </w:pPr>
      <w:r>
        <w:rPr>
          <w:rFonts w:ascii="Times New Roman" w:cs="Times New Roman" w:eastAsia="Times New Roman" w:hAnsi="Times New Roman"/>
          <w:sz w:val="18"/>
          <w:szCs w:val="18"/>
          <w:color w:val="auto"/>
        </w:rPr>
        <w:t>In 2020 and in 2021, a number of companies announced receipt of complete response letters due to the FDA’s inability to complete required inspections for their applications.</w:t>
      </w:r>
    </w:p>
    <w:p>
      <w:pPr>
        <w:spacing w:after="0" w:line="81" w:lineRule="exact"/>
        <w:rPr>
          <w:sz w:val="20"/>
          <w:szCs w:val="20"/>
          <w:color w:val="auto"/>
        </w:rPr>
      </w:pPr>
    </w:p>
    <w:p>
      <w:pPr>
        <w:ind w:right="20" w:firstLine="576"/>
        <w:spacing w:after="0" w:line="244" w:lineRule="auto"/>
        <w:rPr>
          <w:sz w:val="20"/>
          <w:szCs w:val="20"/>
          <w:color w:val="auto"/>
        </w:rPr>
      </w:pPr>
      <w:r>
        <w:rPr>
          <w:rFonts w:ascii="Times New Roman" w:cs="Times New Roman" w:eastAsia="Times New Roman" w:hAnsi="Times New Roman"/>
          <w:sz w:val="18"/>
          <w:szCs w:val="18"/>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and other regulatory authorities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08" w:lineRule="exact"/>
        <w:rPr>
          <w:sz w:val="20"/>
          <w:szCs w:val="20"/>
          <w:color w:val="auto"/>
        </w:rPr>
      </w:pPr>
    </w:p>
    <w:p>
      <w:pPr>
        <w:ind w:right="160" w:firstLine="576"/>
        <w:spacing w:after="0" w:line="24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and statutes could impact our business in the future by requiring, for example: (i) changes to our manufacturing arrangements; (ii) additions or modifications to product labeling (if, and when, a product is approved for sale);</w:t>
      </w:r>
    </w:p>
    <w:p>
      <w:pPr>
        <w:spacing w:after="0" w:line="1" w:lineRule="exact"/>
        <w:rPr>
          <w:sz w:val="20"/>
          <w:szCs w:val="20"/>
          <w:color w:val="auto"/>
        </w:rPr>
      </w:pPr>
    </w:p>
    <w:p>
      <w:pPr>
        <w:ind w:right="160" w:firstLine="8"/>
        <w:spacing w:after="0" w:line="242"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recall or discontinuation of our products (if any products are approved by applicable regulatory authorities); or (iv) additional record-keeping requirements. If any such changes were to be imposed, they could adversely affect the operation of our business. For additional information, see section entitled “</w:t>
      </w:r>
      <w:r>
        <w:rPr>
          <w:rFonts w:ascii="Times New Roman" w:cs="Times New Roman" w:eastAsia="Times New Roman" w:hAnsi="Times New Roman"/>
          <w:sz w:val="18"/>
          <w:szCs w:val="18"/>
          <w:i w:val="1"/>
          <w:iCs w:val="1"/>
          <w:color w:val="auto"/>
        </w:rPr>
        <w:t>Business – Current and future healthcare reform legislation</w:t>
      </w:r>
      <w:r>
        <w:rPr>
          <w:rFonts w:ascii="Times New Roman" w:cs="Times New Roman" w:eastAsia="Times New Roman" w:hAnsi="Times New Roman"/>
          <w:sz w:val="18"/>
          <w:szCs w:val="18"/>
          <w:color w:val="auto"/>
        </w:rPr>
        <w:t>” as set forth in the Annual Report on Form 10-K for the fiscal year ended December 31, 2021.</w:t>
      </w:r>
    </w:p>
    <w:p>
      <w:pPr>
        <w:spacing w:after="0" w:line="198" w:lineRule="exact"/>
        <w:rPr>
          <w:sz w:val="20"/>
          <w:szCs w:val="20"/>
          <w:color w:val="auto"/>
        </w:rPr>
      </w:pPr>
    </w:p>
    <w:p>
      <w:pPr>
        <w:ind w:right="60" w:firstLine="584"/>
        <w:spacing w:after="0" w:line="242"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Patient Protection and Affordable Care Act, as amended by the Health Care and Education Reconciliation Act of 2010, or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201" w:lineRule="exact"/>
        <w:rPr>
          <w:sz w:val="20"/>
          <w:szCs w:val="20"/>
          <w:color w:val="auto"/>
        </w:rPr>
      </w:pPr>
    </w:p>
    <w:p>
      <w:pPr>
        <w:ind w:right="180" w:firstLine="576"/>
        <w:spacing w:after="0" w:line="244" w:lineRule="auto"/>
        <w:rPr>
          <w:sz w:val="20"/>
          <w:szCs w:val="20"/>
          <w:color w:val="auto"/>
        </w:rPr>
      </w:pPr>
      <w:r>
        <w:rPr>
          <w:rFonts w:ascii="Times New Roman" w:cs="Times New Roman" w:eastAsia="Times New Roman" w:hAnsi="Times New Roman"/>
          <w:sz w:val="18"/>
          <w:szCs w:val="18"/>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may not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3" w:name="page74"/>
    <w:bookmarkEnd w:id="73"/>
    <w:p>
      <w:pPr>
        <w:ind w:firstLine="576"/>
        <w:spacing w:after="0" w:line="244" w:lineRule="auto"/>
        <w:rPr>
          <w:sz w:val="20"/>
          <w:szCs w:val="20"/>
          <w:color w:val="auto"/>
        </w:rPr>
      </w:pPr>
      <w:r>
        <w:rPr>
          <w:rFonts w:ascii="Times New Roman" w:cs="Times New Roman" w:eastAsia="Times New Roman" w:hAnsi="Times New Roman"/>
          <w:sz w:val="18"/>
          <w:szCs w:val="18"/>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85"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90"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7"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8"/>
          <w:szCs w:val="18"/>
          <w:color w:val="auto"/>
        </w:rPr>
        <w:t>These laws, and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299"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81"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section entitled “</w:t>
      </w:r>
      <w:r>
        <w:rPr>
          <w:rFonts w:ascii="Times New Roman" w:cs="Times New Roman" w:eastAsia="Times New Roman" w:hAnsi="Times New Roman"/>
          <w:sz w:val="18"/>
          <w:szCs w:val="18"/>
          <w:i w:val="1"/>
          <w:iCs w:val="1"/>
          <w:color w:val="auto"/>
        </w:rPr>
        <w:t>Business –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healthcare laws" </w:t>
      </w:r>
      <w:r>
        <w:rPr>
          <w:rFonts w:ascii="Times New Roman" w:cs="Times New Roman" w:eastAsia="Times New Roman" w:hAnsi="Times New Roman"/>
          <w:sz w:val="18"/>
          <w:szCs w:val="18"/>
          <w:color w:val="auto"/>
        </w:rPr>
        <w:t>as set forth in the Annual Report on Form 10-K for the fiscal year ended December 31, 2021.</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4" w:name="page75"/>
    <w:bookmarkEnd w:id="74"/>
    <w:p>
      <w:pPr>
        <w:ind w:firstLine="576"/>
        <w:spacing w:after="0" w:line="24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30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0"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0"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9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87" w:lineRule="exact"/>
        <w:rPr>
          <w:sz w:val="20"/>
          <w:szCs w:val="20"/>
          <w:color w:val="auto"/>
        </w:rPr>
      </w:pPr>
    </w:p>
    <w:p>
      <w:pPr>
        <w:ind w:right="60" w:firstLine="576"/>
        <w:spacing w:after="0" w:line="241"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pharmacovigilance reporting obligations.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98" w:lineRule="exact"/>
        <w:rPr>
          <w:sz w:val="20"/>
          <w:szCs w:val="20"/>
          <w:color w:val="auto"/>
        </w:rPr>
      </w:pPr>
    </w:p>
    <w:p>
      <w:pPr>
        <w:ind w:left="240" w:right="300"/>
        <w:spacing w:after="0" w:line="266" w:lineRule="auto"/>
        <w:rPr>
          <w:sz w:val="20"/>
          <w:szCs w:val="20"/>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 manufacturing delays and supply disruptions where regulatory inspections identify observations of noncompliance requiring remediation;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5" w:name="page76"/>
    <w:bookmarkEnd w:id="75"/>
    <w:p>
      <w:pPr>
        <w:ind w:right="320" w:firstLine="230"/>
        <w:spacing w:after="0" w:line="254" w:lineRule="auto"/>
        <w:rPr>
          <w:sz w:val="20"/>
          <w:szCs w:val="20"/>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234" w:lineRule="auto"/>
        <w:rPr>
          <w:sz w:val="20"/>
          <w:szCs w:val="20"/>
          <w:color w:val="auto"/>
        </w:rPr>
      </w:pPr>
      <w:r>
        <w:rPr>
          <w:rFonts w:ascii="Times New Roman" w:cs="Times New Roman" w:eastAsia="Times New Roman" w:hAnsi="Times New Roman"/>
          <w:sz w:val="18"/>
          <w:szCs w:val="18"/>
          <w:color w:val="auto"/>
        </w:rPr>
        <w:t>imposition of a REMS which may include distribution or use restrictions;</w:t>
      </w:r>
    </w:p>
    <w:p>
      <w:pPr>
        <w:ind w:left="240" w:right="4060"/>
        <w:spacing w:after="0" w:line="242" w:lineRule="auto"/>
        <w:rPr>
          <w:sz w:val="20"/>
          <w:szCs w:val="20"/>
          <w:color w:val="auto"/>
        </w:rPr>
      </w:pPr>
      <w:r>
        <w:rPr>
          <w:rFonts w:ascii="Times New Roman" w:cs="Times New Roman" w:eastAsia="Times New Roman" w:hAnsi="Times New Roman"/>
          <w:sz w:val="18"/>
          <w:szCs w:val="18"/>
          <w:color w:val="auto"/>
        </w:rPr>
        <w:t>requirements to conduct additional post-market clinical trials to assess the safety of the product; clinical trial holds;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fines, warning letters or other regulatory enforcement action;</w:t>
      </w:r>
    </w:p>
    <w:p>
      <w:pPr>
        <w:ind w:left="240" w:right="460"/>
        <w:spacing w:after="0" w:line="242" w:lineRule="auto"/>
        <w:rPr>
          <w:sz w:val="20"/>
          <w:szCs w:val="20"/>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 product seizure or detention, or refusal to permit the import or export of products;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injunctions or the imposition of civil or criminal penalties.</w:t>
      </w:r>
    </w:p>
    <w:p>
      <w:pPr>
        <w:spacing w:after="0" w:line="192" w:lineRule="exact"/>
        <w:rPr>
          <w:sz w:val="20"/>
          <w:szCs w:val="20"/>
          <w:color w:val="auto"/>
        </w:rPr>
      </w:pPr>
    </w:p>
    <w:p>
      <w:pPr>
        <w:ind w:firstLine="584"/>
        <w:spacing w:after="0" w:line="250"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We are conducting and plan to conduct additional clinical trials and enroll subjects in our current or future clinical trials, and therefore we will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While we have commenced the process of implementing procedures to comply with the GDPR, compliance with these regulations will be a rigorous and time-intensive process that we expect will increase our cost of doing business and require us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GDPR in different manner, making compliance in certain countries and across the European Union challenging.</w:t>
      </w:r>
    </w:p>
    <w:p>
      <w:pPr>
        <w:spacing w:after="0" w:line="29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63"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1" w:lineRule="exact"/>
        <w:rPr>
          <w:sz w:val="20"/>
          <w:szCs w:val="20"/>
          <w:color w:val="auto"/>
        </w:rPr>
      </w:pPr>
    </w:p>
    <w:p>
      <w:pPr>
        <w:jc w:val="both"/>
        <w:ind w:right="20" w:firstLine="576"/>
        <w:spacing w:after="0" w:line="25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7"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6" w:name="page77"/>
    <w:bookmarkEnd w:id="76"/>
    <w:p>
      <w:pPr>
        <w:ind w:right="120"/>
        <w:spacing w:after="0" w:line="282" w:lineRule="auto"/>
        <w:rPr>
          <w:sz w:val="20"/>
          <w:szCs w:val="20"/>
          <w:color w:val="auto"/>
        </w:rPr>
      </w:pPr>
      <w:r>
        <w:rPr>
          <w:rFonts w:ascii="Times New Roman" w:cs="Times New Roman" w:eastAsia="Times New Roman" w:hAnsi="Times New Roman"/>
          <w:sz w:val="18"/>
          <w:szCs w:val="18"/>
          <w:color w:val="auto"/>
        </w:rPr>
        <w:t>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48" w:lineRule="exact"/>
        <w:rPr>
          <w:sz w:val="20"/>
          <w:szCs w:val="20"/>
          <w:color w:val="auto"/>
        </w:rPr>
      </w:pPr>
    </w:p>
    <w:p>
      <w:pPr>
        <w:jc w:val="both"/>
        <w:ind w:right="140" w:firstLine="576"/>
        <w:spacing w:after="0" w:line="258"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Anticipated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clinical trial and commercialization strategies.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7"/>
          <w:szCs w:val="17"/>
          <w:color w:val="auto"/>
        </w:rPr>
        <w:t>Recruiting and retaining qualified scientific, clinical, medical,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provide evidence of safety and efficacy of our product candidates in clinical trials, or delays experienced in such clinical trials, may make it more challenging to recruit and retain qualified scientific personnel.</w:t>
      </w:r>
    </w:p>
    <w:p>
      <w:pPr>
        <w:spacing w:after="0" w:line="188" w:lineRule="exact"/>
        <w:rPr>
          <w:sz w:val="20"/>
          <w:szCs w:val="20"/>
          <w:color w:val="auto"/>
        </w:rPr>
      </w:pPr>
    </w:p>
    <w:p>
      <w:pPr>
        <w:ind w:right="100" w:firstLine="576"/>
        <w:spacing w:after="0" w:line="246"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Cambridge, Massachusetts.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8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63" w:lineRule="exact"/>
        <w:rPr>
          <w:sz w:val="20"/>
          <w:szCs w:val="20"/>
          <w:color w:val="auto"/>
        </w:rPr>
      </w:pPr>
    </w:p>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collect and use a variety of personal data, such as names, mailing addresses, email addresses, phone numbers. In addition, in connection with our Phase 1/2 clinical trial, we (and our third party processors assisting with the clinical trial) will have access to, and may store, clinical and health information of the patients participating in the trial.</w:t>
      </w:r>
    </w:p>
    <w:p>
      <w:pPr>
        <w:spacing w:after="0" w:line="69" w:lineRule="exact"/>
        <w:rPr>
          <w:sz w:val="20"/>
          <w:szCs w:val="20"/>
          <w:color w:val="auto"/>
        </w:rPr>
      </w:pPr>
    </w:p>
    <w:p>
      <w:pPr>
        <w:ind w:right="320" w:firstLine="576"/>
        <w:spacing w:after="0" w:line="247" w:lineRule="auto"/>
        <w:rPr>
          <w:sz w:val="20"/>
          <w:szCs w:val="20"/>
          <w:color w:val="auto"/>
        </w:rPr>
      </w:pPr>
      <w:r>
        <w:rPr>
          <w:rFonts w:ascii="Times New Roman" w:cs="Times New Roman" w:eastAsia="Times New Roman" w:hAnsi="Times New Roman"/>
          <w:sz w:val="18"/>
          <w:szCs w:val="18"/>
          <w:color w:val="auto"/>
        </w:rPr>
        <w:t>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7" w:name="page78"/>
    <w:bookmarkEnd w:id="77"/>
    <w:p>
      <w:pPr>
        <w:ind w:right="40"/>
        <w:spacing w:after="0" w:line="245" w:lineRule="auto"/>
        <w:rPr>
          <w:sz w:val="20"/>
          <w:szCs w:val="20"/>
          <w:color w:val="auto"/>
        </w:rPr>
      </w:pPr>
      <w:r>
        <w:rPr>
          <w:rFonts w:ascii="Times New Roman" w:cs="Times New Roman" w:eastAsia="Times New Roman" w:hAnsi="Times New Roman"/>
          <w:sz w:val="18"/>
          <w:szCs w:val="18"/>
          <w:color w:val="auto"/>
        </w:rPr>
        <w:t>including the compounds we are developing, our screening platform technology,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95"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w:t>
      </w:r>
    </w:p>
    <w:p>
      <w:pPr>
        <w:spacing w:after="0" w:line="187" w:lineRule="exact"/>
        <w:rPr>
          <w:sz w:val="20"/>
          <w:szCs w:val="20"/>
          <w:color w:val="auto"/>
        </w:rPr>
      </w:pPr>
    </w:p>
    <w:p>
      <w:pPr>
        <w:ind w:right="160" w:firstLine="450"/>
        <w:spacing w:after="0" w:line="243" w:lineRule="auto"/>
        <w:rPr>
          <w:sz w:val="20"/>
          <w:szCs w:val="20"/>
          <w:color w:val="auto"/>
        </w:rPr>
      </w:pPr>
      <w:r>
        <w:rPr>
          <w:rFonts w:ascii="Times New Roman" w:cs="Times New Roman" w:eastAsia="Times New Roman" w:hAnsi="Times New Roman"/>
          <w:sz w:val="18"/>
          <w:szCs w:val="18"/>
          <w:color w:val="auto"/>
        </w:rPr>
        <w:t>Further, a new California privacy law, the California Privacy Rights Act, or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Additionally, some observers have noted that the CCPA and CPRA could mark the beginning of a trend toward more stringent privacy legislation in the U.S., which could increase our potential liability and adversely affect our business. Already, in the United States, we have witnessed significant developments at the state level. For example, on March 2, 2021, Virginia enacted the Consumer Data Protection Act (the “CDPA”) and, on July 8, 2021, Colorado’s governor signed the Colorado Privacy Act (“CPA”), into law. The CDPA and the CPA will both become effective January 1, 2023. While the CDPA and CPA incorporate many similar concepts of the CCPA and CPRA, there are also several key differences in the scope, application, and enforcement of the law that will change the operational practices of regulated businesses. The new laws will, among other things, impact how regulated businesses collect and process personal sensitive data, conduct data protection assessments, transfer personal data to affiliates, and respond to consumer rights requests.</w:t>
      </w:r>
    </w:p>
    <w:p>
      <w:pPr>
        <w:spacing w:after="0" w:line="172" w:lineRule="exact"/>
        <w:rPr>
          <w:sz w:val="20"/>
          <w:szCs w:val="20"/>
          <w:color w:val="auto"/>
        </w:rPr>
      </w:pPr>
    </w:p>
    <w:p>
      <w:pPr>
        <w:ind w:right="320" w:firstLine="450"/>
        <w:spacing w:after="0" w:line="247" w:lineRule="auto"/>
        <w:rPr>
          <w:sz w:val="20"/>
          <w:szCs w:val="20"/>
          <w:color w:val="auto"/>
        </w:rPr>
      </w:pPr>
      <w:r>
        <w:rPr>
          <w:rFonts w:ascii="Times New Roman" w:cs="Times New Roman" w:eastAsia="Times New Roman" w:hAnsi="Times New Roman"/>
          <w:sz w:val="18"/>
          <w:szCs w:val="18"/>
          <w:color w:val="auto"/>
        </w:rPr>
        <w:t>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80" w:lineRule="exact"/>
        <w:rPr>
          <w:sz w:val="20"/>
          <w:szCs w:val="20"/>
          <w:color w:val="auto"/>
        </w:rPr>
      </w:pPr>
    </w:p>
    <w:p>
      <w:pPr>
        <w:ind w:right="60" w:firstLine="270"/>
        <w:spacing w:after="0" w:line="242" w:lineRule="auto"/>
        <w:rPr>
          <w:sz w:val="20"/>
          <w:szCs w:val="20"/>
          <w:color w:val="auto"/>
        </w:rPr>
      </w:pPr>
      <w:r>
        <w:rPr>
          <w:rFonts w:ascii="Times New Roman" w:cs="Times New Roman" w:eastAsia="Times New Roman" w:hAnsi="Times New Roman"/>
          <w:sz w:val="18"/>
          <w:szCs w:val="18"/>
          <w:color w:val="auto"/>
        </w:rPr>
        <w:t>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In addition, further to the U.K.’s exit from the EU on January 31, 2020, the GDPR ceased to apply in the U.K. at the end of the transition period on December 31, 2020. However, as of January 1, 2021, the U.K.’s European Union (Withdrawal) Act 2018 incorporated the U.K. GDPR into U.K. law.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8" w:name="page79"/>
    <w:bookmarkEnd w:id="78"/>
    <w:p>
      <w:pPr>
        <w:ind w:right="140"/>
        <w:spacing w:after="0" w:line="258" w:lineRule="auto"/>
        <w:rPr>
          <w:sz w:val="20"/>
          <w:szCs w:val="20"/>
          <w:color w:val="auto"/>
        </w:rPr>
      </w:pPr>
      <w:r>
        <w:rPr>
          <w:rFonts w:ascii="Times New Roman" w:cs="Times New Roman" w:eastAsia="Times New Roman" w:hAnsi="Times New Roman"/>
          <w:sz w:val="18"/>
          <w:szCs w:val="18"/>
          <w:color w:val="auto"/>
        </w:rPr>
        <w:t>protection under the EU GDPR and, therefore, transfers of personal data originating in the EU to the UK remain unrestricted. Like the EU GDPR, the UK GDPR restricts personal data transfers outside the UK to countries not regarded by the UK as providing adequate protection, such as the U.S. The UK government has confirmed that personal data transfers from the UK to the EEA remain free flowing.</w:t>
      </w:r>
    </w:p>
    <w:p>
      <w:pPr>
        <w:spacing w:after="0" w:line="169" w:lineRule="exact"/>
        <w:rPr>
          <w:sz w:val="20"/>
          <w:szCs w:val="20"/>
          <w:color w:val="auto"/>
        </w:rPr>
      </w:pPr>
    </w:p>
    <w:p>
      <w:pPr>
        <w:ind w:right="20" w:firstLine="540"/>
        <w:spacing w:after="0" w:line="242" w:lineRule="auto"/>
        <w:rPr>
          <w:sz w:val="20"/>
          <w:szCs w:val="20"/>
          <w:color w:val="auto"/>
        </w:rPr>
      </w:pPr>
      <w:r>
        <w:rPr>
          <w:rFonts w:ascii="Times New Roman" w:cs="Times New Roman" w:eastAsia="Times New Roman" w:hAnsi="Times New Roman"/>
          <w:sz w:val="18"/>
          <w:szCs w:val="18"/>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Information Commissioner’s Office, or ICO, has recently introduced new mechanisms for international transfers of personal data originating from the U.K. (an International Data Transfer Agreement, or IDTA, along with a separate addendum to the EU SCCs), which are in force as of March 21, 2022, to replace the old form EU SCCs for U.K. transfers. The new IDTA or the U.K. addendum must be used for any new contract entered into as of September 21, 2022 and implemented in existing contracts that incorporate the prior version of the SCCs by March 21, 2024. Implementing these new safeguards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75" w:lineRule="exact"/>
        <w:rPr>
          <w:sz w:val="20"/>
          <w:szCs w:val="20"/>
          <w:color w:val="auto"/>
        </w:rPr>
      </w:pPr>
    </w:p>
    <w:p>
      <w:pPr>
        <w:ind w:firstLine="315"/>
        <w:spacing w:after="0" w:line="258"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69" w:lineRule="exact"/>
        <w:rPr>
          <w:sz w:val="20"/>
          <w:szCs w:val="20"/>
          <w:color w:val="auto"/>
        </w:rPr>
      </w:pPr>
    </w:p>
    <w:p>
      <w:pPr>
        <w:ind w:right="120" w:firstLine="576"/>
        <w:spacing w:after="0" w:line="245" w:lineRule="auto"/>
        <w:rPr>
          <w:sz w:val="20"/>
          <w:szCs w:val="20"/>
          <w:color w:val="auto"/>
        </w:rPr>
      </w:pPr>
      <w:r>
        <w:rPr>
          <w:rFonts w:ascii="Times New Roman" w:cs="Times New Roman" w:eastAsia="Times New Roman" w:hAnsi="Times New Roman"/>
          <w:sz w:val="18"/>
          <w:szCs w:val="18"/>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our CRO operating our trials, or our potential collaborators obtain information, as well as the providers who share this information with us, may contractually limit our ability to use and disclose the information. Claims that we or such third-party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37"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As of June 30, 2022, we had 103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27"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9" w:name="page80"/>
    <w:bookmarkEnd w:id="79"/>
    <w:p>
      <w:pPr>
        <w:ind w:right="60" w:firstLine="576"/>
        <w:spacing w:after="0" w:line="246" w:lineRule="auto"/>
        <w:rPr>
          <w:sz w:val="20"/>
          <w:szCs w:val="20"/>
          <w:color w:val="auto"/>
        </w:rPr>
      </w:pPr>
      <w:r>
        <w:rPr>
          <w:rFonts w:ascii="Times New Roman" w:cs="Times New Roman" w:eastAsia="Times New Roman" w:hAnsi="Times New Roman"/>
          <w:sz w:val="18"/>
          <w:szCs w:val="18"/>
          <w:color w:val="auto"/>
        </w:rPr>
        <w:t>Based on our common stock outstanding as of June 30, 2022,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08" w:lineRule="exact"/>
        <w:rPr>
          <w:sz w:val="20"/>
          <w:szCs w:val="20"/>
          <w:color w:val="auto"/>
        </w:rPr>
      </w:pPr>
    </w:p>
    <w:p>
      <w:pPr>
        <w:ind w:right="100" w:firstLine="576"/>
        <w:spacing w:after="0" w:line="244" w:lineRule="auto"/>
        <w:rPr>
          <w:sz w:val="20"/>
          <w:szCs w:val="20"/>
          <w:color w:val="auto"/>
        </w:rPr>
      </w:pPr>
      <w:r>
        <w:rPr>
          <w:rFonts w:ascii="Times New Roman" w:cs="Times New Roman" w:eastAsia="Times New Roman" w:hAnsi="Times New Roman"/>
          <w:sz w:val="18"/>
          <w:szCs w:val="18"/>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77"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29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37" w:lineRule="exact"/>
        <w:rPr>
          <w:sz w:val="20"/>
          <w:szCs w:val="20"/>
          <w:color w:val="auto"/>
        </w:rPr>
      </w:pPr>
    </w:p>
    <w:p>
      <w:pPr>
        <w:ind w:right="300" w:firstLine="58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68" w:lineRule="exact"/>
        <w:rPr>
          <w:sz w:val="20"/>
          <w:szCs w:val="20"/>
          <w:color w:val="auto"/>
        </w:rPr>
      </w:pPr>
    </w:p>
    <w:p>
      <w:pPr>
        <w:ind w:left="240" w:right="380"/>
        <w:spacing w:after="0" w:line="261" w:lineRule="auto"/>
        <w:rPr>
          <w:sz w:val="20"/>
          <w:szCs w:val="20"/>
          <w:color w:val="auto"/>
        </w:rPr>
      </w:pPr>
      <w:r>
        <w:rPr>
          <w:rFonts w:ascii="Times New Roman" w:cs="Times New Roman" w:eastAsia="Times New Roman" w:hAnsi="Times New Roman"/>
          <w:sz w:val="17"/>
          <w:szCs w:val="17"/>
          <w:color w:val="auto"/>
        </w:rPr>
        <w:t>a board of directors divided into three classes serving staggered three-year terms, such that not all members of the board will be elected at one time; a prohibition on stockholder action through written consent, which requires that all stockholder actions be taken at a meeting of our stockholders; a requirement that special meetings of the stockholders may be called only by the board of directors acting pursuant to a resolution approved by the</w:t>
      </w:r>
    </w:p>
    <w:p>
      <w:pPr>
        <w:spacing w:after="0" w:line="238" w:lineRule="auto"/>
        <w:rPr>
          <w:sz w:val="20"/>
          <w:szCs w:val="20"/>
          <w:color w:val="auto"/>
        </w:rPr>
      </w:pPr>
      <w:r>
        <w:rPr>
          <w:rFonts w:ascii="Times New Roman" w:cs="Times New Roman" w:eastAsia="Times New Roman" w:hAnsi="Times New Roman"/>
          <w:sz w:val="18"/>
          <w:szCs w:val="18"/>
          <w:color w:val="auto"/>
        </w:rPr>
        <w:t>affirmative vote of a majority of the directors then in office, and special meetings of stockholders may not be called by any other person or persons;</w:t>
      </w:r>
    </w:p>
    <w:p>
      <w:pPr>
        <w:spacing w:after="0" w:line="235" w:lineRule="auto"/>
        <w:rPr>
          <w:sz w:val="20"/>
          <w:szCs w:val="20"/>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rPr>
          <w:sz w:val="20"/>
          <w:szCs w:val="20"/>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then, in addition to any</w:t>
      </w:r>
    </w:p>
    <w:p>
      <w:pPr>
        <w:spacing w:after="0" w:line="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other vote required by law, only upon the approval of not less than 66 2/3% of all outstanding shares of our capital stock then entitled to vote in the election of directors;</w:t>
      </w:r>
    </w:p>
    <w:p>
      <w:pPr>
        <w:spacing w:after="0" w:line="1" w:lineRule="exact"/>
        <w:rPr>
          <w:sz w:val="20"/>
          <w:szCs w:val="20"/>
          <w:color w:val="auto"/>
        </w:rPr>
      </w:pPr>
    </w:p>
    <w:p>
      <w:pPr>
        <w:ind w:right="560" w:firstLine="230"/>
        <w:spacing w:after="0" w:line="242" w:lineRule="auto"/>
        <w:rPr>
          <w:sz w:val="20"/>
          <w:szCs w:val="20"/>
          <w:color w:val="auto"/>
        </w:rPr>
      </w:pPr>
      <w:r>
        <w:rPr>
          <w:rFonts w:ascii="Times New Roman" w:cs="Times New Roman" w:eastAsia="Times New Roman" w:hAnsi="Times New Roman"/>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1" w:lineRule="exact"/>
        <w:rPr>
          <w:sz w:val="20"/>
          <w:szCs w:val="20"/>
          <w:color w:val="auto"/>
        </w:rPr>
      </w:pPr>
    </w:p>
    <w:p>
      <w:pPr>
        <w:ind w:right="560" w:firstLine="230"/>
        <w:spacing w:after="0" w:line="243" w:lineRule="auto"/>
        <w:rPr>
          <w:sz w:val="20"/>
          <w:szCs w:val="20"/>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0" w:name="page81"/>
    <w:bookmarkEnd w:id="80"/>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81"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63"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8"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3"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29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81" w:name="page82"/>
    <w:bookmarkEnd w:id="81"/>
    <w:p>
      <w:pPr>
        <w:ind w:firstLine="576"/>
        <w:spacing w:after="0" w:line="241"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1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0" w:lineRule="exact"/>
        <w:rPr>
          <w:sz w:val="20"/>
          <w:szCs w:val="20"/>
          <w:color w:val="auto"/>
        </w:rPr>
      </w:pPr>
    </w:p>
    <w:p>
      <w:pPr>
        <w:ind w:right="160" w:firstLine="576"/>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7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37" w:lineRule="exact"/>
        <w:rPr>
          <w:sz w:val="20"/>
          <w:szCs w:val="20"/>
          <w:color w:val="auto"/>
        </w:rPr>
      </w:pPr>
    </w:p>
    <w:p>
      <w:pPr>
        <w:ind w:right="240" w:firstLine="576"/>
        <w:spacing w:after="0" w:line="250"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competitive products or technologies;</w:t>
      </w:r>
    </w:p>
    <w:p>
      <w:pPr>
        <w:spacing w:after="0" w:line="15" w:lineRule="exact"/>
        <w:rPr>
          <w:sz w:val="20"/>
          <w:szCs w:val="20"/>
          <w:color w:val="auto"/>
        </w:rPr>
      </w:pPr>
    </w:p>
    <w:p>
      <w:pPr>
        <w:ind w:left="240" w:right="3560"/>
        <w:spacing w:after="0" w:line="241" w:lineRule="auto"/>
        <w:rPr>
          <w:sz w:val="20"/>
          <w:szCs w:val="20"/>
          <w:color w:val="auto"/>
        </w:rPr>
      </w:pPr>
      <w:r>
        <w:rPr>
          <w:rFonts w:ascii="Times New Roman" w:cs="Times New Roman" w:eastAsia="Times New Roman" w:hAnsi="Times New Roman"/>
          <w:sz w:val="18"/>
          <w:szCs w:val="18"/>
          <w:color w:val="auto"/>
        </w:rPr>
        <w:t>advancement of our preclinical programs, such as our targeted oncology programs, into clinical testing; results of clinical trials of our product candidates or those of our competitors;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regulatory or legal developments in the United States and other countries;</w:t>
      </w:r>
    </w:p>
    <w:p>
      <w:pPr>
        <w:ind w:left="240" w:right="3880"/>
        <w:spacing w:after="0" w:line="241" w:lineRule="auto"/>
        <w:rPr>
          <w:sz w:val="20"/>
          <w:szCs w:val="20"/>
          <w:color w:val="auto"/>
        </w:rPr>
      </w:pPr>
      <w:r>
        <w:rPr>
          <w:rFonts w:ascii="Times New Roman" w:cs="Times New Roman" w:eastAsia="Times New Roman" w:hAnsi="Times New Roman"/>
          <w:sz w:val="18"/>
          <w:szCs w:val="18"/>
          <w:color w:val="auto"/>
        </w:rPr>
        <w:t>developments or disputes concerning patent applications, issued patents or other proprietary rights; the recruitment or departure of key personnel;</w:t>
      </w:r>
    </w:p>
    <w:p>
      <w:pPr>
        <w:spacing w:after="0" w:line="1" w:lineRule="exact"/>
        <w:rPr>
          <w:sz w:val="20"/>
          <w:szCs w:val="20"/>
          <w:color w:val="auto"/>
        </w:rPr>
      </w:pPr>
    </w:p>
    <w:p>
      <w:pPr>
        <w:ind w:left="240" w:right="1940"/>
        <w:spacing w:after="0" w:line="235" w:lineRule="auto"/>
        <w:rPr>
          <w:sz w:val="20"/>
          <w:szCs w:val="20"/>
          <w:color w:val="auto"/>
        </w:rPr>
      </w:pPr>
      <w:r>
        <w:rPr>
          <w:rFonts w:ascii="Times New Roman" w:cs="Times New Roman" w:eastAsia="Times New Roman" w:hAnsi="Times New Roman"/>
          <w:sz w:val="18"/>
          <w:szCs w:val="18"/>
          <w:color w:val="auto"/>
        </w:rPr>
        <w:t>the level of expenses related to any of our programs and product candidates or preclinical and clinical development programs; the results of our efforts to discover, develop, acquire or in-license additional product candidates or products;</w:t>
      </w:r>
    </w:p>
    <w:p>
      <w:pPr>
        <w:spacing w:after="0" w:line="1" w:lineRule="exact"/>
        <w:rPr>
          <w:sz w:val="20"/>
          <w:szCs w:val="20"/>
          <w:color w:val="auto"/>
        </w:rPr>
      </w:pPr>
    </w:p>
    <w:p>
      <w:pPr>
        <w:ind w:left="240" w:right="1580"/>
        <w:spacing w:after="0" w:line="242" w:lineRule="auto"/>
        <w:rPr>
          <w:sz w:val="20"/>
          <w:szCs w:val="20"/>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 variations in our financial results or those of companies that are perceived to be similar to us;</w:t>
      </w:r>
    </w:p>
    <w:p>
      <w:pPr>
        <w:spacing w:after="0" w:line="1" w:lineRule="exact"/>
        <w:rPr>
          <w:sz w:val="20"/>
          <w:szCs w:val="20"/>
          <w:color w:val="auto"/>
        </w:rPr>
      </w:pPr>
    </w:p>
    <w:p>
      <w:pPr>
        <w:ind w:left="240" w:right="4040"/>
        <w:spacing w:after="0" w:line="241" w:lineRule="auto"/>
        <w:rPr>
          <w:sz w:val="20"/>
          <w:szCs w:val="20"/>
          <w:color w:val="auto"/>
        </w:rPr>
      </w:pPr>
      <w:r>
        <w:rPr>
          <w:rFonts w:ascii="Times New Roman" w:cs="Times New Roman" w:eastAsia="Times New Roman" w:hAnsi="Times New Roman"/>
          <w:sz w:val="18"/>
          <w:szCs w:val="18"/>
          <w:color w:val="auto"/>
        </w:rPr>
        <w:t>changes in the structure of healthcare payment systems and third-party reimbursement decisions; market conditions in the pharmaceutical and biotechnology sectors;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limited trading volume;</w:t>
      </w:r>
    </w:p>
    <w:p>
      <w:pPr>
        <w:ind w:left="240" w:right="4940"/>
        <w:spacing w:after="0" w:line="234" w:lineRule="auto"/>
        <w:rPr>
          <w:sz w:val="20"/>
          <w:szCs w:val="20"/>
          <w:color w:val="auto"/>
        </w:rPr>
      </w:pPr>
      <w:r>
        <w:rPr>
          <w:rFonts w:ascii="Times New Roman" w:cs="Times New Roman" w:eastAsia="Times New Roman" w:hAnsi="Times New Roman"/>
          <w:sz w:val="18"/>
          <w:szCs w:val="18"/>
          <w:color w:val="auto"/>
        </w:rPr>
        <w:t>future sales of common stock by our officers, directors and significant stockholders; general economic, industry and market conditions;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2" w:name="page83"/>
    <w:bookmarkEnd w:id="82"/>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37" w:lineRule="exact"/>
        <w:rPr>
          <w:sz w:val="20"/>
          <w:szCs w:val="20"/>
          <w:color w:val="auto"/>
        </w:rPr>
      </w:pPr>
    </w:p>
    <w:p>
      <w:pPr>
        <w:ind w:right="40" w:firstLine="576"/>
        <w:spacing w:after="0" w:line="264"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168"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7"/>
          <w:szCs w:val="17"/>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9" w:lineRule="exact"/>
        <w:rPr>
          <w:sz w:val="20"/>
          <w:szCs w:val="20"/>
          <w:color w:val="auto"/>
        </w:rPr>
      </w:pPr>
    </w:p>
    <w:p>
      <w:pPr>
        <w:ind w:right="200" w:firstLine="4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3" w:lineRule="exact"/>
        <w:rPr>
          <w:sz w:val="20"/>
          <w:szCs w:val="20"/>
          <w:color w:val="auto"/>
        </w:rPr>
      </w:pPr>
    </w:p>
    <w:p>
      <w:pPr>
        <w:ind w:right="20" w:firstLine="576"/>
        <w:spacing w:after="0" w:line="244"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08" w:lineRule="exact"/>
        <w:rPr>
          <w:sz w:val="20"/>
          <w:szCs w:val="20"/>
          <w:color w:val="auto"/>
        </w:rPr>
      </w:pPr>
    </w:p>
    <w:p>
      <w:pPr>
        <w:ind w:right="180" w:firstLine="576"/>
        <w:spacing w:after="0" w:line="246"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08"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potential future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For example, the change in administration and control of Congress in the United States following the 2020 elections may result in additional U.S. tax law changes that could have a material impact on our future effective tax rate, which could have a negative impact on our results of operations in the future. Complying with these tax laws is complex and the statutes and regulations can be subject to varying interpretation which can make compliance challenging.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08"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A severe or prolonged economic downturn, a marked increase in interest rates and inflation could result in a variety of risks to our business, including, weakened demand for our product candidates and our ability to raise additional capital when needed on acceptable terms, if at all. In addition, our business may be generally exposed to the impact of political or civil unrest or military action, including the current conflict between Russia and Ukraine (where a vendor that performs chemistry related work on our pre-clinical product candidates is located) and, while we do not otherwise have direct exposure to Ukraine, our business and results of operations may be impacted based upon the events taking place there.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resell your shares at the price you paid.</w:t>
      </w:r>
    </w:p>
    <w:p>
      <w:pPr>
        <w:spacing w:after="0" w:line="108"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Item 701 of Regulation S-K was previously included in our Quarterly Report on Form 10-Q filed on November 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our Initial Public Offering</w:t>
      </w:r>
    </w:p>
    <w:p>
      <w:pPr>
        <w:spacing w:after="0" w:line="200" w:lineRule="exact"/>
        <w:rPr>
          <w:sz w:val="20"/>
          <w:szCs w:val="20"/>
          <w:color w:val="auto"/>
        </w:rPr>
      </w:pPr>
    </w:p>
    <w:p>
      <w:pPr>
        <w:spacing w:after="0" w:line="23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Of the gross proceeds received from the Initial Public Offering, including an additional 2,175,000 shares of common stock to cover the over-allotments, $166.8 million was placed in a trust account. The net proceeds of the Initial Public Offering were applied to fund the Business Combination and related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560" w:type="dxa"/>
            <w:vAlign w:val="bottom"/>
            <w:gridSpan w:val="7"/>
            <w:vMerge w:val="restart"/>
          </w:tcPr>
          <w:p>
            <w:pPr>
              <w:ind w:left="3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56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60" w:type="dxa"/>
            <w:vAlign w:val="bottom"/>
            <w:tcBorders>
              <w:top w:val="single" w:sz="8" w:color="0000FF"/>
            </w:tcBorders>
            <w:gridSpan w:val="4"/>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20" w:type="dxa"/>
            <w:vAlign w:val="bottom"/>
            <w:tcBorders>
              <w:top w:val="single" w:sz="8" w:color="0000FF"/>
            </w:tcBorders>
            <w:gridSpan w:val="3"/>
          </w:tcPr>
          <w:p>
            <w:pPr>
              <w:spacing w:after="0"/>
              <w:rPr>
                <w:sz w:val="14"/>
                <w:szCs w:val="14"/>
                <w:color w:val="auto"/>
              </w:rPr>
            </w:pPr>
          </w:p>
        </w:tc>
        <w:tc>
          <w:tcPr>
            <w:tcW w:w="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4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5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8"/>
          </w:tcPr>
          <w:p>
            <w:pPr>
              <w:spacing w:after="0" w:line="17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in as Inline XBRL with applicable taxonomy extension information contained in Exhibits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13" w:lineRule="exact"/>
        <w:rPr>
          <w:sz w:val="20"/>
          <w:szCs w:val="20"/>
          <w:color w:val="auto"/>
        </w:rPr>
      </w:pPr>
    </w:p>
    <w:p>
      <w:pPr>
        <w:ind w:left="420" w:hanging="412"/>
        <w:spacing w:after="0"/>
        <w:tabs>
          <w:tab w:leader="none" w:pos="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ind w:left="520" w:right="80" w:hanging="512"/>
        <w:spacing w:after="0" w:line="246" w:lineRule="auto"/>
        <w:tabs>
          <w:tab w:leader="none" w:pos="4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5" w:name="page86"/>
    <w:bookmarkEnd w:id="85"/>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198" w:lineRule="exact"/>
        <w:rPr>
          <w:sz w:val="20"/>
          <w:szCs w:val="20"/>
          <w:color w:val="auto"/>
        </w:rPr>
      </w:pPr>
    </w:p>
    <w:p>
      <w:pPr>
        <w:ind w:left="20"/>
        <w:spacing w:after="0"/>
        <w:tabs>
          <w:tab w:leader="none" w:pos="5660" w:val="left"/>
          <w:tab w:leader="none" w:pos="6100" w:val="left"/>
        </w:tabs>
        <w:rPr>
          <w:sz w:val="20"/>
          <w:szCs w:val="20"/>
          <w:color w:val="auto"/>
        </w:rPr>
      </w:pPr>
      <w:r>
        <w:rPr>
          <w:rFonts w:ascii="Times New Roman" w:cs="Times New Roman" w:eastAsia="Times New Roman" w:hAnsi="Times New Roman"/>
          <w:sz w:val="18"/>
          <w:szCs w:val="18"/>
          <w:color w:val="auto"/>
        </w:rPr>
        <w:t>Dated: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Barbara Weber, MD</w:t>
      </w:r>
    </w:p>
    <w:p>
      <w:pPr>
        <w:ind w:left="6120"/>
        <w:spacing w:after="0" w:line="234" w:lineRule="auto"/>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198" w:lineRule="exact"/>
        <w:rPr>
          <w:sz w:val="20"/>
          <w:szCs w:val="20"/>
          <w:color w:val="auto"/>
        </w:rPr>
      </w:pPr>
    </w:p>
    <w:p>
      <w:pPr>
        <w:ind w:left="56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Daniella Beckman</w:t>
      </w:r>
    </w:p>
    <w:p>
      <w:pPr>
        <w:ind w:left="612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0" w:right="77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16"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02" w:lineRule="exact"/>
        <w:rPr>
          <w:rFonts w:ascii="Times New Roman" w:cs="Times New Roman" w:eastAsia="Times New Roman" w:hAnsi="Times New Roman"/>
          <w:sz w:val="20"/>
          <w:szCs w:val="20"/>
          <w:color w:val="auto"/>
        </w:rPr>
      </w:pPr>
    </w:p>
    <w:p>
      <w:pPr>
        <w:jc w:val="both"/>
        <w:ind w:left="380" w:hanging="372"/>
        <w:spacing w:after="0" w:line="247" w:lineRule="auto"/>
        <w:tabs>
          <w:tab w:leader="none" w:pos="3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2" w:lineRule="exact"/>
        <w:rPr>
          <w:rFonts w:ascii="Times New Roman" w:cs="Times New Roman" w:eastAsia="Times New Roman" w:hAnsi="Times New Roman"/>
          <w:sz w:val="20"/>
          <w:szCs w:val="20"/>
          <w:color w:val="auto"/>
        </w:rPr>
      </w:pPr>
    </w:p>
    <w:p>
      <w:pPr>
        <w:ind w:left="380" w:hanging="372"/>
        <w:spacing w:after="0" w:line="255" w:lineRule="auto"/>
        <w:tabs>
          <w:tab w:leader="none" w:pos="3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1"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180"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2" w:lineRule="exact"/>
        <w:rPr>
          <w:rFonts w:ascii="Times New Roman" w:cs="Times New Roman" w:eastAsia="Times New Roman" w:hAnsi="Times New Roman"/>
          <w:sz w:val="20"/>
          <w:szCs w:val="20"/>
          <w:color w:val="auto"/>
        </w:rPr>
      </w:pPr>
    </w:p>
    <w:p>
      <w:pPr>
        <w:jc w:val="both"/>
        <w:ind w:left="1020" w:hanging="368"/>
        <w:spacing w:after="0" w:line="247" w:lineRule="auto"/>
        <w:tabs>
          <w:tab w:leader="none" w:pos="10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7" w:name="page88"/>
    <w:bookmarkEnd w:id="87"/>
    <w:p>
      <w:pPr>
        <w:jc w:val="both"/>
        <w:ind w:left="1020" w:hanging="368"/>
        <w:spacing w:after="0" w:line="254" w:lineRule="auto"/>
        <w:tabs>
          <w:tab w:leader="none" w:pos="102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August 10, 2022</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Chief Executive Officer</w:t>
      </w:r>
    </w:p>
    <w:p>
      <w:pPr>
        <w:ind w:left="34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16"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02" w:lineRule="exact"/>
        <w:rPr>
          <w:rFonts w:ascii="Times New Roman" w:cs="Times New Roman" w:eastAsia="Times New Roman" w:hAnsi="Times New Roman"/>
          <w:sz w:val="20"/>
          <w:szCs w:val="20"/>
          <w:color w:val="auto"/>
        </w:rPr>
      </w:pPr>
    </w:p>
    <w:p>
      <w:pPr>
        <w:jc w:val="both"/>
        <w:ind w:left="380" w:hanging="372"/>
        <w:spacing w:after="0" w:line="247" w:lineRule="auto"/>
        <w:tabs>
          <w:tab w:leader="none" w:pos="3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2" w:lineRule="exact"/>
        <w:rPr>
          <w:rFonts w:ascii="Times New Roman" w:cs="Times New Roman" w:eastAsia="Times New Roman" w:hAnsi="Times New Roman"/>
          <w:sz w:val="20"/>
          <w:szCs w:val="20"/>
          <w:color w:val="auto"/>
        </w:rPr>
      </w:pPr>
    </w:p>
    <w:p>
      <w:pPr>
        <w:ind w:left="380" w:hanging="372"/>
        <w:spacing w:after="0" w:line="255" w:lineRule="auto"/>
        <w:tabs>
          <w:tab w:leader="none" w:pos="3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1"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180"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2" w:lineRule="exact"/>
        <w:rPr>
          <w:rFonts w:ascii="Times New Roman" w:cs="Times New Roman" w:eastAsia="Times New Roman" w:hAnsi="Times New Roman"/>
          <w:sz w:val="20"/>
          <w:szCs w:val="20"/>
          <w:color w:val="auto"/>
        </w:rPr>
      </w:pPr>
    </w:p>
    <w:p>
      <w:pPr>
        <w:jc w:val="both"/>
        <w:ind w:left="1020" w:hanging="368"/>
        <w:spacing w:after="0" w:line="247" w:lineRule="auto"/>
        <w:tabs>
          <w:tab w:leader="none" w:pos="102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9" w:name="page90"/>
    <w:bookmarkEnd w:id="89"/>
    <w:p>
      <w:pPr>
        <w:jc w:val="both"/>
        <w:ind w:left="1020" w:hanging="368"/>
        <w:spacing w:after="0" w:line="254" w:lineRule="auto"/>
        <w:tabs>
          <w:tab w:leader="none" w:pos="102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August 10, 2022</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Financial Officer</w:t>
      </w:r>
    </w:p>
    <w:p>
      <w:pPr>
        <w:ind w:left="294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1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June 30, 2022 as filed with the Securities and Exchange Commission (the “Report”), I, Barbara Weber, M.D., Chief Executive Officer of the Company, certify, pursuant to 18 U.S.C. § 1350, as adopted pursuant to § 906 of the Sarbanes-Oxley Act of 2002, to my knowledge, that:</w:t>
      </w:r>
    </w:p>
    <w:p>
      <w:pPr>
        <w:spacing w:after="0" w:line="151" w:lineRule="exact"/>
        <w:rPr>
          <w:sz w:val="20"/>
          <w:szCs w:val="20"/>
          <w:color w:val="auto"/>
        </w:rPr>
      </w:pPr>
    </w:p>
    <w:p>
      <w:pPr>
        <w:ind w:left="760" w:hanging="378"/>
        <w:spacing w:after="0"/>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55"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August 10, 2022</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Executive Officer</w:t>
      </w:r>
    </w:p>
    <w:p>
      <w:pPr>
        <w:ind w:left="29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8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1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June 30, 2022 as filed with the Securities and Exchange Commission (the “Report”), I, Daniella Beckman, Chief Financial Officer of the Company, certify, pursuant to 18 U.S.C. § 1350, as adopted pursuant to § 906 of the Sarbanes-Oxley Act of 2002, to my knowledge, that:</w:t>
      </w:r>
    </w:p>
    <w:p>
      <w:pPr>
        <w:spacing w:after="0" w:line="151" w:lineRule="exact"/>
        <w:rPr>
          <w:sz w:val="20"/>
          <w:szCs w:val="20"/>
          <w:color w:val="auto"/>
        </w:rPr>
      </w:pPr>
    </w:p>
    <w:p>
      <w:pPr>
        <w:ind w:left="760" w:hanging="378"/>
        <w:spacing w:after="0"/>
        <w:tabs>
          <w:tab w:leader="none" w:pos="7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55" w:lineRule="auto"/>
        <w:tabs>
          <w:tab w:leader="none" w:pos="7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August 10, 2022</w:t>
      </w:r>
      <w:r>
        <w:rPr>
          <w:sz w:val="20"/>
          <w:szCs w:val="20"/>
          <w:color w:val="auto"/>
        </w:rPr>
        <w:tab/>
      </w:r>
      <w:r>
        <w:rPr>
          <w:rFonts w:ascii="Times New Roman" w:cs="Times New Roman" w:eastAsia="Times New Roman" w:hAnsi="Times New Roman"/>
          <w:sz w:val="19"/>
          <w:szCs w:val="19"/>
          <w:u w:val="single" w:color="auto"/>
          <w:color w:val="auto"/>
        </w:rPr>
        <w:t>/s/ Daniella Beckman_____</w:t>
      </w:r>
    </w:p>
    <w:p>
      <w:pPr>
        <w:spacing w:after="0" w:line="10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Financial Officer</w:t>
      </w:r>
    </w:p>
    <w:p>
      <w:pPr>
        <w:ind w:left="29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38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lvl w:ilvl="1">
      <w:lvlJc w:val="left"/>
      <w:lvlText w:val="•"/>
      <w:numFmt w:val="bullet"/>
      <w:start w:val="1"/>
    </w:lvl>
  </w:abstractNum>
  <w:abstractNum w:abstractNumId="3">
    <w:nsid w:val="22221A70"/>
    <w:multiLevelType w:val="hybridMultilevel"/>
    <w:lvl w:ilvl="0">
      <w:lvlJc w:val="left"/>
      <w:lvlText w:val="•"/>
      <w:numFmt w:val="bullet"/>
      <w:start w:val="1"/>
    </w:lvl>
    <w:lvl w:ilvl="1">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2"/>
    </w:lvl>
  </w:abstractNum>
  <w:abstractNum w:abstractNumId="8">
    <w:nsid w:val="5577F8E1"/>
    <w:multiLevelType w:val="hybridMultilevel"/>
    <w:lvl w:ilvl="0">
      <w:lvlJc w:val="left"/>
      <w:lvlText w:val="%1."/>
      <w:numFmt w:val="decimal"/>
      <w:start w:val="3"/>
    </w:lvl>
  </w:abstractNum>
  <w:abstractNum w:abstractNumId="9">
    <w:nsid w:val="440BADFC"/>
    <w:multiLevelType w:val="hybridMultilevel"/>
    <w:lvl w:ilvl="0">
      <w:lvlJc w:val="left"/>
      <w:lvlText w:val="%1."/>
      <w:numFmt w:val="decimal"/>
      <w:start w:val="4"/>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decimal"/>
      <w:start w:val="5"/>
    </w:lvl>
  </w:abstractNum>
  <w:abstractNum w:abstractNumId="12">
    <w:nsid w:val="77465F01"/>
    <w:multiLevelType w:val="hybridMultilevel"/>
    <w:lvl w:ilvl="0">
      <w:lvlJc w:val="left"/>
      <w:lvlText w:val="%1."/>
      <w:numFmt w:val="decimal"/>
      <w:start w:val="6"/>
    </w:lvl>
  </w:abstractNum>
  <w:abstractNum w:abstractNumId="13">
    <w:nsid w:val="7724C67E"/>
    <w:multiLevelType w:val="hybridMultilevel"/>
    <w:lvl w:ilvl="0">
      <w:lvlJc w:val="left"/>
      <w:lvlText w:val="%1."/>
      <w:numFmt w:val="decimal"/>
      <w:start w:val="7"/>
    </w:lvl>
  </w:abstractNum>
  <w:abstractNum w:abstractNumId="14">
    <w:nsid w:val="5C482A97"/>
    <w:multiLevelType w:val="hybridMultilevel"/>
    <w:lvl w:ilvl="0">
      <w:lvlJc w:val="left"/>
      <w:lvlText w:val="%1."/>
      <w:numFmt w:val="decimal"/>
      <w:start w:val="8"/>
    </w:lvl>
  </w:abstractNum>
  <w:abstractNum w:abstractNumId="15">
    <w:nsid w:val="2463B9EA"/>
    <w:multiLevelType w:val="hybridMultilevel"/>
    <w:lvl w:ilvl="0">
      <w:lvlJc w:val="left"/>
      <w:lvlText w:val="%1."/>
      <w:numFmt w:val="decimal"/>
      <w:start w:val="9"/>
    </w:lvl>
  </w:abstractNum>
  <w:abstractNum w:abstractNumId="16">
    <w:nsid w:val="5E884ADC"/>
    <w:multiLevelType w:val="hybridMultilevel"/>
    <w:lvl w:ilvl="0">
      <w:lvlJc w:val="left"/>
      <w:lvlText w:val="%1."/>
      <w:numFmt w:val="decimal"/>
      <w:start w:val="10"/>
    </w:lvl>
  </w:abstractNum>
  <w:abstractNum w:abstractNumId="17">
    <w:nsid w:val="51EAD36B"/>
    <w:multiLevelType w:val="hybridMultilevel"/>
    <w:lvl w:ilvl="0">
      <w:lvlJc w:val="left"/>
      <w:lvlText w:val="%1."/>
      <w:numFmt w:val="decimal"/>
      <w:start w:val="11"/>
    </w:lvl>
  </w:abstractNum>
  <w:abstractNum w:abstractNumId="18">
    <w:nsid w:val="2D517796"/>
    <w:multiLevelType w:val="hybridMultilevel"/>
    <w:lvl w:ilvl="0">
      <w:lvlJc w:val="left"/>
      <w:lvlText w:val="%1."/>
      <w:numFmt w:val="decimal"/>
      <w:start w:val="12"/>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lowerLetter"/>
      <w:start w:val="4"/>
    </w:lvl>
  </w:abstractNum>
  <w:abstractNum w:abstractNumId="23">
    <w:nsid w:val="6A2342EC"/>
    <w:multiLevelType w:val="hybridMultilevel"/>
    <w:lvl w:ilvl="0">
      <w:lvlJc w:val="left"/>
      <w:lvlText w:val=" "/>
      <w:numFmt w:val="bullet"/>
      <w:start w:val="1"/>
    </w:lvl>
  </w:abstractNum>
  <w:abstractNum w:abstractNumId="24">
    <w:nsid w:val="2A487CB0"/>
    <w:multiLevelType w:val="hybridMultilevel"/>
    <w:lvl w:ilvl="0">
      <w:lvlJc w:val="left"/>
      <w:lvlText w:val=" "/>
      <w:numFmt w:val="bullet"/>
      <w:start w:val="1"/>
    </w:lvl>
  </w:abstractNum>
  <w:abstractNum w:abstractNumId="25">
    <w:nsid w:val="1D4ED43B"/>
    <w:multiLevelType w:val="hybridMultilevel"/>
    <w:lvl w:ilvl="0">
      <w:lvlJc w:val="left"/>
      <w:lvlText w:val=" "/>
      <w:numFmt w:val="bullet"/>
      <w:start w:val="1"/>
    </w:lvl>
  </w:abstractNum>
  <w:abstractNum w:abstractNumId="26">
    <w:nsid w:val="725A06FB"/>
    <w:multiLevelType w:val="hybridMultilevel"/>
    <w:lvl w:ilvl="0">
      <w:lvlJc w:val="left"/>
      <w:lvlText w:val=" "/>
      <w:numFmt w:val="bullet"/>
      <w:start w:val="1"/>
    </w:lvl>
  </w:abstractNum>
  <w:abstractNum w:abstractNumId="27">
    <w:nsid w:val="2CD89A32"/>
    <w:multiLevelType w:val="hybridMultilevel"/>
    <w:lvl w:ilvl="0">
      <w:lvlJc w:val="left"/>
      <w:lvlText w:val=" "/>
      <w:numFmt w:val="bullet"/>
      <w:start w:val="1"/>
    </w:lvl>
  </w:abstractNum>
  <w:abstractNum w:abstractNumId="28">
    <w:nsid w:val="57E4CCAF"/>
    <w:multiLevelType w:val="hybridMultilevel"/>
    <w:lvl w:ilvl="0">
      <w:lvlJc w:val="left"/>
      <w:lvlText w:val=" "/>
      <w:numFmt w:val="bullet"/>
      <w:start w:val="1"/>
    </w:lvl>
  </w:abstractNum>
  <w:abstractNum w:abstractNumId="29">
    <w:nsid w:val="7A6D8D3C"/>
    <w:multiLevelType w:val="hybridMultilevel"/>
    <w:lvl w:ilvl="0">
      <w:lvlJc w:val="left"/>
      <w:lvlText w:val=" "/>
      <w:numFmt w:val="bullet"/>
      <w:start w:val="1"/>
    </w:lvl>
  </w:abstractNum>
  <w:abstractNum w:abstractNumId="30">
    <w:nsid w:val="4B588F54"/>
    <w:multiLevelType w:val="hybridMultilevel"/>
    <w:lvl w:ilvl="0">
      <w:lvlJc w:val="left"/>
      <w:lvlText w:val=" "/>
      <w:numFmt w:val="bullet"/>
      <w:start w:val="1"/>
    </w:lvl>
  </w:abstractNum>
  <w:abstractNum w:abstractNumId="31">
    <w:nsid w:val="542289EC"/>
    <w:multiLevelType w:val="hybridMultilevel"/>
    <w:lvl w:ilvl="0">
      <w:lvlJc w:val="left"/>
      <w:lvlText w:val=" "/>
      <w:numFmt w:val="bullet"/>
      <w:start w:val="1"/>
    </w:lvl>
  </w:abstractNum>
  <w:abstractNum w:abstractNumId="32">
    <w:nsid w:val="6DE91B18"/>
    <w:multiLevelType w:val="hybridMultilevel"/>
    <w:lvl w:ilvl="0">
      <w:lvlJc w:val="left"/>
      <w:lvlText w:val=" "/>
      <w:numFmt w:val="bullet"/>
      <w:start w:val="1"/>
    </w:lvl>
  </w:abstractNum>
  <w:abstractNum w:abstractNumId="33">
    <w:nsid w:val="38437FDB"/>
    <w:multiLevelType w:val="hybridMultilevel"/>
    <w:lvl w:ilvl="0">
      <w:lvlJc w:val="left"/>
      <w:lvlText w:val=" "/>
      <w:numFmt w:val="bullet"/>
      <w:start w:val="1"/>
    </w:lvl>
  </w:abstractNum>
  <w:abstractNum w:abstractNumId="34">
    <w:nsid w:val="7644A45C"/>
    <w:multiLevelType w:val="hybridMultilevel"/>
    <w:lvl w:ilvl="0">
      <w:lvlJc w:val="left"/>
      <w:lvlText w:val=" "/>
      <w:numFmt w:val="bullet"/>
      <w:start w:val="1"/>
    </w:lvl>
  </w:abstractNum>
  <w:abstractNum w:abstractNumId="35">
    <w:nsid w:val="32FFF902"/>
    <w:multiLevelType w:val="hybridMultilevel"/>
    <w:lvl w:ilvl="0">
      <w:lvlJc w:val="left"/>
      <w:lvlText w:val=" "/>
      <w:numFmt w:val="bullet"/>
      <w:start w:val="1"/>
    </w:lvl>
  </w:abstractNum>
  <w:abstractNum w:abstractNumId="36">
    <w:nsid w:val="684A481A"/>
    <w:multiLevelType w:val="hybridMultilevel"/>
    <w:lvl w:ilvl="0">
      <w:lvlJc w:val="left"/>
      <w:lvlText w:val=" "/>
      <w:numFmt w:val="bullet"/>
      <w:start w:val="1"/>
    </w:lvl>
  </w:abstractNum>
  <w:abstractNum w:abstractNumId="37">
    <w:nsid w:val="579478FE"/>
    <w:multiLevelType w:val="hybridMultilevel"/>
    <w:lvl w:ilvl="0">
      <w:lvlJc w:val="left"/>
      <w:lvlText w:val=" "/>
      <w:numFmt w:val="bullet"/>
      <w:start w:val="1"/>
    </w:lvl>
  </w:abstractNum>
  <w:abstractNum w:abstractNumId="38">
    <w:nsid w:val="749ABB43"/>
    <w:multiLevelType w:val="hybridMultilevel"/>
    <w:lvl w:ilvl="0">
      <w:lvlJc w:val="left"/>
      <w:lvlText w:val=" "/>
      <w:numFmt w:val="bullet"/>
      <w:start w:val="1"/>
    </w:lvl>
  </w:abstractNum>
  <w:abstractNum w:abstractNumId="39">
    <w:nsid w:val="3DC240FB"/>
    <w:multiLevelType w:val="hybridMultilevel"/>
    <w:lvl w:ilvl="0">
      <w:lvlJc w:val="left"/>
      <w:lvlText w:val=" "/>
      <w:numFmt w:val="bullet"/>
      <w:start w:val="1"/>
    </w:lvl>
  </w:abstractNum>
  <w:abstractNum w:abstractNumId="40">
    <w:nsid w:val="1BA026FA"/>
    <w:multiLevelType w:val="hybridMultilevel"/>
    <w:lvl w:ilvl="0">
      <w:lvlJc w:val="left"/>
      <w:lvlText w:val=" "/>
      <w:numFmt w:val="bullet"/>
      <w:start w:val="1"/>
    </w:lvl>
  </w:abstractNum>
  <w:abstractNum w:abstractNumId="41">
    <w:nsid w:val="79A1DEAA"/>
    <w:multiLevelType w:val="hybridMultilevel"/>
    <w:lvl w:ilvl="0">
      <w:lvlJc w:val="left"/>
      <w:lvlText w:val=" "/>
      <w:numFmt w:val="bullet"/>
      <w:start w:val="1"/>
    </w:lvl>
  </w:abstractNum>
  <w:abstractNum w:abstractNumId="42">
    <w:nsid w:val="75C6C33A"/>
    <w:multiLevelType w:val="hybridMultilevel"/>
    <w:lvl w:ilvl="0">
      <w:lvlJc w:val="left"/>
      <w:lvlText w:val=" "/>
      <w:numFmt w:val="bullet"/>
      <w:start w:val="1"/>
    </w:lvl>
  </w:abstractNum>
  <w:abstractNum w:abstractNumId="43">
    <w:nsid w:val="12E685FB"/>
    <w:multiLevelType w:val="hybridMultilevel"/>
    <w:lvl w:ilvl="0">
      <w:lvlJc w:val="left"/>
      <w:lvlText w:val=" "/>
      <w:numFmt w:val="bullet"/>
      <w:start w:val="1"/>
    </w:lvl>
  </w:abstractNum>
  <w:abstractNum w:abstractNumId="44">
    <w:nsid w:val="70C6A529"/>
    <w:multiLevelType w:val="hybridMultilevel"/>
    <w:lvl w:ilvl="0">
      <w:lvlJc w:val="left"/>
      <w:lvlText w:val="(%1)"/>
      <w:numFmt w:val="lowerRoman"/>
      <w:start w:val="3"/>
    </w:lvl>
  </w:abstractNum>
  <w:abstractNum w:abstractNumId="45">
    <w:nsid w:val="520EEDD1"/>
    <w:multiLevelType w:val="hybridMultilevel"/>
    <w:lvl w:ilvl="0">
      <w:lvlJc w:val="left"/>
      <w:lvlText w:val=" "/>
      <w:numFmt w:val="bullet"/>
      <w:start w:val="1"/>
    </w:lvl>
  </w:abstractNum>
  <w:abstractNum w:abstractNumId="46">
    <w:nsid w:val="374A3FE6"/>
    <w:multiLevelType w:val="hybridMultilevel"/>
    <w:lvl w:ilvl="0">
      <w:lvlJc w:val="left"/>
      <w:lvlText w:val=" "/>
      <w:numFmt w:val="bullet"/>
      <w:start w:val="1"/>
    </w:lvl>
  </w:abstractNum>
  <w:abstractNum w:abstractNumId="47">
    <w:nsid w:val="4F4EF005"/>
    <w:multiLevelType w:val="hybridMultilevel"/>
    <w:lvl w:ilvl="0">
      <w:lvlJc w:val="left"/>
      <w:lvlText w:val=" "/>
      <w:numFmt w:val="bullet"/>
      <w:start w:val="1"/>
    </w:lvl>
  </w:abstractNum>
  <w:abstractNum w:abstractNumId="48">
    <w:nsid w:val="23F9C13C"/>
    <w:multiLevelType w:val="hybridMultilevel"/>
    <w:lvl w:ilvl="0">
      <w:lvlJc w:val="left"/>
      <w:lvlText w:val=" "/>
      <w:numFmt w:val="bullet"/>
      <w:start w:val="1"/>
    </w:lvl>
  </w:abstractNum>
  <w:abstractNum w:abstractNumId="49">
    <w:nsid w:val="649BB77C"/>
    <w:multiLevelType w:val="hybridMultilevel"/>
    <w:lvl w:ilvl="0">
      <w:lvlJc w:val="left"/>
      <w:lvlText w:val=" "/>
      <w:numFmt w:val="bullet"/>
      <w:start w:val="1"/>
    </w:lvl>
  </w:abstractNum>
  <w:abstractNum w:abstractNumId="50">
    <w:nsid w:val="275AC794"/>
    <w:multiLevelType w:val="hybridMultilevel"/>
    <w:lvl w:ilvl="0">
      <w:lvlJc w:val="left"/>
      <w:lvlText w:val=" "/>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lvl w:ilvl="1">
      <w:lvlJc w:val="left"/>
      <w:lvlText w:val="(%2)"/>
      <w:numFmt w:val="lowerLetter"/>
      <w:start w:val="1"/>
    </w:lvl>
  </w:abstractNum>
  <w:abstractNum w:abstractNumId="54">
    <w:nsid w:val="235BA861"/>
    <w:multiLevelType w:val="hybridMultilevel"/>
    <w:lvl w:ilvl="0">
      <w:lvlJc w:val="left"/>
      <w:lvlText w:val="%1"/>
      <w:numFmt w:val="decimal"/>
      <w:start w:val="1"/>
    </w:lvl>
    <w:lvl w:ilvl="1">
      <w:lvlJc w:val="left"/>
      <w:lvlText w:val="(%2)"/>
      <w:numFmt w:val="lowerLetter"/>
      <w:start w:val="4"/>
    </w:lvl>
  </w:abstractNum>
  <w:abstractNum w:abstractNumId="55">
    <w:nsid w:val="47398C89"/>
    <w:multiLevelType w:val="hybridMultilevel"/>
    <w:lvl w:ilvl="0">
      <w:lvlJc w:val="left"/>
      <w:lvlText w:val="%1."/>
      <w:numFmt w:val="decimal"/>
      <w:start w:val="5"/>
    </w:lvl>
    <w:lvl w:ilvl="1">
      <w:lvlJc w:val="left"/>
      <w:lvlText w:val="(%2)"/>
      <w:numFmt w:val="lowerLetter"/>
      <w:start w:val="1"/>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4"/>
    </w:lvl>
  </w:abstractNum>
  <w:abstractNum w:abstractNumId="58">
    <w:nsid w:val="741226BB"/>
    <w:multiLevelType w:val="hybridMultilevel"/>
    <w:lvl w:ilvl="0">
      <w:lvlJc w:val="left"/>
      <w:lvlText w:val="%1."/>
      <w:numFmt w:val="decimal"/>
      <w:start w:val="5"/>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2022-08-10T06:22:23Z</dcterms:created>
  <dcterms:modified xsi:type="dcterms:W3CDTF">2022-08-10T06:22:23Z</dcterms:modified>
</cp:coreProperties>
</file>